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lang w:val="zh-CN"/>
        </w:rPr>
        <w:id w:val="-1709329905"/>
        <w:docPartObj>
          <w:docPartGallery w:val="Table of Contents"/>
          <w:docPartUnique/>
        </w:docPartObj>
      </w:sdtPr>
      <w:sdtEndPr>
        <w:rPr>
          <w:b w:val="0"/>
          <w:bCs w:val="0"/>
        </w:rPr>
      </w:sdtEndPr>
      <w:sdtContent>
        <w:p w14:paraId="7309D937" w14:textId="77777777" w:rsidR="00E579B9" w:rsidRDefault="006A1398">
          <w:pPr>
            <w:ind w:firstLine="482"/>
            <w:jc w:val="center"/>
          </w:pPr>
          <w:r>
            <w:rPr>
              <w:lang w:val="zh-CN"/>
            </w:rPr>
            <w:t>目录</w:t>
          </w:r>
        </w:p>
        <w:p w14:paraId="101B1D19" w14:textId="729CE229" w:rsidR="00CB3E2B" w:rsidRDefault="006A1398">
          <w:pPr>
            <w:pStyle w:val="TOC1"/>
            <w:tabs>
              <w:tab w:val="right" w:leader="dot" w:pos="8720"/>
            </w:tabs>
            <w:rPr>
              <w:rFonts w:asciiTheme="minorHAnsi" w:eastAsiaTheme="minorEastAsia" w:hAnsiTheme="minorHAnsi"/>
              <w:noProof/>
              <w:sz w:val="21"/>
            </w:rPr>
          </w:pPr>
          <w:r>
            <w:rPr>
              <w:rFonts w:cs="Times New Roman"/>
            </w:rPr>
            <w:fldChar w:fldCharType="begin"/>
          </w:r>
          <w:r>
            <w:rPr>
              <w:rFonts w:cs="Times New Roman"/>
            </w:rPr>
            <w:instrText xml:space="preserve"> TOC \o "1-2" \h \z \u </w:instrText>
          </w:r>
          <w:r>
            <w:rPr>
              <w:rFonts w:cs="Times New Roman"/>
            </w:rPr>
            <w:fldChar w:fldCharType="separate"/>
          </w:r>
          <w:hyperlink w:anchor="_Toc33021773" w:history="1">
            <w:r w:rsidR="00CB3E2B" w:rsidRPr="0045474D">
              <w:rPr>
                <w:rStyle w:val="af2"/>
                <w:noProof/>
              </w:rPr>
              <w:t>第一章概述</w:t>
            </w:r>
            <w:r w:rsidR="00CB3E2B">
              <w:rPr>
                <w:noProof/>
                <w:webHidden/>
              </w:rPr>
              <w:tab/>
            </w:r>
            <w:r w:rsidR="00CB3E2B">
              <w:rPr>
                <w:noProof/>
                <w:webHidden/>
              </w:rPr>
              <w:fldChar w:fldCharType="begin"/>
            </w:r>
            <w:r w:rsidR="00CB3E2B">
              <w:rPr>
                <w:noProof/>
                <w:webHidden/>
              </w:rPr>
              <w:instrText xml:space="preserve"> PAGEREF _Toc33021773 \h </w:instrText>
            </w:r>
            <w:r w:rsidR="00CB3E2B">
              <w:rPr>
                <w:noProof/>
                <w:webHidden/>
              </w:rPr>
            </w:r>
            <w:r w:rsidR="00CB3E2B">
              <w:rPr>
                <w:noProof/>
                <w:webHidden/>
              </w:rPr>
              <w:fldChar w:fldCharType="separate"/>
            </w:r>
            <w:r w:rsidR="001737C7">
              <w:rPr>
                <w:noProof/>
                <w:webHidden/>
              </w:rPr>
              <w:t>1</w:t>
            </w:r>
            <w:r w:rsidR="00CB3E2B">
              <w:rPr>
                <w:noProof/>
                <w:webHidden/>
              </w:rPr>
              <w:fldChar w:fldCharType="end"/>
            </w:r>
          </w:hyperlink>
        </w:p>
        <w:p w14:paraId="7B37F808" w14:textId="2C6BDC2C" w:rsidR="00CB3E2B" w:rsidRDefault="00F4467B">
          <w:pPr>
            <w:pStyle w:val="TOC2"/>
            <w:tabs>
              <w:tab w:val="right" w:leader="dot" w:pos="8720"/>
            </w:tabs>
            <w:ind w:left="480"/>
            <w:rPr>
              <w:rFonts w:asciiTheme="minorHAnsi" w:eastAsiaTheme="minorEastAsia" w:hAnsiTheme="minorHAnsi"/>
              <w:noProof/>
              <w:sz w:val="21"/>
            </w:rPr>
          </w:pPr>
          <w:hyperlink w:anchor="_Toc33021774" w:history="1">
            <w:r w:rsidR="00CB3E2B" w:rsidRPr="0045474D">
              <w:rPr>
                <w:rStyle w:val="af2"/>
                <w:noProof/>
              </w:rPr>
              <w:t>1.1</w:t>
            </w:r>
            <w:r w:rsidR="00CB3E2B" w:rsidRPr="0045474D">
              <w:rPr>
                <w:rStyle w:val="af2"/>
                <w:noProof/>
              </w:rPr>
              <w:t>项目由来</w:t>
            </w:r>
            <w:r w:rsidR="00CB3E2B">
              <w:rPr>
                <w:noProof/>
                <w:webHidden/>
              </w:rPr>
              <w:tab/>
            </w:r>
            <w:r w:rsidR="00CB3E2B">
              <w:rPr>
                <w:noProof/>
                <w:webHidden/>
              </w:rPr>
              <w:fldChar w:fldCharType="begin"/>
            </w:r>
            <w:r w:rsidR="00CB3E2B">
              <w:rPr>
                <w:noProof/>
                <w:webHidden/>
              </w:rPr>
              <w:instrText xml:space="preserve"> PAGEREF _Toc33021774 \h </w:instrText>
            </w:r>
            <w:r w:rsidR="00CB3E2B">
              <w:rPr>
                <w:noProof/>
                <w:webHidden/>
              </w:rPr>
            </w:r>
            <w:r w:rsidR="00CB3E2B">
              <w:rPr>
                <w:noProof/>
                <w:webHidden/>
              </w:rPr>
              <w:fldChar w:fldCharType="separate"/>
            </w:r>
            <w:r w:rsidR="001737C7">
              <w:rPr>
                <w:noProof/>
                <w:webHidden/>
              </w:rPr>
              <w:t>1</w:t>
            </w:r>
            <w:r w:rsidR="00CB3E2B">
              <w:rPr>
                <w:noProof/>
                <w:webHidden/>
              </w:rPr>
              <w:fldChar w:fldCharType="end"/>
            </w:r>
          </w:hyperlink>
        </w:p>
        <w:p w14:paraId="2D3354B3" w14:textId="357D7093" w:rsidR="00CB3E2B" w:rsidRDefault="00F4467B">
          <w:pPr>
            <w:pStyle w:val="TOC2"/>
            <w:tabs>
              <w:tab w:val="right" w:leader="dot" w:pos="8720"/>
            </w:tabs>
            <w:ind w:left="480"/>
            <w:rPr>
              <w:rFonts w:asciiTheme="minorHAnsi" w:eastAsiaTheme="minorEastAsia" w:hAnsiTheme="minorHAnsi"/>
              <w:noProof/>
              <w:sz w:val="21"/>
            </w:rPr>
          </w:pPr>
          <w:hyperlink w:anchor="_Toc33021775" w:history="1">
            <w:r w:rsidR="00CB3E2B" w:rsidRPr="0045474D">
              <w:rPr>
                <w:rStyle w:val="af2"/>
                <w:noProof/>
              </w:rPr>
              <w:t>1.3</w:t>
            </w:r>
            <w:r w:rsidR="00CB3E2B" w:rsidRPr="0045474D">
              <w:rPr>
                <w:rStyle w:val="af2"/>
                <w:noProof/>
              </w:rPr>
              <w:t>评价工作过程</w:t>
            </w:r>
            <w:r w:rsidR="00CB3E2B">
              <w:rPr>
                <w:noProof/>
                <w:webHidden/>
              </w:rPr>
              <w:tab/>
            </w:r>
            <w:r w:rsidR="00CB3E2B">
              <w:rPr>
                <w:noProof/>
                <w:webHidden/>
              </w:rPr>
              <w:fldChar w:fldCharType="begin"/>
            </w:r>
            <w:r w:rsidR="00CB3E2B">
              <w:rPr>
                <w:noProof/>
                <w:webHidden/>
              </w:rPr>
              <w:instrText xml:space="preserve"> PAGEREF _Toc33021775 \h </w:instrText>
            </w:r>
            <w:r w:rsidR="00CB3E2B">
              <w:rPr>
                <w:noProof/>
                <w:webHidden/>
              </w:rPr>
            </w:r>
            <w:r w:rsidR="00CB3E2B">
              <w:rPr>
                <w:noProof/>
                <w:webHidden/>
              </w:rPr>
              <w:fldChar w:fldCharType="separate"/>
            </w:r>
            <w:r w:rsidR="001737C7">
              <w:rPr>
                <w:noProof/>
                <w:webHidden/>
              </w:rPr>
              <w:t>3</w:t>
            </w:r>
            <w:r w:rsidR="00CB3E2B">
              <w:rPr>
                <w:noProof/>
                <w:webHidden/>
              </w:rPr>
              <w:fldChar w:fldCharType="end"/>
            </w:r>
          </w:hyperlink>
        </w:p>
        <w:p w14:paraId="2545325E" w14:textId="711CE38C" w:rsidR="00CB3E2B" w:rsidRDefault="00F4467B">
          <w:pPr>
            <w:pStyle w:val="TOC2"/>
            <w:tabs>
              <w:tab w:val="right" w:leader="dot" w:pos="8720"/>
            </w:tabs>
            <w:ind w:left="480"/>
            <w:rPr>
              <w:rFonts w:asciiTheme="minorHAnsi" w:eastAsiaTheme="minorEastAsia" w:hAnsiTheme="minorHAnsi"/>
              <w:noProof/>
              <w:sz w:val="21"/>
            </w:rPr>
          </w:pPr>
          <w:hyperlink w:anchor="_Toc33021776" w:history="1">
            <w:r w:rsidR="00CB3E2B" w:rsidRPr="0045474D">
              <w:rPr>
                <w:rStyle w:val="af2"/>
                <w:noProof/>
              </w:rPr>
              <w:t>1.4</w:t>
            </w:r>
            <w:r w:rsidR="00CB3E2B" w:rsidRPr="0045474D">
              <w:rPr>
                <w:rStyle w:val="af2"/>
                <w:noProof/>
              </w:rPr>
              <w:t>分析判定相关情况</w:t>
            </w:r>
            <w:r w:rsidR="00CB3E2B">
              <w:rPr>
                <w:noProof/>
                <w:webHidden/>
              </w:rPr>
              <w:tab/>
            </w:r>
            <w:r w:rsidR="00CB3E2B">
              <w:rPr>
                <w:noProof/>
                <w:webHidden/>
              </w:rPr>
              <w:fldChar w:fldCharType="begin"/>
            </w:r>
            <w:r w:rsidR="00CB3E2B">
              <w:rPr>
                <w:noProof/>
                <w:webHidden/>
              </w:rPr>
              <w:instrText xml:space="preserve"> PAGEREF _Toc33021776 \h </w:instrText>
            </w:r>
            <w:r w:rsidR="00CB3E2B">
              <w:rPr>
                <w:noProof/>
                <w:webHidden/>
              </w:rPr>
            </w:r>
            <w:r w:rsidR="00CB3E2B">
              <w:rPr>
                <w:noProof/>
                <w:webHidden/>
              </w:rPr>
              <w:fldChar w:fldCharType="separate"/>
            </w:r>
            <w:r w:rsidR="001737C7">
              <w:rPr>
                <w:noProof/>
                <w:webHidden/>
              </w:rPr>
              <w:t>5</w:t>
            </w:r>
            <w:r w:rsidR="00CB3E2B">
              <w:rPr>
                <w:noProof/>
                <w:webHidden/>
              </w:rPr>
              <w:fldChar w:fldCharType="end"/>
            </w:r>
          </w:hyperlink>
        </w:p>
        <w:p w14:paraId="6AAA03BB" w14:textId="2AE33978" w:rsidR="00CB3E2B" w:rsidRDefault="00F4467B">
          <w:pPr>
            <w:pStyle w:val="TOC2"/>
            <w:tabs>
              <w:tab w:val="right" w:leader="dot" w:pos="8720"/>
            </w:tabs>
            <w:ind w:left="480"/>
            <w:rPr>
              <w:rFonts w:asciiTheme="minorHAnsi" w:eastAsiaTheme="minorEastAsia" w:hAnsiTheme="minorHAnsi"/>
              <w:noProof/>
              <w:sz w:val="21"/>
            </w:rPr>
          </w:pPr>
          <w:hyperlink w:anchor="_Toc33021777" w:history="1">
            <w:r w:rsidR="00CB3E2B" w:rsidRPr="0045474D">
              <w:rPr>
                <w:rStyle w:val="af2"/>
                <w:noProof/>
              </w:rPr>
              <w:t>1.5</w:t>
            </w:r>
            <w:r w:rsidR="00CB3E2B" w:rsidRPr="0045474D">
              <w:rPr>
                <w:rStyle w:val="af2"/>
                <w:noProof/>
              </w:rPr>
              <w:t>项目关注的主要环境问题及环境影响</w:t>
            </w:r>
            <w:r w:rsidR="00CB3E2B">
              <w:rPr>
                <w:noProof/>
                <w:webHidden/>
              </w:rPr>
              <w:tab/>
            </w:r>
            <w:r w:rsidR="00CB3E2B">
              <w:rPr>
                <w:noProof/>
                <w:webHidden/>
              </w:rPr>
              <w:fldChar w:fldCharType="begin"/>
            </w:r>
            <w:r w:rsidR="00CB3E2B">
              <w:rPr>
                <w:noProof/>
                <w:webHidden/>
              </w:rPr>
              <w:instrText xml:space="preserve"> PAGEREF _Toc33021777 \h </w:instrText>
            </w:r>
            <w:r w:rsidR="00CB3E2B">
              <w:rPr>
                <w:noProof/>
                <w:webHidden/>
              </w:rPr>
            </w:r>
            <w:r w:rsidR="00CB3E2B">
              <w:rPr>
                <w:noProof/>
                <w:webHidden/>
              </w:rPr>
              <w:fldChar w:fldCharType="separate"/>
            </w:r>
            <w:r w:rsidR="001737C7">
              <w:rPr>
                <w:noProof/>
                <w:webHidden/>
              </w:rPr>
              <w:t>5</w:t>
            </w:r>
            <w:r w:rsidR="00CB3E2B">
              <w:rPr>
                <w:noProof/>
                <w:webHidden/>
              </w:rPr>
              <w:fldChar w:fldCharType="end"/>
            </w:r>
          </w:hyperlink>
        </w:p>
        <w:p w14:paraId="175E16FF" w14:textId="15D9C1DC" w:rsidR="00CB3E2B" w:rsidRDefault="00F4467B">
          <w:pPr>
            <w:pStyle w:val="TOC2"/>
            <w:tabs>
              <w:tab w:val="right" w:leader="dot" w:pos="8720"/>
            </w:tabs>
            <w:ind w:left="480"/>
            <w:rPr>
              <w:rFonts w:asciiTheme="minorHAnsi" w:eastAsiaTheme="minorEastAsia" w:hAnsiTheme="minorHAnsi"/>
              <w:noProof/>
              <w:sz w:val="21"/>
            </w:rPr>
          </w:pPr>
          <w:hyperlink w:anchor="_Toc33021778" w:history="1">
            <w:r w:rsidR="00CB3E2B" w:rsidRPr="0045474D">
              <w:rPr>
                <w:rStyle w:val="af2"/>
                <w:noProof/>
              </w:rPr>
              <w:t>1.6</w:t>
            </w:r>
            <w:r w:rsidR="00CB3E2B" w:rsidRPr="0045474D">
              <w:rPr>
                <w:rStyle w:val="af2"/>
                <w:noProof/>
              </w:rPr>
              <w:t>主要结论</w:t>
            </w:r>
            <w:r w:rsidR="00CB3E2B">
              <w:rPr>
                <w:noProof/>
                <w:webHidden/>
              </w:rPr>
              <w:tab/>
            </w:r>
            <w:r w:rsidR="00CB3E2B">
              <w:rPr>
                <w:noProof/>
                <w:webHidden/>
              </w:rPr>
              <w:fldChar w:fldCharType="begin"/>
            </w:r>
            <w:r w:rsidR="00CB3E2B">
              <w:rPr>
                <w:noProof/>
                <w:webHidden/>
              </w:rPr>
              <w:instrText xml:space="preserve"> PAGEREF _Toc33021778 \h </w:instrText>
            </w:r>
            <w:r w:rsidR="00CB3E2B">
              <w:rPr>
                <w:noProof/>
                <w:webHidden/>
              </w:rPr>
            </w:r>
            <w:r w:rsidR="00CB3E2B">
              <w:rPr>
                <w:noProof/>
                <w:webHidden/>
              </w:rPr>
              <w:fldChar w:fldCharType="separate"/>
            </w:r>
            <w:r w:rsidR="001737C7">
              <w:rPr>
                <w:noProof/>
                <w:webHidden/>
              </w:rPr>
              <w:t>6</w:t>
            </w:r>
            <w:r w:rsidR="00CB3E2B">
              <w:rPr>
                <w:noProof/>
                <w:webHidden/>
              </w:rPr>
              <w:fldChar w:fldCharType="end"/>
            </w:r>
          </w:hyperlink>
        </w:p>
        <w:p w14:paraId="0FA4E3FF" w14:textId="275CA756" w:rsidR="00CB3E2B" w:rsidRDefault="00F4467B">
          <w:pPr>
            <w:pStyle w:val="TOC1"/>
            <w:tabs>
              <w:tab w:val="right" w:leader="dot" w:pos="8720"/>
            </w:tabs>
            <w:rPr>
              <w:rFonts w:asciiTheme="minorHAnsi" w:eastAsiaTheme="minorEastAsia" w:hAnsiTheme="minorHAnsi"/>
              <w:noProof/>
              <w:sz w:val="21"/>
            </w:rPr>
          </w:pPr>
          <w:hyperlink w:anchor="_Toc33021779" w:history="1">
            <w:r w:rsidR="00CB3E2B" w:rsidRPr="0045474D">
              <w:rPr>
                <w:rStyle w:val="af2"/>
                <w:noProof/>
              </w:rPr>
              <w:t>第二章总则</w:t>
            </w:r>
            <w:r w:rsidR="00CB3E2B">
              <w:rPr>
                <w:noProof/>
                <w:webHidden/>
              </w:rPr>
              <w:tab/>
            </w:r>
            <w:r w:rsidR="00CB3E2B">
              <w:rPr>
                <w:noProof/>
                <w:webHidden/>
              </w:rPr>
              <w:fldChar w:fldCharType="begin"/>
            </w:r>
            <w:r w:rsidR="00CB3E2B">
              <w:rPr>
                <w:noProof/>
                <w:webHidden/>
              </w:rPr>
              <w:instrText xml:space="preserve"> PAGEREF _Toc33021779 \h </w:instrText>
            </w:r>
            <w:r w:rsidR="00CB3E2B">
              <w:rPr>
                <w:noProof/>
                <w:webHidden/>
              </w:rPr>
            </w:r>
            <w:r w:rsidR="00CB3E2B">
              <w:rPr>
                <w:noProof/>
                <w:webHidden/>
              </w:rPr>
              <w:fldChar w:fldCharType="separate"/>
            </w:r>
            <w:r w:rsidR="001737C7">
              <w:rPr>
                <w:noProof/>
                <w:webHidden/>
              </w:rPr>
              <w:t>7</w:t>
            </w:r>
            <w:r w:rsidR="00CB3E2B">
              <w:rPr>
                <w:noProof/>
                <w:webHidden/>
              </w:rPr>
              <w:fldChar w:fldCharType="end"/>
            </w:r>
          </w:hyperlink>
        </w:p>
        <w:p w14:paraId="43CB5952" w14:textId="79EFEF2C" w:rsidR="00CB3E2B" w:rsidRDefault="00F4467B">
          <w:pPr>
            <w:pStyle w:val="TOC2"/>
            <w:tabs>
              <w:tab w:val="right" w:leader="dot" w:pos="8720"/>
            </w:tabs>
            <w:ind w:left="480"/>
            <w:rPr>
              <w:rFonts w:asciiTheme="minorHAnsi" w:eastAsiaTheme="minorEastAsia" w:hAnsiTheme="minorHAnsi"/>
              <w:noProof/>
              <w:sz w:val="21"/>
            </w:rPr>
          </w:pPr>
          <w:hyperlink w:anchor="_Toc33021780" w:history="1">
            <w:r w:rsidR="00CB3E2B" w:rsidRPr="0045474D">
              <w:rPr>
                <w:rStyle w:val="af2"/>
                <w:noProof/>
              </w:rPr>
              <w:t>2.1</w:t>
            </w:r>
            <w:r w:rsidR="00CB3E2B" w:rsidRPr="0045474D">
              <w:rPr>
                <w:rStyle w:val="af2"/>
                <w:noProof/>
              </w:rPr>
              <w:t>编制依据</w:t>
            </w:r>
            <w:r w:rsidR="00CB3E2B">
              <w:rPr>
                <w:noProof/>
                <w:webHidden/>
              </w:rPr>
              <w:tab/>
            </w:r>
            <w:r w:rsidR="00CB3E2B">
              <w:rPr>
                <w:noProof/>
                <w:webHidden/>
              </w:rPr>
              <w:fldChar w:fldCharType="begin"/>
            </w:r>
            <w:r w:rsidR="00CB3E2B">
              <w:rPr>
                <w:noProof/>
                <w:webHidden/>
              </w:rPr>
              <w:instrText xml:space="preserve"> PAGEREF _Toc33021780 \h </w:instrText>
            </w:r>
            <w:r w:rsidR="00CB3E2B">
              <w:rPr>
                <w:noProof/>
                <w:webHidden/>
              </w:rPr>
            </w:r>
            <w:r w:rsidR="00CB3E2B">
              <w:rPr>
                <w:noProof/>
                <w:webHidden/>
              </w:rPr>
              <w:fldChar w:fldCharType="separate"/>
            </w:r>
            <w:r w:rsidR="001737C7">
              <w:rPr>
                <w:noProof/>
                <w:webHidden/>
              </w:rPr>
              <w:t>7</w:t>
            </w:r>
            <w:r w:rsidR="00CB3E2B">
              <w:rPr>
                <w:noProof/>
                <w:webHidden/>
              </w:rPr>
              <w:fldChar w:fldCharType="end"/>
            </w:r>
          </w:hyperlink>
        </w:p>
        <w:p w14:paraId="6B2E74A8" w14:textId="3141D488" w:rsidR="00CB3E2B" w:rsidRDefault="00F4467B">
          <w:pPr>
            <w:pStyle w:val="TOC2"/>
            <w:tabs>
              <w:tab w:val="right" w:leader="dot" w:pos="8720"/>
            </w:tabs>
            <w:ind w:left="480"/>
            <w:rPr>
              <w:rFonts w:asciiTheme="minorHAnsi" w:eastAsiaTheme="minorEastAsia" w:hAnsiTheme="minorHAnsi"/>
              <w:noProof/>
              <w:sz w:val="21"/>
            </w:rPr>
          </w:pPr>
          <w:hyperlink w:anchor="_Toc33021781" w:history="1">
            <w:r w:rsidR="00CB3E2B" w:rsidRPr="0045474D">
              <w:rPr>
                <w:rStyle w:val="af2"/>
                <w:noProof/>
              </w:rPr>
              <w:t>2.2</w:t>
            </w:r>
            <w:r w:rsidR="00CB3E2B" w:rsidRPr="0045474D">
              <w:rPr>
                <w:rStyle w:val="af2"/>
                <w:noProof/>
              </w:rPr>
              <w:t>评价对象</w:t>
            </w:r>
            <w:r w:rsidR="00CB3E2B">
              <w:rPr>
                <w:noProof/>
                <w:webHidden/>
              </w:rPr>
              <w:tab/>
            </w:r>
            <w:r w:rsidR="00CB3E2B">
              <w:rPr>
                <w:noProof/>
                <w:webHidden/>
              </w:rPr>
              <w:fldChar w:fldCharType="begin"/>
            </w:r>
            <w:r w:rsidR="00CB3E2B">
              <w:rPr>
                <w:noProof/>
                <w:webHidden/>
              </w:rPr>
              <w:instrText xml:space="preserve"> PAGEREF _Toc33021781 \h </w:instrText>
            </w:r>
            <w:r w:rsidR="00CB3E2B">
              <w:rPr>
                <w:noProof/>
                <w:webHidden/>
              </w:rPr>
            </w:r>
            <w:r w:rsidR="00CB3E2B">
              <w:rPr>
                <w:noProof/>
                <w:webHidden/>
              </w:rPr>
              <w:fldChar w:fldCharType="separate"/>
            </w:r>
            <w:r w:rsidR="001737C7">
              <w:rPr>
                <w:noProof/>
                <w:webHidden/>
              </w:rPr>
              <w:t>12</w:t>
            </w:r>
            <w:r w:rsidR="00CB3E2B">
              <w:rPr>
                <w:noProof/>
                <w:webHidden/>
              </w:rPr>
              <w:fldChar w:fldCharType="end"/>
            </w:r>
          </w:hyperlink>
        </w:p>
        <w:p w14:paraId="703E3103" w14:textId="5E451EC5" w:rsidR="00CB3E2B" w:rsidRDefault="00F4467B">
          <w:pPr>
            <w:pStyle w:val="TOC2"/>
            <w:tabs>
              <w:tab w:val="right" w:leader="dot" w:pos="8720"/>
            </w:tabs>
            <w:ind w:left="480"/>
            <w:rPr>
              <w:rFonts w:asciiTheme="minorHAnsi" w:eastAsiaTheme="minorEastAsia" w:hAnsiTheme="minorHAnsi"/>
              <w:noProof/>
              <w:sz w:val="21"/>
            </w:rPr>
          </w:pPr>
          <w:hyperlink w:anchor="_Toc33021782" w:history="1">
            <w:r w:rsidR="00CB3E2B" w:rsidRPr="0045474D">
              <w:rPr>
                <w:rStyle w:val="af2"/>
                <w:noProof/>
              </w:rPr>
              <w:t>2.3</w:t>
            </w:r>
            <w:r w:rsidR="00CB3E2B" w:rsidRPr="0045474D">
              <w:rPr>
                <w:rStyle w:val="af2"/>
                <w:noProof/>
              </w:rPr>
              <w:t>环境功能区划</w:t>
            </w:r>
            <w:r w:rsidR="00CB3E2B">
              <w:rPr>
                <w:noProof/>
                <w:webHidden/>
              </w:rPr>
              <w:tab/>
            </w:r>
            <w:r w:rsidR="00CB3E2B">
              <w:rPr>
                <w:noProof/>
                <w:webHidden/>
              </w:rPr>
              <w:fldChar w:fldCharType="begin"/>
            </w:r>
            <w:r w:rsidR="00CB3E2B">
              <w:rPr>
                <w:noProof/>
                <w:webHidden/>
              </w:rPr>
              <w:instrText xml:space="preserve"> PAGEREF _Toc33021782 \h </w:instrText>
            </w:r>
            <w:r w:rsidR="00CB3E2B">
              <w:rPr>
                <w:noProof/>
                <w:webHidden/>
              </w:rPr>
            </w:r>
            <w:r w:rsidR="00CB3E2B">
              <w:rPr>
                <w:noProof/>
                <w:webHidden/>
              </w:rPr>
              <w:fldChar w:fldCharType="separate"/>
            </w:r>
            <w:r w:rsidR="001737C7">
              <w:rPr>
                <w:noProof/>
                <w:webHidden/>
              </w:rPr>
              <w:t>12</w:t>
            </w:r>
            <w:r w:rsidR="00CB3E2B">
              <w:rPr>
                <w:noProof/>
                <w:webHidden/>
              </w:rPr>
              <w:fldChar w:fldCharType="end"/>
            </w:r>
          </w:hyperlink>
        </w:p>
        <w:p w14:paraId="1CEB3428" w14:textId="416746AE" w:rsidR="00CB3E2B" w:rsidRDefault="00F4467B">
          <w:pPr>
            <w:pStyle w:val="TOC2"/>
            <w:tabs>
              <w:tab w:val="right" w:leader="dot" w:pos="8720"/>
            </w:tabs>
            <w:ind w:left="480"/>
            <w:rPr>
              <w:rFonts w:asciiTheme="minorHAnsi" w:eastAsiaTheme="minorEastAsia" w:hAnsiTheme="minorHAnsi"/>
              <w:noProof/>
              <w:sz w:val="21"/>
            </w:rPr>
          </w:pPr>
          <w:hyperlink w:anchor="_Toc33021783" w:history="1">
            <w:r w:rsidR="00CB3E2B" w:rsidRPr="0045474D">
              <w:rPr>
                <w:rStyle w:val="af2"/>
                <w:noProof/>
              </w:rPr>
              <w:t>2.4</w:t>
            </w:r>
            <w:r w:rsidR="00CB3E2B" w:rsidRPr="0045474D">
              <w:rPr>
                <w:rStyle w:val="af2"/>
                <w:noProof/>
              </w:rPr>
              <w:t>评价目的和思路</w:t>
            </w:r>
            <w:r w:rsidR="00CB3E2B">
              <w:rPr>
                <w:noProof/>
                <w:webHidden/>
              </w:rPr>
              <w:tab/>
            </w:r>
            <w:r w:rsidR="00CB3E2B">
              <w:rPr>
                <w:noProof/>
                <w:webHidden/>
              </w:rPr>
              <w:fldChar w:fldCharType="begin"/>
            </w:r>
            <w:r w:rsidR="00CB3E2B">
              <w:rPr>
                <w:noProof/>
                <w:webHidden/>
              </w:rPr>
              <w:instrText xml:space="preserve"> PAGEREF _Toc33021783 \h </w:instrText>
            </w:r>
            <w:r w:rsidR="00CB3E2B">
              <w:rPr>
                <w:noProof/>
                <w:webHidden/>
              </w:rPr>
            </w:r>
            <w:r w:rsidR="00CB3E2B">
              <w:rPr>
                <w:noProof/>
                <w:webHidden/>
              </w:rPr>
              <w:fldChar w:fldCharType="separate"/>
            </w:r>
            <w:r w:rsidR="001737C7">
              <w:rPr>
                <w:noProof/>
                <w:webHidden/>
              </w:rPr>
              <w:t>13</w:t>
            </w:r>
            <w:r w:rsidR="00CB3E2B">
              <w:rPr>
                <w:noProof/>
                <w:webHidden/>
              </w:rPr>
              <w:fldChar w:fldCharType="end"/>
            </w:r>
          </w:hyperlink>
        </w:p>
        <w:p w14:paraId="063CA3F3" w14:textId="70F335BB" w:rsidR="00CB3E2B" w:rsidRDefault="00F4467B">
          <w:pPr>
            <w:pStyle w:val="TOC2"/>
            <w:tabs>
              <w:tab w:val="right" w:leader="dot" w:pos="8720"/>
            </w:tabs>
            <w:ind w:left="480"/>
            <w:rPr>
              <w:rFonts w:asciiTheme="minorHAnsi" w:eastAsiaTheme="minorEastAsia" w:hAnsiTheme="minorHAnsi"/>
              <w:noProof/>
              <w:sz w:val="21"/>
            </w:rPr>
          </w:pPr>
          <w:hyperlink w:anchor="_Toc33021784" w:history="1">
            <w:r w:rsidR="00CB3E2B" w:rsidRPr="0045474D">
              <w:rPr>
                <w:rStyle w:val="af2"/>
                <w:noProof/>
              </w:rPr>
              <w:t>2.5</w:t>
            </w:r>
            <w:r w:rsidR="00CB3E2B" w:rsidRPr="0045474D">
              <w:rPr>
                <w:rStyle w:val="af2"/>
                <w:noProof/>
              </w:rPr>
              <w:t>环境影响因素识别</w:t>
            </w:r>
            <w:r w:rsidR="00CB3E2B">
              <w:rPr>
                <w:noProof/>
                <w:webHidden/>
              </w:rPr>
              <w:tab/>
            </w:r>
            <w:r w:rsidR="00CB3E2B">
              <w:rPr>
                <w:noProof/>
                <w:webHidden/>
              </w:rPr>
              <w:fldChar w:fldCharType="begin"/>
            </w:r>
            <w:r w:rsidR="00CB3E2B">
              <w:rPr>
                <w:noProof/>
                <w:webHidden/>
              </w:rPr>
              <w:instrText xml:space="preserve"> PAGEREF _Toc33021784 \h </w:instrText>
            </w:r>
            <w:r w:rsidR="00CB3E2B">
              <w:rPr>
                <w:noProof/>
                <w:webHidden/>
              </w:rPr>
            </w:r>
            <w:r w:rsidR="00CB3E2B">
              <w:rPr>
                <w:noProof/>
                <w:webHidden/>
              </w:rPr>
              <w:fldChar w:fldCharType="separate"/>
            </w:r>
            <w:r w:rsidR="001737C7">
              <w:rPr>
                <w:noProof/>
                <w:webHidden/>
              </w:rPr>
              <w:t>14</w:t>
            </w:r>
            <w:r w:rsidR="00CB3E2B">
              <w:rPr>
                <w:noProof/>
                <w:webHidden/>
              </w:rPr>
              <w:fldChar w:fldCharType="end"/>
            </w:r>
          </w:hyperlink>
        </w:p>
        <w:p w14:paraId="5F6A4458" w14:textId="46C58651" w:rsidR="00CB3E2B" w:rsidRDefault="00F4467B">
          <w:pPr>
            <w:pStyle w:val="TOC2"/>
            <w:tabs>
              <w:tab w:val="right" w:leader="dot" w:pos="8720"/>
            </w:tabs>
            <w:ind w:left="480"/>
            <w:rPr>
              <w:rFonts w:asciiTheme="minorHAnsi" w:eastAsiaTheme="minorEastAsia" w:hAnsiTheme="minorHAnsi"/>
              <w:noProof/>
              <w:sz w:val="21"/>
            </w:rPr>
          </w:pPr>
          <w:hyperlink w:anchor="_Toc33021785" w:history="1">
            <w:r w:rsidR="00CB3E2B" w:rsidRPr="0045474D">
              <w:rPr>
                <w:rStyle w:val="af2"/>
                <w:noProof/>
              </w:rPr>
              <w:t>2.6</w:t>
            </w:r>
            <w:r w:rsidR="00CB3E2B" w:rsidRPr="0045474D">
              <w:rPr>
                <w:rStyle w:val="af2"/>
                <w:noProof/>
              </w:rPr>
              <w:t>评价因子筛选</w:t>
            </w:r>
            <w:r w:rsidR="00CB3E2B">
              <w:rPr>
                <w:noProof/>
                <w:webHidden/>
              </w:rPr>
              <w:tab/>
            </w:r>
            <w:r w:rsidR="00CB3E2B">
              <w:rPr>
                <w:noProof/>
                <w:webHidden/>
              </w:rPr>
              <w:fldChar w:fldCharType="begin"/>
            </w:r>
            <w:r w:rsidR="00CB3E2B">
              <w:rPr>
                <w:noProof/>
                <w:webHidden/>
              </w:rPr>
              <w:instrText xml:space="preserve"> PAGEREF _Toc33021785 \h </w:instrText>
            </w:r>
            <w:r w:rsidR="00CB3E2B">
              <w:rPr>
                <w:noProof/>
                <w:webHidden/>
              </w:rPr>
            </w:r>
            <w:r w:rsidR="00CB3E2B">
              <w:rPr>
                <w:noProof/>
                <w:webHidden/>
              </w:rPr>
              <w:fldChar w:fldCharType="separate"/>
            </w:r>
            <w:r w:rsidR="001737C7">
              <w:rPr>
                <w:noProof/>
                <w:webHidden/>
              </w:rPr>
              <w:t>15</w:t>
            </w:r>
            <w:r w:rsidR="00CB3E2B">
              <w:rPr>
                <w:noProof/>
                <w:webHidden/>
              </w:rPr>
              <w:fldChar w:fldCharType="end"/>
            </w:r>
          </w:hyperlink>
        </w:p>
        <w:p w14:paraId="0ACCBE1C" w14:textId="65AC656D" w:rsidR="00CB3E2B" w:rsidRDefault="00F4467B">
          <w:pPr>
            <w:pStyle w:val="TOC2"/>
            <w:tabs>
              <w:tab w:val="right" w:leader="dot" w:pos="8720"/>
            </w:tabs>
            <w:ind w:left="480"/>
            <w:rPr>
              <w:rFonts w:asciiTheme="minorHAnsi" w:eastAsiaTheme="minorEastAsia" w:hAnsiTheme="minorHAnsi"/>
              <w:noProof/>
              <w:sz w:val="21"/>
            </w:rPr>
          </w:pPr>
          <w:hyperlink w:anchor="_Toc33021786" w:history="1">
            <w:r w:rsidR="00CB3E2B" w:rsidRPr="0045474D">
              <w:rPr>
                <w:rStyle w:val="af2"/>
                <w:noProof/>
              </w:rPr>
              <w:t>2.7</w:t>
            </w:r>
            <w:r w:rsidR="00CB3E2B" w:rsidRPr="0045474D">
              <w:rPr>
                <w:rStyle w:val="af2"/>
                <w:noProof/>
              </w:rPr>
              <w:t>评价标准</w:t>
            </w:r>
            <w:r w:rsidR="00CB3E2B">
              <w:rPr>
                <w:noProof/>
                <w:webHidden/>
              </w:rPr>
              <w:tab/>
            </w:r>
            <w:r w:rsidR="00CB3E2B">
              <w:rPr>
                <w:noProof/>
                <w:webHidden/>
              </w:rPr>
              <w:fldChar w:fldCharType="begin"/>
            </w:r>
            <w:r w:rsidR="00CB3E2B">
              <w:rPr>
                <w:noProof/>
                <w:webHidden/>
              </w:rPr>
              <w:instrText xml:space="preserve"> PAGEREF _Toc33021786 \h </w:instrText>
            </w:r>
            <w:r w:rsidR="00CB3E2B">
              <w:rPr>
                <w:noProof/>
                <w:webHidden/>
              </w:rPr>
            </w:r>
            <w:r w:rsidR="00CB3E2B">
              <w:rPr>
                <w:noProof/>
                <w:webHidden/>
              </w:rPr>
              <w:fldChar w:fldCharType="separate"/>
            </w:r>
            <w:r w:rsidR="001737C7">
              <w:rPr>
                <w:noProof/>
                <w:webHidden/>
              </w:rPr>
              <w:t>16</w:t>
            </w:r>
            <w:r w:rsidR="00CB3E2B">
              <w:rPr>
                <w:noProof/>
                <w:webHidden/>
              </w:rPr>
              <w:fldChar w:fldCharType="end"/>
            </w:r>
          </w:hyperlink>
        </w:p>
        <w:p w14:paraId="6BA5FF5A" w14:textId="60F36C8F" w:rsidR="00CB3E2B" w:rsidRDefault="00F4467B">
          <w:pPr>
            <w:pStyle w:val="TOC2"/>
            <w:tabs>
              <w:tab w:val="right" w:leader="dot" w:pos="8720"/>
            </w:tabs>
            <w:ind w:left="480"/>
            <w:rPr>
              <w:rFonts w:asciiTheme="minorHAnsi" w:eastAsiaTheme="minorEastAsia" w:hAnsiTheme="minorHAnsi"/>
              <w:noProof/>
              <w:sz w:val="21"/>
            </w:rPr>
          </w:pPr>
          <w:hyperlink w:anchor="_Toc33021787" w:history="1">
            <w:r w:rsidR="00CB3E2B" w:rsidRPr="0045474D">
              <w:rPr>
                <w:rStyle w:val="af2"/>
                <w:noProof/>
              </w:rPr>
              <w:t>2.8</w:t>
            </w:r>
            <w:r w:rsidR="00CB3E2B" w:rsidRPr="0045474D">
              <w:rPr>
                <w:rStyle w:val="af2"/>
                <w:noProof/>
              </w:rPr>
              <w:t>评价工作等级和评价范围</w:t>
            </w:r>
            <w:r w:rsidR="00CB3E2B">
              <w:rPr>
                <w:noProof/>
                <w:webHidden/>
              </w:rPr>
              <w:tab/>
            </w:r>
            <w:r w:rsidR="00CB3E2B">
              <w:rPr>
                <w:noProof/>
                <w:webHidden/>
              </w:rPr>
              <w:fldChar w:fldCharType="begin"/>
            </w:r>
            <w:r w:rsidR="00CB3E2B">
              <w:rPr>
                <w:noProof/>
                <w:webHidden/>
              </w:rPr>
              <w:instrText xml:space="preserve"> PAGEREF _Toc33021787 \h </w:instrText>
            </w:r>
            <w:r w:rsidR="00CB3E2B">
              <w:rPr>
                <w:noProof/>
                <w:webHidden/>
              </w:rPr>
            </w:r>
            <w:r w:rsidR="00CB3E2B">
              <w:rPr>
                <w:noProof/>
                <w:webHidden/>
              </w:rPr>
              <w:fldChar w:fldCharType="separate"/>
            </w:r>
            <w:r w:rsidR="001737C7">
              <w:rPr>
                <w:noProof/>
                <w:webHidden/>
              </w:rPr>
              <w:t>19</w:t>
            </w:r>
            <w:r w:rsidR="00CB3E2B">
              <w:rPr>
                <w:noProof/>
                <w:webHidden/>
              </w:rPr>
              <w:fldChar w:fldCharType="end"/>
            </w:r>
          </w:hyperlink>
        </w:p>
        <w:p w14:paraId="5A420EF6" w14:textId="2E358A45" w:rsidR="00CB3E2B" w:rsidRDefault="00F4467B">
          <w:pPr>
            <w:pStyle w:val="TOC2"/>
            <w:tabs>
              <w:tab w:val="right" w:leader="dot" w:pos="8720"/>
            </w:tabs>
            <w:ind w:left="480"/>
            <w:rPr>
              <w:rFonts w:asciiTheme="minorHAnsi" w:eastAsiaTheme="minorEastAsia" w:hAnsiTheme="minorHAnsi"/>
              <w:noProof/>
              <w:sz w:val="21"/>
            </w:rPr>
          </w:pPr>
          <w:hyperlink w:anchor="_Toc33021788" w:history="1">
            <w:r w:rsidR="00CB3E2B" w:rsidRPr="0045474D">
              <w:rPr>
                <w:rStyle w:val="af2"/>
                <w:noProof/>
              </w:rPr>
              <w:t>2.9</w:t>
            </w:r>
            <w:r w:rsidR="00CB3E2B" w:rsidRPr="0045474D">
              <w:rPr>
                <w:rStyle w:val="af2"/>
                <w:noProof/>
              </w:rPr>
              <w:t>保护目标及控制污染</w:t>
            </w:r>
            <w:r w:rsidR="00CB3E2B">
              <w:rPr>
                <w:noProof/>
                <w:webHidden/>
              </w:rPr>
              <w:tab/>
            </w:r>
            <w:r w:rsidR="00CB3E2B">
              <w:rPr>
                <w:noProof/>
                <w:webHidden/>
              </w:rPr>
              <w:fldChar w:fldCharType="begin"/>
            </w:r>
            <w:r w:rsidR="00CB3E2B">
              <w:rPr>
                <w:noProof/>
                <w:webHidden/>
              </w:rPr>
              <w:instrText xml:space="preserve"> PAGEREF _Toc33021788 \h </w:instrText>
            </w:r>
            <w:r w:rsidR="00CB3E2B">
              <w:rPr>
                <w:noProof/>
                <w:webHidden/>
              </w:rPr>
            </w:r>
            <w:r w:rsidR="00CB3E2B">
              <w:rPr>
                <w:noProof/>
                <w:webHidden/>
              </w:rPr>
              <w:fldChar w:fldCharType="separate"/>
            </w:r>
            <w:r w:rsidR="001737C7">
              <w:rPr>
                <w:noProof/>
                <w:webHidden/>
              </w:rPr>
              <w:t>25</w:t>
            </w:r>
            <w:r w:rsidR="00CB3E2B">
              <w:rPr>
                <w:noProof/>
                <w:webHidden/>
              </w:rPr>
              <w:fldChar w:fldCharType="end"/>
            </w:r>
          </w:hyperlink>
        </w:p>
        <w:p w14:paraId="3344E988" w14:textId="77E029A3" w:rsidR="00CB3E2B" w:rsidRDefault="00F4467B">
          <w:pPr>
            <w:pStyle w:val="TOC2"/>
            <w:tabs>
              <w:tab w:val="right" w:leader="dot" w:pos="8720"/>
            </w:tabs>
            <w:ind w:left="480"/>
            <w:rPr>
              <w:rFonts w:asciiTheme="minorHAnsi" w:eastAsiaTheme="minorEastAsia" w:hAnsiTheme="minorHAnsi"/>
              <w:noProof/>
              <w:sz w:val="21"/>
            </w:rPr>
          </w:pPr>
          <w:hyperlink w:anchor="_Toc33021789" w:history="1">
            <w:r w:rsidR="00CB3E2B" w:rsidRPr="0045474D">
              <w:rPr>
                <w:rStyle w:val="af2"/>
                <w:noProof/>
              </w:rPr>
              <w:t>2.10</w:t>
            </w:r>
            <w:r w:rsidR="00CB3E2B" w:rsidRPr="0045474D">
              <w:rPr>
                <w:rStyle w:val="af2"/>
                <w:noProof/>
              </w:rPr>
              <w:t>章节设置及评价重点</w:t>
            </w:r>
            <w:r w:rsidR="00CB3E2B">
              <w:rPr>
                <w:noProof/>
                <w:webHidden/>
              </w:rPr>
              <w:tab/>
            </w:r>
            <w:r w:rsidR="00CB3E2B">
              <w:rPr>
                <w:noProof/>
                <w:webHidden/>
              </w:rPr>
              <w:fldChar w:fldCharType="begin"/>
            </w:r>
            <w:r w:rsidR="00CB3E2B">
              <w:rPr>
                <w:noProof/>
                <w:webHidden/>
              </w:rPr>
              <w:instrText xml:space="preserve"> PAGEREF _Toc33021789 \h </w:instrText>
            </w:r>
            <w:r w:rsidR="00CB3E2B">
              <w:rPr>
                <w:noProof/>
                <w:webHidden/>
              </w:rPr>
            </w:r>
            <w:r w:rsidR="00CB3E2B">
              <w:rPr>
                <w:noProof/>
                <w:webHidden/>
              </w:rPr>
              <w:fldChar w:fldCharType="separate"/>
            </w:r>
            <w:r w:rsidR="001737C7">
              <w:rPr>
                <w:noProof/>
                <w:webHidden/>
              </w:rPr>
              <w:t>27</w:t>
            </w:r>
            <w:r w:rsidR="00CB3E2B">
              <w:rPr>
                <w:noProof/>
                <w:webHidden/>
              </w:rPr>
              <w:fldChar w:fldCharType="end"/>
            </w:r>
          </w:hyperlink>
        </w:p>
        <w:p w14:paraId="75BFCB0A" w14:textId="71CE7408" w:rsidR="00CB3E2B" w:rsidRDefault="00F4467B">
          <w:pPr>
            <w:pStyle w:val="TOC1"/>
            <w:tabs>
              <w:tab w:val="right" w:leader="dot" w:pos="8720"/>
            </w:tabs>
            <w:rPr>
              <w:rFonts w:asciiTheme="minorHAnsi" w:eastAsiaTheme="minorEastAsia" w:hAnsiTheme="minorHAnsi"/>
              <w:noProof/>
              <w:sz w:val="21"/>
            </w:rPr>
          </w:pPr>
          <w:hyperlink w:anchor="_Toc33021790" w:history="1">
            <w:r w:rsidR="00CB3E2B" w:rsidRPr="0045474D">
              <w:rPr>
                <w:rStyle w:val="af2"/>
                <w:noProof/>
              </w:rPr>
              <w:t>第三章项目概况及工程分析</w:t>
            </w:r>
            <w:r w:rsidR="00CB3E2B">
              <w:rPr>
                <w:noProof/>
                <w:webHidden/>
              </w:rPr>
              <w:tab/>
            </w:r>
            <w:r w:rsidR="00CB3E2B">
              <w:rPr>
                <w:noProof/>
                <w:webHidden/>
              </w:rPr>
              <w:fldChar w:fldCharType="begin"/>
            </w:r>
            <w:r w:rsidR="00CB3E2B">
              <w:rPr>
                <w:noProof/>
                <w:webHidden/>
              </w:rPr>
              <w:instrText xml:space="preserve"> PAGEREF _Toc33021790 \h </w:instrText>
            </w:r>
            <w:r w:rsidR="00CB3E2B">
              <w:rPr>
                <w:noProof/>
                <w:webHidden/>
              </w:rPr>
            </w:r>
            <w:r w:rsidR="00CB3E2B">
              <w:rPr>
                <w:noProof/>
                <w:webHidden/>
              </w:rPr>
              <w:fldChar w:fldCharType="separate"/>
            </w:r>
            <w:r w:rsidR="001737C7">
              <w:rPr>
                <w:noProof/>
                <w:webHidden/>
              </w:rPr>
              <w:t>28</w:t>
            </w:r>
            <w:r w:rsidR="00CB3E2B">
              <w:rPr>
                <w:noProof/>
                <w:webHidden/>
              </w:rPr>
              <w:fldChar w:fldCharType="end"/>
            </w:r>
          </w:hyperlink>
        </w:p>
        <w:p w14:paraId="59DD2728" w14:textId="18E47AC3" w:rsidR="00CB3E2B" w:rsidRDefault="00F4467B">
          <w:pPr>
            <w:pStyle w:val="TOC2"/>
            <w:tabs>
              <w:tab w:val="right" w:leader="dot" w:pos="8720"/>
            </w:tabs>
            <w:ind w:left="480"/>
            <w:rPr>
              <w:rFonts w:asciiTheme="minorHAnsi" w:eastAsiaTheme="minorEastAsia" w:hAnsiTheme="minorHAnsi"/>
              <w:noProof/>
              <w:sz w:val="21"/>
            </w:rPr>
          </w:pPr>
          <w:hyperlink w:anchor="_Toc33021791" w:history="1">
            <w:r w:rsidR="00CB3E2B" w:rsidRPr="0045474D">
              <w:rPr>
                <w:rStyle w:val="af2"/>
                <w:noProof/>
              </w:rPr>
              <w:t>3.1</w:t>
            </w:r>
            <w:r w:rsidR="00CB3E2B" w:rsidRPr="0045474D">
              <w:rPr>
                <w:rStyle w:val="af2"/>
                <w:noProof/>
              </w:rPr>
              <w:t>资源整合前项目概况与工程分析</w:t>
            </w:r>
            <w:r w:rsidR="00CB3E2B">
              <w:rPr>
                <w:noProof/>
                <w:webHidden/>
              </w:rPr>
              <w:tab/>
            </w:r>
            <w:r w:rsidR="00CB3E2B">
              <w:rPr>
                <w:noProof/>
                <w:webHidden/>
              </w:rPr>
              <w:fldChar w:fldCharType="begin"/>
            </w:r>
            <w:r w:rsidR="00CB3E2B">
              <w:rPr>
                <w:noProof/>
                <w:webHidden/>
              </w:rPr>
              <w:instrText xml:space="preserve"> PAGEREF _Toc33021791 \h </w:instrText>
            </w:r>
            <w:r w:rsidR="00CB3E2B">
              <w:rPr>
                <w:noProof/>
                <w:webHidden/>
              </w:rPr>
            </w:r>
            <w:r w:rsidR="00CB3E2B">
              <w:rPr>
                <w:noProof/>
                <w:webHidden/>
              </w:rPr>
              <w:fldChar w:fldCharType="separate"/>
            </w:r>
            <w:r w:rsidR="001737C7">
              <w:rPr>
                <w:noProof/>
                <w:webHidden/>
              </w:rPr>
              <w:t>28</w:t>
            </w:r>
            <w:r w:rsidR="00CB3E2B">
              <w:rPr>
                <w:noProof/>
                <w:webHidden/>
              </w:rPr>
              <w:fldChar w:fldCharType="end"/>
            </w:r>
          </w:hyperlink>
        </w:p>
        <w:p w14:paraId="1434125C" w14:textId="42E45C54" w:rsidR="00CB3E2B" w:rsidRDefault="00F4467B">
          <w:pPr>
            <w:pStyle w:val="TOC2"/>
            <w:tabs>
              <w:tab w:val="right" w:leader="dot" w:pos="8720"/>
            </w:tabs>
            <w:ind w:left="480"/>
            <w:rPr>
              <w:rFonts w:asciiTheme="minorHAnsi" w:eastAsiaTheme="minorEastAsia" w:hAnsiTheme="minorHAnsi"/>
              <w:noProof/>
              <w:sz w:val="21"/>
            </w:rPr>
          </w:pPr>
          <w:hyperlink w:anchor="_Toc33021792" w:history="1">
            <w:r w:rsidR="00CB3E2B" w:rsidRPr="0045474D">
              <w:rPr>
                <w:rStyle w:val="af2"/>
                <w:noProof/>
              </w:rPr>
              <w:t>3.2</w:t>
            </w:r>
            <w:r w:rsidR="00CB3E2B" w:rsidRPr="0045474D">
              <w:rPr>
                <w:rStyle w:val="af2"/>
                <w:noProof/>
              </w:rPr>
              <w:t>本项目概况</w:t>
            </w:r>
            <w:r w:rsidR="00CB3E2B">
              <w:rPr>
                <w:noProof/>
                <w:webHidden/>
              </w:rPr>
              <w:tab/>
            </w:r>
            <w:r w:rsidR="00CB3E2B">
              <w:rPr>
                <w:noProof/>
                <w:webHidden/>
              </w:rPr>
              <w:fldChar w:fldCharType="begin"/>
            </w:r>
            <w:r w:rsidR="00CB3E2B">
              <w:rPr>
                <w:noProof/>
                <w:webHidden/>
              </w:rPr>
              <w:instrText xml:space="preserve"> PAGEREF _Toc33021792 \h </w:instrText>
            </w:r>
            <w:r w:rsidR="00CB3E2B">
              <w:rPr>
                <w:noProof/>
                <w:webHidden/>
              </w:rPr>
            </w:r>
            <w:r w:rsidR="00CB3E2B">
              <w:rPr>
                <w:noProof/>
                <w:webHidden/>
              </w:rPr>
              <w:fldChar w:fldCharType="separate"/>
            </w:r>
            <w:r w:rsidR="001737C7">
              <w:rPr>
                <w:noProof/>
                <w:webHidden/>
              </w:rPr>
              <w:t>38</w:t>
            </w:r>
            <w:r w:rsidR="00CB3E2B">
              <w:rPr>
                <w:noProof/>
                <w:webHidden/>
              </w:rPr>
              <w:fldChar w:fldCharType="end"/>
            </w:r>
          </w:hyperlink>
        </w:p>
        <w:p w14:paraId="2CB10B52" w14:textId="1D7D1C64" w:rsidR="00CB3E2B" w:rsidRDefault="00F4467B">
          <w:pPr>
            <w:pStyle w:val="TOC2"/>
            <w:tabs>
              <w:tab w:val="right" w:leader="dot" w:pos="8720"/>
            </w:tabs>
            <w:ind w:left="480"/>
            <w:rPr>
              <w:rFonts w:asciiTheme="minorHAnsi" w:eastAsiaTheme="minorEastAsia" w:hAnsiTheme="minorHAnsi"/>
              <w:noProof/>
              <w:sz w:val="21"/>
            </w:rPr>
          </w:pPr>
          <w:hyperlink w:anchor="_Toc33021793" w:history="1">
            <w:r w:rsidR="00CB3E2B" w:rsidRPr="0045474D">
              <w:rPr>
                <w:rStyle w:val="af2"/>
                <w:noProof/>
              </w:rPr>
              <w:t>3.3</w:t>
            </w:r>
            <w:r w:rsidR="00CB3E2B" w:rsidRPr="0045474D">
              <w:rPr>
                <w:rStyle w:val="af2"/>
                <w:noProof/>
              </w:rPr>
              <w:t>矿区地质及矿床特征</w:t>
            </w:r>
            <w:r w:rsidR="00CB3E2B">
              <w:rPr>
                <w:noProof/>
                <w:webHidden/>
              </w:rPr>
              <w:tab/>
            </w:r>
            <w:r w:rsidR="00CB3E2B">
              <w:rPr>
                <w:noProof/>
                <w:webHidden/>
              </w:rPr>
              <w:fldChar w:fldCharType="begin"/>
            </w:r>
            <w:r w:rsidR="00CB3E2B">
              <w:rPr>
                <w:noProof/>
                <w:webHidden/>
              </w:rPr>
              <w:instrText xml:space="preserve"> PAGEREF _Toc33021793 \h </w:instrText>
            </w:r>
            <w:r w:rsidR="00CB3E2B">
              <w:rPr>
                <w:noProof/>
                <w:webHidden/>
              </w:rPr>
            </w:r>
            <w:r w:rsidR="00CB3E2B">
              <w:rPr>
                <w:noProof/>
                <w:webHidden/>
              </w:rPr>
              <w:fldChar w:fldCharType="separate"/>
            </w:r>
            <w:r w:rsidR="001737C7">
              <w:rPr>
                <w:noProof/>
                <w:webHidden/>
              </w:rPr>
              <w:t>46</w:t>
            </w:r>
            <w:r w:rsidR="00CB3E2B">
              <w:rPr>
                <w:noProof/>
                <w:webHidden/>
              </w:rPr>
              <w:fldChar w:fldCharType="end"/>
            </w:r>
          </w:hyperlink>
        </w:p>
        <w:p w14:paraId="1F0C0F99" w14:textId="308B55C9" w:rsidR="00CB3E2B" w:rsidRDefault="00F4467B">
          <w:pPr>
            <w:pStyle w:val="TOC2"/>
            <w:tabs>
              <w:tab w:val="right" w:leader="dot" w:pos="8720"/>
            </w:tabs>
            <w:ind w:left="480"/>
            <w:rPr>
              <w:rFonts w:asciiTheme="minorHAnsi" w:eastAsiaTheme="minorEastAsia" w:hAnsiTheme="minorHAnsi"/>
              <w:noProof/>
              <w:sz w:val="21"/>
            </w:rPr>
          </w:pPr>
          <w:hyperlink w:anchor="_Toc33021794" w:history="1">
            <w:r w:rsidR="00CB3E2B" w:rsidRPr="0045474D">
              <w:rPr>
                <w:rStyle w:val="af2"/>
                <w:noProof/>
              </w:rPr>
              <w:t>3.4</w:t>
            </w:r>
            <w:r w:rsidR="00CB3E2B" w:rsidRPr="0045474D">
              <w:rPr>
                <w:rStyle w:val="af2"/>
                <w:noProof/>
              </w:rPr>
              <w:t>矿山开拓方案</w:t>
            </w:r>
            <w:r w:rsidR="00CB3E2B">
              <w:rPr>
                <w:noProof/>
                <w:webHidden/>
              </w:rPr>
              <w:tab/>
            </w:r>
            <w:r w:rsidR="00CB3E2B">
              <w:rPr>
                <w:noProof/>
                <w:webHidden/>
              </w:rPr>
              <w:fldChar w:fldCharType="begin"/>
            </w:r>
            <w:r w:rsidR="00CB3E2B">
              <w:rPr>
                <w:noProof/>
                <w:webHidden/>
              </w:rPr>
              <w:instrText xml:space="preserve"> PAGEREF _Toc33021794 \h </w:instrText>
            </w:r>
            <w:r w:rsidR="00CB3E2B">
              <w:rPr>
                <w:noProof/>
                <w:webHidden/>
              </w:rPr>
            </w:r>
            <w:r w:rsidR="00CB3E2B">
              <w:rPr>
                <w:noProof/>
                <w:webHidden/>
              </w:rPr>
              <w:fldChar w:fldCharType="separate"/>
            </w:r>
            <w:r w:rsidR="001737C7">
              <w:rPr>
                <w:noProof/>
                <w:webHidden/>
              </w:rPr>
              <w:t>50</w:t>
            </w:r>
            <w:r w:rsidR="00CB3E2B">
              <w:rPr>
                <w:noProof/>
                <w:webHidden/>
              </w:rPr>
              <w:fldChar w:fldCharType="end"/>
            </w:r>
          </w:hyperlink>
        </w:p>
        <w:p w14:paraId="2CBF2D03" w14:textId="73919262" w:rsidR="00CB3E2B" w:rsidRDefault="00F4467B">
          <w:pPr>
            <w:pStyle w:val="TOC2"/>
            <w:tabs>
              <w:tab w:val="right" w:leader="dot" w:pos="8720"/>
            </w:tabs>
            <w:ind w:left="480"/>
            <w:rPr>
              <w:rFonts w:asciiTheme="minorHAnsi" w:eastAsiaTheme="minorEastAsia" w:hAnsiTheme="minorHAnsi"/>
              <w:noProof/>
              <w:sz w:val="21"/>
            </w:rPr>
          </w:pPr>
          <w:hyperlink w:anchor="_Toc33021795" w:history="1">
            <w:r w:rsidR="00CB3E2B" w:rsidRPr="0045474D">
              <w:rPr>
                <w:rStyle w:val="af2"/>
                <w:noProof/>
              </w:rPr>
              <w:t>3.5</w:t>
            </w:r>
            <w:r w:rsidR="00CB3E2B" w:rsidRPr="0045474D">
              <w:rPr>
                <w:rStyle w:val="af2"/>
                <w:noProof/>
              </w:rPr>
              <w:t>本项目建设条件</w:t>
            </w:r>
            <w:r w:rsidR="00CB3E2B">
              <w:rPr>
                <w:noProof/>
                <w:webHidden/>
              </w:rPr>
              <w:tab/>
            </w:r>
            <w:r w:rsidR="00CB3E2B">
              <w:rPr>
                <w:noProof/>
                <w:webHidden/>
              </w:rPr>
              <w:fldChar w:fldCharType="begin"/>
            </w:r>
            <w:r w:rsidR="00CB3E2B">
              <w:rPr>
                <w:noProof/>
                <w:webHidden/>
              </w:rPr>
              <w:instrText xml:space="preserve"> PAGEREF _Toc33021795 \h </w:instrText>
            </w:r>
            <w:r w:rsidR="00CB3E2B">
              <w:rPr>
                <w:noProof/>
                <w:webHidden/>
              </w:rPr>
            </w:r>
            <w:r w:rsidR="00CB3E2B">
              <w:rPr>
                <w:noProof/>
                <w:webHidden/>
              </w:rPr>
              <w:fldChar w:fldCharType="separate"/>
            </w:r>
            <w:r w:rsidR="001737C7">
              <w:rPr>
                <w:noProof/>
                <w:webHidden/>
              </w:rPr>
              <w:t>52</w:t>
            </w:r>
            <w:r w:rsidR="00CB3E2B">
              <w:rPr>
                <w:noProof/>
                <w:webHidden/>
              </w:rPr>
              <w:fldChar w:fldCharType="end"/>
            </w:r>
          </w:hyperlink>
        </w:p>
        <w:p w14:paraId="3D2E8A0E" w14:textId="06B20A16" w:rsidR="00CB3E2B" w:rsidRDefault="00F4467B">
          <w:pPr>
            <w:pStyle w:val="TOC2"/>
            <w:tabs>
              <w:tab w:val="right" w:leader="dot" w:pos="8720"/>
            </w:tabs>
            <w:ind w:left="480"/>
            <w:rPr>
              <w:rFonts w:asciiTheme="minorHAnsi" w:eastAsiaTheme="minorEastAsia" w:hAnsiTheme="minorHAnsi"/>
              <w:noProof/>
              <w:sz w:val="21"/>
            </w:rPr>
          </w:pPr>
          <w:hyperlink w:anchor="_Toc33021796" w:history="1">
            <w:r w:rsidR="00CB3E2B" w:rsidRPr="0045474D">
              <w:rPr>
                <w:rStyle w:val="af2"/>
                <w:noProof/>
              </w:rPr>
              <w:t>3.6</w:t>
            </w:r>
            <w:r w:rsidR="00CB3E2B" w:rsidRPr="0045474D">
              <w:rPr>
                <w:rStyle w:val="af2"/>
                <w:noProof/>
              </w:rPr>
              <w:t>露采区开采工艺</w:t>
            </w:r>
            <w:r w:rsidR="00CB3E2B">
              <w:rPr>
                <w:noProof/>
                <w:webHidden/>
              </w:rPr>
              <w:tab/>
            </w:r>
            <w:r w:rsidR="00CB3E2B">
              <w:rPr>
                <w:noProof/>
                <w:webHidden/>
              </w:rPr>
              <w:fldChar w:fldCharType="begin"/>
            </w:r>
            <w:r w:rsidR="00CB3E2B">
              <w:rPr>
                <w:noProof/>
                <w:webHidden/>
              </w:rPr>
              <w:instrText xml:space="preserve"> PAGEREF _Toc33021796 \h </w:instrText>
            </w:r>
            <w:r w:rsidR="00CB3E2B">
              <w:rPr>
                <w:noProof/>
                <w:webHidden/>
              </w:rPr>
            </w:r>
            <w:r w:rsidR="00CB3E2B">
              <w:rPr>
                <w:noProof/>
                <w:webHidden/>
              </w:rPr>
              <w:fldChar w:fldCharType="separate"/>
            </w:r>
            <w:r w:rsidR="001737C7">
              <w:rPr>
                <w:noProof/>
                <w:webHidden/>
              </w:rPr>
              <w:t>57</w:t>
            </w:r>
            <w:r w:rsidR="00CB3E2B">
              <w:rPr>
                <w:noProof/>
                <w:webHidden/>
              </w:rPr>
              <w:fldChar w:fldCharType="end"/>
            </w:r>
          </w:hyperlink>
        </w:p>
        <w:p w14:paraId="3D731D3E" w14:textId="15F67EBF" w:rsidR="00CB3E2B" w:rsidRDefault="00F4467B">
          <w:pPr>
            <w:pStyle w:val="TOC2"/>
            <w:tabs>
              <w:tab w:val="right" w:leader="dot" w:pos="8720"/>
            </w:tabs>
            <w:ind w:left="480"/>
            <w:rPr>
              <w:rFonts w:asciiTheme="minorHAnsi" w:eastAsiaTheme="minorEastAsia" w:hAnsiTheme="minorHAnsi"/>
              <w:noProof/>
              <w:sz w:val="21"/>
            </w:rPr>
          </w:pPr>
          <w:hyperlink w:anchor="_Toc33021797" w:history="1">
            <w:r w:rsidR="00CB3E2B" w:rsidRPr="0045474D">
              <w:rPr>
                <w:rStyle w:val="af2"/>
                <w:noProof/>
              </w:rPr>
              <w:t>3.7</w:t>
            </w:r>
            <w:r w:rsidR="00CB3E2B" w:rsidRPr="0045474D">
              <w:rPr>
                <w:rStyle w:val="af2"/>
                <w:noProof/>
              </w:rPr>
              <w:t>矿石破碎加工工艺</w:t>
            </w:r>
            <w:r w:rsidR="00CB3E2B">
              <w:rPr>
                <w:noProof/>
                <w:webHidden/>
              </w:rPr>
              <w:tab/>
            </w:r>
            <w:r w:rsidR="00CB3E2B">
              <w:rPr>
                <w:noProof/>
                <w:webHidden/>
              </w:rPr>
              <w:fldChar w:fldCharType="begin"/>
            </w:r>
            <w:r w:rsidR="00CB3E2B">
              <w:rPr>
                <w:noProof/>
                <w:webHidden/>
              </w:rPr>
              <w:instrText xml:space="preserve"> PAGEREF _Toc33021797 \h </w:instrText>
            </w:r>
            <w:r w:rsidR="00CB3E2B">
              <w:rPr>
                <w:noProof/>
                <w:webHidden/>
              </w:rPr>
            </w:r>
            <w:r w:rsidR="00CB3E2B">
              <w:rPr>
                <w:noProof/>
                <w:webHidden/>
              </w:rPr>
              <w:fldChar w:fldCharType="separate"/>
            </w:r>
            <w:r w:rsidR="001737C7">
              <w:rPr>
                <w:noProof/>
                <w:webHidden/>
              </w:rPr>
              <w:t>59</w:t>
            </w:r>
            <w:r w:rsidR="00CB3E2B">
              <w:rPr>
                <w:noProof/>
                <w:webHidden/>
              </w:rPr>
              <w:fldChar w:fldCharType="end"/>
            </w:r>
          </w:hyperlink>
        </w:p>
        <w:p w14:paraId="0435AB6B" w14:textId="5099F586" w:rsidR="00CB3E2B" w:rsidRDefault="00F4467B">
          <w:pPr>
            <w:pStyle w:val="TOC2"/>
            <w:tabs>
              <w:tab w:val="right" w:leader="dot" w:pos="8720"/>
            </w:tabs>
            <w:ind w:left="480"/>
            <w:rPr>
              <w:rFonts w:asciiTheme="minorHAnsi" w:eastAsiaTheme="minorEastAsia" w:hAnsiTheme="minorHAnsi"/>
              <w:noProof/>
              <w:sz w:val="21"/>
            </w:rPr>
          </w:pPr>
          <w:hyperlink w:anchor="_Toc33021798" w:history="1">
            <w:r w:rsidR="00CB3E2B" w:rsidRPr="0045474D">
              <w:rPr>
                <w:rStyle w:val="af2"/>
                <w:noProof/>
              </w:rPr>
              <w:t>3.8</w:t>
            </w:r>
            <w:r w:rsidR="00CB3E2B" w:rsidRPr="0045474D">
              <w:rPr>
                <w:rStyle w:val="af2"/>
                <w:noProof/>
              </w:rPr>
              <w:t>环境影响因素及污染源强核算</w:t>
            </w:r>
            <w:r w:rsidR="00CB3E2B">
              <w:rPr>
                <w:noProof/>
                <w:webHidden/>
              </w:rPr>
              <w:tab/>
            </w:r>
            <w:r w:rsidR="00CB3E2B">
              <w:rPr>
                <w:noProof/>
                <w:webHidden/>
              </w:rPr>
              <w:fldChar w:fldCharType="begin"/>
            </w:r>
            <w:r w:rsidR="00CB3E2B">
              <w:rPr>
                <w:noProof/>
                <w:webHidden/>
              </w:rPr>
              <w:instrText xml:space="preserve"> PAGEREF _Toc33021798 \h </w:instrText>
            </w:r>
            <w:r w:rsidR="00CB3E2B">
              <w:rPr>
                <w:noProof/>
                <w:webHidden/>
              </w:rPr>
            </w:r>
            <w:r w:rsidR="00CB3E2B">
              <w:rPr>
                <w:noProof/>
                <w:webHidden/>
              </w:rPr>
              <w:fldChar w:fldCharType="separate"/>
            </w:r>
            <w:r w:rsidR="001737C7">
              <w:rPr>
                <w:noProof/>
                <w:webHidden/>
              </w:rPr>
              <w:t>61</w:t>
            </w:r>
            <w:r w:rsidR="00CB3E2B">
              <w:rPr>
                <w:noProof/>
                <w:webHidden/>
              </w:rPr>
              <w:fldChar w:fldCharType="end"/>
            </w:r>
          </w:hyperlink>
        </w:p>
        <w:p w14:paraId="19FDDDD2" w14:textId="3C048AE4" w:rsidR="00CB3E2B" w:rsidRDefault="00F4467B">
          <w:pPr>
            <w:pStyle w:val="TOC2"/>
            <w:tabs>
              <w:tab w:val="right" w:leader="dot" w:pos="8720"/>
            </w:tabs>
            <w:ind w:left="480"/>
            <w:rPr>
              <w:rFonts w:asciiTheme="minorHAnsi" w:eastAsiaTheme="minorEastAsia" w:hAnsiTheme="minorHAnsi"/>
              <w:noProof/>
              <w:sz w:val="21"/>
            </w:rPr>
          </w:pPr>
          <w:hyperlink w:anchor="_Toc33021799" w:history="1">
            <w:r w:rsidR="00CB3E2B" w:rsidRPr="0045474D">
              <w:rPr>
                <w:rStyle w:val="af2"/>
                <w:noProof/>
              </w:rPr>
              <w:t>3.9</w:t>
            </w:r>
            <w:r w:rsidR="00CB3E2B" w:rsidRPr="0045474D">
              <w:rPr>
                <w:rStyle w:val="af2"/>
                <w:noProof/>
              </w:rPr>
              <w:t>营运期主要污染物排放量汇总</w:t>
            </w:r>
            <w:r w:rsidR="00CB3E2B">
              <w:rPr>
                <w:noProof/>
                <w:webHidden/>
              </w:rPr>
              <w:tab/>
            </w:r>
            <w:r w:rsidR="00CB3E2B">
              <w:rPr>
                <w:noProof/>
                <w:webHidden/>
              </w:rPr>
              <w:fldChar w:fldCharType="begin"/>
            </w:r>
            <w:r w:rsidR="00CB3E2B">
              <w:rPr>
                <w:noProof/>
                <w:webHidden/>
              </w:rPr>
              <w:instrText xml:space="preserve"> PAGEREF _Toc33021799 \h </w:instrText>
            </w:r>
            <w:r w:rsidR="00CB3E2B">
              <w:rPr>
                <w:noProof/>
                <w:webHidden/>
              </w:rPr>
            </w:r>
            <w:r w:rsidR="00CB3E2B">
              <w:rPr>
                <w:noProof/>
                <w:webHidden/>
              </w:rPr>
              <w:fldChar w:fldCharType="separate"/>
            </w:r>
            <w:r w:rsidR="001737C7">
              <w:rPr>
                <w:noProof/>
                <w:webHidden/>
              </w:rPr>
              <w:t>71</w:t>
            </w:r>
            <w:r w:rsidR="00CB3E2B">
              <w:rPr>
                <w:noProof/>
                <w:webHidden/>
              </w:rPr>
              <w:fldChar w:fldCharType="end"/>
            </w:r>
          </w:hyperlink>
        </w:p>
        <w:p w14:paraId="3B3392BD" w14:textId="798666FA" w:rsidR="00CB3E2B" w:rsidRDefault="00F4467B">
          <w:pPr>
            <w:pStyle w:val="TOC2"/>
            <w:tabs>
              <w:tab w:val="right" w:leader="dot" w:pos="8720"/>
            </w:tabs>
            <w:ind w:left="480"/>
            <w:rPr>
              <w:rFonts w:asciiTheme="minorHAnsi" w:eastAsiaTheme="minorEastAsia" w:hAnsiTheme="minorHAnsi"/>
              <w:noProof/>
              <w:sz w:val="21"/>
            </w:rPr>
          </w:pPr>
          <w:hyperlink w:anchor="_Toc33021800" w:history="1">
            <w:r w:rsidR="00CB3E2B" w:rsidRPr="0045474D">
              <w:rPr>
                <w:rStyle w:val="af2"/>
                <w:noProof/>
              </w:rPr>
              <w:t>3.10</w:t>
            </w:r>
            <w:r w:rsidR="00CB3E2B" w:rsidRPr="0045474D">
              <w:rPr>
                <w:rStyle w:val="af2"/>
                <w:noProof/>
              </w:rPr>
              <w:t>项目闭矿期环境影响因素及污染防治措施</w:t>
            </w:r>
            <w:r w:rsidR="00CB3E2B">
              <w:rPr>
                <w:noProof/>
                <w:webHidden/>
              </w:rPr>
              <w:tab/>
            </w:r>
            <w:r w:rsidR="00CB3E2B">
              <w:rPr>
                <w:noProof/>
                <w:webHidden/>
              </w:rPr>
              <w:fldChar w:fldCharType="begin"/>
            </w:r>
            <w:r w:rsidR="00CB3E2B">
              <w:rPr>
                <w:noProof/>
                <w:webHidden/>
              </w:rPr>
              <w:instrText xml:space="preserve"> PAGEREF _Toc33021800 \h </w:instrText>
            </w:r>
            <w:r w:rsidR="00CB3E2B">
              <w:rPr>
                <w:noProof/>
                <w:webHidden/>
              </w:rPr>
            </w:r>
            <w:r w:rsidR="00CB3E2B">
              <w:rPr>
                <w:noProof/>
                <w:webHidden/>
              </w:rPr>
              <w:fldChar w:fldCharType="separate"/>
            </w:r>
            <w:r w:rsidR="001737C7">
              <w:rPr>
                <w:noProof/>
                <w:webHidden/>
              </w:rPr>
              <w:t>72</w:t>
            </w:r>
            <w:r w:rsidR="00CB3E2B">
              <w:rPr>
                <w:noProof/>
                <w:webHidden/>
              </w:rPr>
              <w:fldChar w:fldCharType="end"/>
            </w:r>
          </w:hyperlink>
        </w:p>
        <w:p w14:paraId="44912125" w14:textId="0ABF497E" w:rsidR="00CB3E2B" w:rsidRDefault="00F4467B">
          <w:pPr>
            <w:pStyle w:val="TOC1"/>
            <w:tabs>
              <w:tab w:val="right" w:leader="dot" w:pos="8720"/>
            </w:tabs>
            <w:rPr>
              <w:rFonts w:asciiTheme="minorHAnsi" w:eastAsiaTheme="minorEastAsia" w:hAnsiTheme="minorHAnsi"/>
              <w:noProof/>
              <w:sz w:val="21"/>
            </w:rPr>
          </w:pPr>
          <w:hyperlink w:anchor="_Toc33021801" w:history="1">
            <w:r w:rsidR="00CB3E2B" w:rsidRPr="0045474D">
              <w:rPr>
                <w:rStyle w:val="af2"/>
                <w:noProof/>
              </w:rPr>
              <w:t>第四章环境现状调查与评价</w:t>
            </w:r>
            <w:r w:rsidR="00CB3E2B">
              <w:rPr>
                <w:noProof/>
                <w:webHidden/>
              </w:rPr>
              <w:tab/>
            </w:r>
            <w:r w:rsidR="00CB3E2B">
              <w:rPr>
                <w:noProof/>
                <w:webHidden/>
              </w:rPr>
              <w:fldChar w:fldCharType="begin"/>
            </w:r>
            <w:r w:rsidR="00CB3E2B">
              <w:rPr>
                <w:noProof/>
                <w:webHidden/>
              </w:rPr>
              <w:instrText xml:space="preserve"> PAGEREF _Toc33021801 \h </w:instrText>
            </w:r>
            <w:r w:rsidR="00CB3E2B">
              <w:rPr>
                <w:noProof/>
                <w:webHidden/>
              </w:rPr>
            </w:r>
            <w:r w:rsidR="00CB3E2B">
              <w:rPr>
                <w:noProof/>
                <w:webHidden/>
              </w:rPr>
              <w:fldChar w:fldCharType="separate"/>
            </w:r>
            <w:r w:rsidR="001737C7">
              <w:rPr>
                <w:noProof/>
                <w:webHidden/>
              </w:rPr>
              <w:t>74</w:t>
            </w:r>
            <w:r w:rsidR="00CB3E2B">
              <w:rPr>
                <w:noProof/>
                <w:webHidden/>
              </w:rPr>
              <w:fldChar w:fldCharType="end"/>
            </w:r>
          </w:hyperlink>
        </w:p>
        <w:p w14:paraId="0EB16308" w14:textId="08F9B5F7" w:rsidR="00CB3E2B" w:rsidRDefault="00F4467B">
          <w:pPr>
            <w:pStyle w:val="TOC2"/>
            <w:tabs>
              <w:tab w:val="right" w:leader="dot" w:pos="8720"/>
            </w:tabs>
            <w:ind w:left="480"/>
            <w:rPr>
              <w:rFonts w:asciiTheme="minorHAnsi" w:eastAsiaTheme="minorEastAsia" w:hAnsiTheme="minorHAnsi"/>
              <w:noProof/>
              <w:sz w:val="21"/>
            </w:rPr>
          </w:pPr>
          <w:hyperlink w:anchor="_Toc33021802" w:history="1">
            <w:r w:rsidR="00CB3E2B" w:rsidRPr="0045474D">
              <w:rPr>
                <w:rStyle w:val="af2"/>
                <w:noProof/>
              </w:rPr>
              <w:t>4.1</w:t>
            </w:r>
            <w:r w:rsidR="00CB3E2B" w:rsidRPr="0045474D">
              <w:rPr>
                <w:rStyle w:val="af2"/>
                <w:noProof/>
              </w:rPr>
              <w:t>自然环境简况</w:t>
            </w:r>
            <w:r w:rsidR="00CB3E2B">
              <w:rPr>
                <w:noProof/>
                <w:webHidden/>
              </w:rPr>
              <w:tab/>
            </w:r>
            <w:r w:rsidR="00CB3E2B">
              <w:rPr>
                <w:noProof/>
                <w:webHidden/>
              </w:rPr>
              <w:fldChar w:fldCharType="begin"/>
            </w:r>
            <w:r w:rsidR="00CB3E2B">
              <w:rPr>
                <w:noProof/>
                <w:webHidden/>
              </w:rPr>
              <w:instrText xml:space="preserve"> PAGEREF _Toc33021802 \h </w:instrText>
            </w:r>
            <w:r w:rsidR="00CB3E2B">
              <w:rPr>
                <w:noProof/>
                <w:webHidden/>
              </w:rPr>
            </w:r>
            <w:r w:rsidR="00CB3E2B">
              <w:rPr>
                <w:noProof/>
                <w:webHidden/>
              </w:rPr>
              <w:fldChar w:fldCharType="separate"/>
            </w:r>
            <w:r w:rsidR="001737C7">
              <w:rPr>
                <w:noProof/>
                <w:webHidden/>
              </w:rPr>
              <w:t>74</w:t>
            </w:r>
            <w:r w:rsidR="00CB3E2B">
              <w:rPr>
                <w:noProof/>
                <w:webHidden/>
              </w:rPr>
              <w:fldChar w:fldCharType="end"/>
            </w:r>
          </w:hyperlink>
        </w:p>
        <w:p w14:paraId="4630F489" w14:textId="342E02BD" w:rsidR="00CB3E2B" w:rsidRDefault="00F4467B">
          <w:pPr>
            <w:pStyle w:val="TOC2"/>
            <w:tabs>
              <w:tab w:val="right" w:leader="dot" w:pos="8720"/>
            </w:tabs>
            <w:ind w:left="480"/>
            <w:rPr>
              <w:rFonts w:asciiTheme="minorHAnsi" w:eastAsiaTheme="minorEastAsia" w:hAnsiTheme="minorHAnsi"/>
              <w:noProof/>
              <w:sz w:val="21"/>
            </w:rPr>
          </w:pPr>
          <w:hyperlink w:anchor="_Toc33021803" w:history="1">
            <w:r w:rsidR="00CB3E2B" w:rsidRPr="0045474D">
              <w:rPr>
                <w:rStyle w:val="af2"/>
                <w:noProof/>
              </w:rPr>
              <w:t>4.2</w:t>
            </w:r>
            <w:r w:rsidR="00CB3E2B" w:rsidRPr="0045474D">
              <w:rPr>
                <w:rStyle w:val="af2"/>
                <w:noProof/>
              </w:rPr>
              <w:t>项目周边污染源</w:t>
            </w:r>
            <w:r w:rsidR="00CB3E2B">
              <w:rPr>
                <w:noProof/>
                <w:webHidden/>
              </w:rPr>
              <w:tab/>
            </w:r>
            <w:r w:rsidR="00CB3E2B">
              <w:rPr>
                <w:noProof/>
                <w:webHidden/>
              </w:rPr>
              <w:fldChar w:fldCharType="begin"/>
            </w:r>
            <w:r w:rsidR="00CB3E2B">
              <w:rPr>
                <w:noProof/>
                <w:webHidden/>
              </w:rPr>
              <w:instrText xml:space="preserve"> PAGEREF _Toc33021803 \h </w:instrText>
            </w:r>
            <w:r w:rsidR="00CB3E2B">
              <w:rPr>
                <w:noProof/>
                <w:webHidden/>
              </w:rPr>
            </w:r>
            <w:r w:rsidR="00CB3E2B">
              <w:rPr>
                <w:noProof/>
                <w:webHidden/>
              </w:rPr>
              <w:fldChar w:fldCharType="separate"/>
            </w:r>
            <w:r w:rsidR="001737C7">
              <w:rPr>
                <w:noProof/>
                <w:webHidden/>
              </w:rPr>
              <w:t>78</w:t>
            </w:r>
            <w:r w:rsidR="00CB3E2B">
              <w:rPr>
                <w:noProof/>
                <w:webHidden/>
              </w:rPr>
              <w:fldChar w:fldCharType="end"/>
            </w:r>
          </w:hyperlink>
        </w:p>
        <w:p w14:paraId="5F22024F" w14:textId="573E5A03" w:rsidR="00CB3E2B" w:rsidRDefault="00F4467B">
          <w:pPr>
            <w:pStyle w:val="TOC2"/>
            <w:tabs>
              <w:tab w:val="right" w:leader="dot" w:pos="8720"/>
            </w:tabs>
            <w:ind w:left="480"/>
            <w:rPr>
              <w:rFonts w:asciiTheme="minorHAnsi" w:eastAsiaTheme="minorEastAsia" w:hAnsiTheme="minorHAnsi"/>
              <w:noProof/>
              <w:sz w:val="21"/>
            </w:rPr>
          </w:pPr>
          <w:hyperlink w:anchor="_Toc33021804" w:history="1">
            <w:r w:rsidR="00CB3E2B" w:rsidRPr="0045474D">
              <w:rPr>
                <w:rStyle w:val="af2"/>
                <w:noProof/>
              </w:rPr>
              <w:t>4.3</w:t>
            </w:r>
            <w:r w:rsidR="00CB3E2B" w:rsidRPr="0045474D">
              <w:rPr>
                <w:rStyle w:val="af2"/>
                <w:noProof/>
              </w:rPr>
              <w:t>环境质量现状监测与评价</w:t>
            </w:r>
            <w:r w:rsidR="00CB3E2B">
              <w:rPr>
                <w:noProof/>
                <w:webHidden/>
              </w:rPr>
              <w:tab/>
            </w:r>
            <w:r w:rsidR="00CB3E2B">
              <w:rPr>
                <w:noProof/>
                <w:webHidden/>
              </w:rPr>
              <w:fldChar w:fldCharType="begin"/>
            </w:r>
            <w:r w:rsidR="00CB3E2B">
              <w:rPr>
                <w:noProof/>
                <w:webHidden/>
              </w:rPr>
              <w:instrText xml:space="preserve"> PAGEREF _Toc33021804 \h </w:instrText>
            </w:r>
            <w:r w:rsidR="00CB3E2B">
              <w:rPr>
                <w:noProof/>
                <w:webHidden/>
              </w:rPr>
            </w:r>
            <w:r w:rsidR="00CB3E2B">
              <w:rPr>
                <w:noProof/>
                <w:webHidden/>
              </w:rPr>
              <w:fldChar w:fldCharType="separate"/>
            </w:r>
            <w:r w:rsidR="001737C7">
              <w:rPr>
                <w:noProof/>
                <w:webHidden/>
              </w:rPr>
              <w:t>78</w:t>
            </w:r>
            <w:r w:rsidR="00CB3E2B">
              <w:rPr>
                <w:noProof/>
                <w:webHidden/>
              </w:rPr>
              <w:fldChar w:fldCharType="end"/>
            </w:r>
          </w:hyperlink>
        </w:p>
        <w:p w14:paraId="36BF8909" w14:textId="2E2A2C32" w:rsidR="00CB3E2B" w:rsidRDefault="00F4467B">
          <w:pPr>
            <w:pStyle w:val="TOC1"/>
            <w:tabs>
              <w:tab w:val="right" w:leader="dot" w:pos="8720"/>
            </w:tabs>
            <w:rPr>
              <w:rFonts w:asciiTheme="minorHAnsi" w:eastAsiaTheme="minorEastAsia" w:hAnsiTheme="minorHAnsi"/>
              <w:noProof/>
              <w:sz w:val="21"/>
            </w:rPr>
          </w:pPr>
          <w:hyperlink w:anchor="_Toc33021805" w:history="1">
            <w:r w:rsidR="00CB3E2B" w:rsidRPr="0045474D">
              <w:rPr>
                <w:rStyle w:val="af2"/>
                <w:noProof/>
              </w:rPr>
              <w:t>第五章环境影响预测与评价</w:t>
            </w:r>
            <w:r w:rsidR="00CB3E2B">
              <w:rPr>
                <w:noProof/>
                <w:webHidden/>
              </w:rPr>
              <w:tab/>
            </w:r>
            <w:r w:rsidR="00CB3E2B">
              <w:rPr>
                <w:noProof/>
                <w:webHidden/>
              </w:rPr>
              <w:fldChar w:fldCharType="begin"/>
            </w:r>
            <w:r w:rsidR="00CB3E2B">
              <w:rPr>
                <w:noProof/>
                <w:webHidden/>
              </w:rPr>
              <w:instrText xml:space="preserve"> PAGEREF _Toc33021805 \h </w:instrText>
            </w:r>
            <w:r w:rsidR="00CB3E2B">
              <w:rPr>
                <w:noProof/>
                <w:webHidden/>
              </w:rPr>
            </w:r>
            <w:r w:rsidR="00CB3E2B">
              <w:rPr>
                <w:noProof/>
                <w:webHidden/>
              </w:rPr>
              <w:fldChar w:fldCharType="separate"/>
            </w:r>
            <w:r w:rsidR="001737C7">
              <w:rPr>
                <w:noProof/>
                <w:webHidden/>
              </w:rPr>
              <w:t>89</w:t>
            </w:r>
            <w:r w:rsidR="00CB3E2B">
              <w:rPr>
                <w:noProof/>
                <w:webHidden/>
              </w:rPr>
              <w:fldChar w:fldCharType="end"/>
            </w:r>
          </w:hyperlink>
        </w:p>
        <w:p w14:paraId="6CF8ED2B" w14:textId="08DA172E" w:rsidR="00CB3E2B" w:rsidRDefault="00F4467B">
          <w:pPr>
            <w:pStyle w:val="TOC2"/>
            <w:tabs>
              <w:tab w:val="right" w:leader="dot" w:pos="8720"/>
            </w:tabs>
            <w:ind w:left="480"/>
            <w:rPr>
              <w:rFonts w:asciiTheme="minorHAnsi" w:eastAsiaTheme="minorEastAsia" w:hAnsiTheme="minorHAnsi"/>
              <w:noProof/>
              <w:sz w:val="21"/>
            </w:rPr>
          </w:pPr>
          <w:hyperlink w:anchor="_Toc33021806" w:history="1">
            <w:r w:rsidR="00CB3E2B" w:rsidRPr="0045474D">
              <w:rPr>
                <w:rStyle w:val="af2"/>
                <w:noProof/>
              </w:rPr>
              <w:t>5.1</w:t>
            </w:r>
            <w:r w:rsidR="00CB3E2B" w:rsidRPr="0045474D">
              <w:rPr>
                <w:rStyle w:val="af2"/>
                <w:noProof/>
              </w:rPr>
              <w:t>建设期环境影响分析</w:t>
            </w:r>
            <w:r w:rsidR="00CB3E2B">
              <w:rPr>
                <w:noProof/>
                <w:webHidden/>
              </w:rPr>
              <w:tab/>
            </w:r>
            <w:r w:rsidR="00CB3E2B">
              <w:rPr>
                <w:noProof/>
                <w:webHidden/>
              </w:rPr>
              <w:fldChar w:fldCharType="begin"/>
            </w:r>
            <w:r w:rsidR="00CB3E2B">
              <w:rPr>
                <w:noProof/>
                <w:webHidden/>
              </w:rPr>
              <w:instrText xml:space="preserve"> PAGEREF _Toc33021806 \h </w:instrText>
            </w:r>
            <w:r w:rsidR="00CB3E2B">
              <w:rPr>
                <w:noProof/>
                <w:webHidden/>
              </w:rPr>
            </w:r>
            <w:r w:rsidR="00CB3E2B">
              <w:rPr>
                <w:noProof/>
                <w:webHidden/>
              </w:rPr>
              <w:fldChar w:fldCharType="separate"/>
            </w:r>
            <w:r w:rsidR="001737C7">
              <w:rPr>
                <w:noProof/>
                <w:webHidden/>
              </w:rPr>
              <w:t>89</w:t>
            </w:r>
            <w:r w:rsidR="00CB3E2B">
              <w:rPr>
                <w:noProof/>
                <w:webHidden/>
              </w:rPr>
              <w:fldChar w:fldCharType="end"/>
            </w:r>
          </w:hyperlink>
        </w:p>
        <w:p w14:paraId="24AF6EBA" w14:textId="1DF32B2E" w:rsidR="00CB3E2B" w:rsidRDefault="00F4467B">
          <w:pPr>
            <w:pStyle w:val="TOC2"/>
            <w:tabs>
              <w:tab w:val="right" w:leader="dot" w:pos="8720"/>
            </w:tabs>
            <w:ind w:left="480"/>
            <w:rPr>
              <w:rFonts w:asciiTheme="minorHAnsi" w:eastAsiaTheme="minorEastAsia" w:hAnsiTheme="minorHAnsi"/>
              <w:noProof/>
              <w:sz w:val="21"/>
            </w:rPr>
          </w:pPr>
          <w:hyperlink w:anchor="_Toc33021807" w:history="1">
            <w:r w:rsidR="00CB3E2B" w:rsidRPr="0045474D">
              <w:rPr>
                <w:rStyle w:val="af2"/>
                <w:noProof/>
              </w:rPr>
              <w:t>5.2</w:t>
            </w:r>
            <w:r w:rsidR="00CB3E2B" w:rsidRPr="0045474D">
              <w:rPr>
                <w:rStyle w:val="af2"/>
                <w:noProof/>
              </w:rPr>
              <w:t>矿山营运期环境影响分析</w:t>
            </w:r>
            <w:r w:rsidR="00CB3E2B">
              <w:rPr>
                <w:noProof/>
                <w:webHidden/>
              </w:rPr>
              <w:tab/>
            </w:r>
            <w:r w:rsidR="00CB3E2B">
              <w:rPr>
                <w:noProof/>
                <w:webHidden/>
              </w:rPr>
              <w:fldChar w:fldCharType="begin"/>
            </w:r>
            <w:r w:rsidR="00CB3E2B">
              <w:rPr>
                <w:noProof/>
                <w:webHidden/>
              </w:rPr>
              <w:instrText xml:space="preserve"> PAGEREF _Toc33021807 \h </w:instrText>
            </w:r>
            <w:r w:rsidR="00CB3E2B">
              <w:rPr>
                <w:noProof/>
                <w:webHidden/>
              </w:rPr>
            </w:r>
            <w:r w:rsidR="00CB3E2B">
              <w:rPr>
                <w:noProof/>
                <w:webHidden/>
              </w:rPr>
              <w:fldChar w:fldCharType="separate"/>
            </w:r>
            <w:r w:rsidR="001737C7">
              <w:rPr>
                <w:noProof/>
                <w:webHidden/>
              </w:rPr>
              <w:t>93</w:t>
            </w:r>
            <w:r w:rsidR="00CB3E2B">
              <w:rPr>
                <w:noProof/>
                <w:webHidden/>
              </w:rPr>
              <w:fldChar w:fldCharType="end"/>
            </w:r>
          </w:hyperlink>
        </w:p>
        <w:p w14:paraId="7937A2D1" w14:textId="06F3A095" w:rsidR="00CB3E2B" w:rsidRDefault="00F4467B">
          <w:pPr>
            <w:pStyle w:val="TOC2"/>
            <w:tabs>
              <w:tab w:val="right" w:leader="dot" w:pos="8720"/>
            </w:tabs>
            <w:ind w:left="480"/>
            <w:rPr>
              <w:rFonts w:asciiTheme="minorHAnsi" w:eastAsiaTheme="minorEastAsia" w:hAnsiTheme="minorHAnsi"/>
              <w:noProof/>
              <w:sz w:val="21"/>
            </w:rPr>
          </w:pPr>
          <w:hyperlink w:anchor="_Toc33021808" w:history="1">
            <w:r w:rsidR="00CB3E2B" w:rsidRPr="0045474D">
              <w:rPr>
                <w:rStyle w:val="af2"/>
                <w:noProof/>
              </w:rPr>
              <w:t>5.3</w:t>
            </w:r>
            <w:r w:rsidR="00CB3E2B" w:rsidRPr="0045474D">
              <w:rPr>
                <w:rStyle w:val="af2"/>
                <w:noProof/>
              </w:rPr>
              <w:t>环境风险评价</w:t>
            </w:r>
            <w:r w:rsidR="00CB3E2B">
              <w:rPr>
                <w:noProof/>
                <w:webHidden/>
              </w:rPr>
              <w:tab/>
            </w:r>
            <w:r w:rsidR="00CB3E2B">
              <w:rPr>
                <w:noProof/>
                <w:webHidden/>
              </w:rPr>
              <w:fldChar w:fldCharType="begin"/>
            </w:r>
            <w:r w:rsidR="00CB3E2B">
              <w:rPr>
                <w:noProof/>
                <w:webHidden/>
              </w:rPr>
              <w:instrText xml:space="preserve"> PAGEREF _Toc33021808 \h </w:instrText>
            </w:r>
            <w:r w:rsidR="00CB3E2B">
              <w:rPr>
                <w:noProof/>
                <w:webHidden/>
              </w:rPr>
            </w:r>
            <w:r w:rsidR="00CB3E2B">
              <w:rPr>
                <w:noProof/>
                <w:webHidden/>
              </w:rPr>
              <w:fldChar w:fldCharType="separate"/>
            </w:r>
            <w:r w:rsidR="001737C7">
              <w:rPr>
                <w:noProof/>
                <w:webHidden/>
              </w:rPr>
              <w:t>107</w:t>
            </w:r>
            <w:r w:rsidR="00CB3E2B">
              <w:rPr>
                <w:noProof/>
                <w:webHidden/>
              </w:rPr>
              <w:fldChar w:fldCharType="end"/>
            </w:r>
          </w:hyperlink>
        </w:p>
        <w:p w14:paraId="666E368B" w14:textId="6ACDCC6A" w:rsidR="00CB3E2B" w:rsidRDefault="00F4467B">
          <w:pPr>
            <w:pStyle w:val="TOC1"/>
            <w:tabs>
              <w:tab w:val="right" w:leader="dot" w:pos="8720"/>
            </w:tabs>
            <w:rPr>
              <w:rFonts w:asciiTheme="minorHAnsi" w:eastAsiaTheme="minorEastAsia" w:hAnsiTheme="minorHAnsi"/>
              <w:noProof/>
              <w:sz w:val="21"/>
            </w:rPr>
          </w:pPr>
          <w:hyperlink w:anchor="_Toc33021809" w:history="1">
            <w:r w:rsidR="00CB3E2B" w:rsidRPr="0045474D">
              <w:rPr>
                <w:rStyle w:val="af2"/>
                <w:noProof/>
              </w:rPr>
              <w:t>第六章生态环境现状调查及影响评价</w:t>
            </w:r>
            <w:r w:rsidR="00CB3E2B">
              <w:rPr>
                <w:noProof/>
                <w:webHidden/>
              </w:rPr>
              <w:tab/>
            </w:r>
            <w:r w:rsidR="00CB3E2B">
              <w:rPr>
                <w:noProof/>
                <w:webHidden/>
              </w:rPr>
              <w:fldChar w:fldCharType="begin"/>
            </w:r>
            <w:r w:rsidR="00CB3E2B">
              <w:rPr>
                <w:noProof/>
                <w:webHidden/>
              </w:rPr>
              <w:instrText xml:space="preserve"> PAGEREF _Toc33021809 \h </w:instrText>
            </w:r>
            <w:r w:rsidR="00CB3E2B">
              <w:rPr>
                <w:noProof/>
                <w:webHidden/>
              </w:rPr>
            </w:r>
            <w:r w:rsidR="00CB3E2B">
              <w:rPr>
                <w:noProof/>
                <w:webHidden/>
              </w:rPr>
              <w:fldChar w:fldCharType="separate"/>
            </w:r>
            <w:r w:rsidR="001737C7">
              <w:rPr>
                <w:noProof/>
                <w:webHidden/>
              </w:rPr>
              <w:t>120</w:t>
            </w:r>
            <w:r w:rsidR="00CB3E2B">
              <w:rPr>
                <w:noProof/>
                <w:webHidden/>
              </w:rPr>
              <w:fldChar w:fldCharType="end"/>
            </w:r>
          </w:hyperlink>
        </w:p>
        <w:p w14:paraId="2D2F4DD6" w14:textId="3BB821C3" w:rsidR="00CB3E2B" w:rsidRDefault="00F4467B">
          <w:pPr>
            <w:pStyle w:val="TOC2"/>
            <w:tabs>
              <w:tab w:val="right" w:leader="dot" w:pos="8720"/>
            </w:tabs>
            <w:ind w:left="480"/>
            <w:rPr>
              <w:rFonts w:asciiTheme="minorHAnsi" w:eastAsiaTheme="minorEastAsia" w:hAnsiTheme="minorHAnsi"/>
              <w:noProof/>
              <w:sz w:val="21"/>
            </w:rPr>
          </w:pPr>
          <w:hyperlink w:anchor="_Toc33021810" w:history="1">
            <w:r w:rsidR="00CB3E2B" w:rsidRPr="0045474D">
              <w:rPr>
                <w:rStyle w:val="af2"/>
                <w:noProof/>
              </w:rPr>
              <w:t>6.1</w:t>
            </w:r>
            <w:r w:rsidR="00CB3E2B" w:rsidRPr="0045474D">
              <w:rPr>
                <w:rStyle w:val="af2"/>
                <w:noProof/>
              </w:rPr>
              <w:t>评价目的、方法</w:t>
            </w:r>
            <w:r w:rsidR="00CB3E2B">
              <w:rPr>
                <w:noProof/>
                <w:webHidden/>
              </w:rPr>
              <w:tab/>
            </w:r>
            <w:r w:rsidR="00CB3E2B">
              <w:rPr>
                <w:noProof/>
                <w:webHidden/>
              </w:rPr>
              <w:fldChar w:fldCharType="begin"/>
            </w:r>
            <w:r w:rsidR="00CB3E2B">
              <w:rPr>
                <w:noProof/>
                <w:webHidden/>
              </w:rPr>
              <w:instrText xml:space="preserve"> PAGEREF _Toc33021810 \h </w:instrText>
            </w:r>
            <w:r w:rsidR="00CB3E2B">
              <w:rPr>
                <w:noProof/>
                <w:webHidden/>
              </w:rPr>
            </w:r>
            <w:r w:rsidR="00CB3E2B">
              <w:rPr>
                <w:noProof/>
                <w:webHidden/>
              </w:rPr>
              <w:fldChar w:fldCharType="separate"/>
            </w:r>
            <w:r w:rsidR="001737C7">
              <w:rPr>
                <w:noProof/>
                <w:webHidden/>
              </w:rPr>
              <w:t>120</w:t>
            </w:r>
            <w:r w:rsidR="00CB3E2B">
              <w:rPr>
                <w:noProof/>
                <w:webHidden/>
              </w:rPr>
              <w:fldChar w:fldCharType="end"/>
            </w:r>
          </w:hyperlink>
        </w:p>
        <w:p w14:paraId="0AC9CE55" w14:textId="11AD902B" w:rsidR="00CB3E2B" w:rsidRDefault="00F4467B">
          <w:pPr>
            <w:pStyle w:val="TOC2"/>
            <w:tabs>
              <w:tab w:val="right" w:leader="dot" w:pos="8720"/>
            </w:tabs>
            <w:ind w:left="480"/>
            <w:rPr>
              <w:rFonts w:asciiTheme="minorHAnsi" w:eastAsiaTheme="minorEastAsia" w:hAnsiTheme="minorHAnsi"/>
              <w:noProof/>
              <w:sz w:val="21"/>
            </w:rPr>
          </w:pPr>
          <w:hyperlink w:anchor="_Toc33021811" w:history="1">
            <w:r w:rsidR="00CB3E2B" w:rsidRPr="0045474D">
              <w:rPr>
                <w:rStyle w:val="af2"/>
                <w:noProof/>
              </w:rPr>
              <w:t>6.2</w:t>
            </w:r>
            <w:r w:rsidR="00CB3E2B" w:rsidRPr="0045474D">
              <w:rPr>
                <w:rStyle w:val="af2"/>
                <w:noProof/>
              </w:rPr>
              <w:t>生态环境现状调查及评价</w:t>
            </w:r>
            <w:r w:rsidR="00CB3E2B">
              <w:rPr>
                <w:noProof/>
                <w:webHidden/>
              </w:rPr>
              <w:tab/>
            </w:r>
            <w:r w:rsidR="00CB3E2B">
              <w:rPr>
                <w:noProof/>
                <w:webHidden/>
              </w:rPr>
              <w:fldChar w:fldCharType="begin"/>
            </w:r>
            <w:r w:rsidR="00CB3E2B">
              <w:rPr>
                <w:noProof/>
                <w:webHidden/>
              </w:rPr>
              <w:instrText xml:space="preserve"> PAGEREF _Toc33021811 \h </w:instrText>
            </w:r>
            <w:r w:rsidR="00CB3E2B">
              <w:rPr>
                <w:noProof/>
                <w:webHidden/>
              </w:rPr>
            </w:r>
            <w:r w:rsidR="00CB3E2B">
              <w:rPr>
                <w:noProof/>
                <w:webHidden/>
              </w:rPr>
              <w:fldChar w:fldCharType="separate"/>
            </w:r>
            <w:r w:rsidR="001737C7">
              <w:rPr>
                <w:noProof/>
                <w:webHidden/>
              </w:rPr>
              <w:t>121</w:t>
            </w:r>
            <w:r w:rsidR="00CB3E2B">
              <w:rPr>
                <w:noProof/>
                <w:webHidden/>
              </w:rPr>
              <w:fldChar w:fldCharType="end"/>
            </w:r>
          </w:hyperlink>
        </w:p>
        <w:p w14:paraId="7AFD4035" w14:textId="374909D0" w:rsidR="00CB3E2B" w:rsidRDefault="00F4467B">
          <w:pPr>
            <w:pStyle w:val="TOC2"/>
            <w:tabs>
              <w:tab w:val="right" w:leader="dot" w:pos="8720"/>
            </w:tabs>
            <w:ind w:left="480"/>
            <w:rPr>
              <w:rFonts w:asciiTheme="minorHAnsi" w:eastAsiaTheme="minorEastAsia" w:hAnsiTheme="minorHAnsi"/>
              <w:noProof/>
              <w:sz w:val="21"/>
            </w:rPr>
          </w:pPr>
          <w:hyperlink w:anchor="_Toc33021812" w:history="1">
            <w:r w:rsidR="00CB3E2B" w:rsidRPr="0045474D">
              <w:rPr>
                <w:rStyle w:val="af2"/>
                <w:noProof/>
              </w:rPr>
              <w:t>6.3</w:t>
            </w:r>
            <w:r w:rsidR="00CB3E2B" w:rsidRPr="0045474D">
              <w:rPr>
                <w:rStyle w:val="af2"/>
                <w:noProof/>
              </w:rPr>
              <w:t>生态环境影响与评价</w:t>
            </w:r>
            <w:r w:rsidR="00CB3E2B">
              <w:rPr>
                <w:noProof/>
                <w:webHidden/>
              </w:rPr>
              <w:tab/>
            </w:r>
            <w:r w:rsidR="00CB3E2B">
              <w:rPr>
                <w:noProof/>
                <w:webHidden/>
              </w:rPr>
              <w:fldChar w:fldCharType="begin"/>
            </w:r>
            <w:r w:rsidR="00CB3E2B">
              <w:rPr>
                <w:noProof/>
                <w:webHidden/>
              </w:rPr>
              <w:instrText xml:space="preserve"> PAGEREF _Toc33021812 \h </w:instrText>
            </w:r>
            <w:r w:rsidR="00CB3E2B">
              <w:rPr>
                <w:noProof/>
                <w:webHidden/>
              </w:rPr>
            </w:r>
            <w:r w:rsidR="00CB3E2B">
              <w:rPr>
                <w:noProof/>
                <w:webHidden/>
              </w:rPr>
              <w:fldChar w:fldCharType="separate"/>
            </w:r>
            <w:r w:rsidR="001737C7">
              <w:rPr>
                <w:noProof/>
                <w:webHidden/>
              </w:rPr>
              <w:t>127</w:t>
            </w:r>
            <w:r w:rsidR="00CB3E2B">
              <w:rPr>
                <w:noProof/>
                <w:webHidden/>
              </w:rPr>
              <w:fldChar w:fldCharType="end"/>
            </w:r>
          </w:hyperlink>
        </w:p>
        <w:p w14:paraId="60952D55" w14:textId="04582240" w:rsidR="00CB3E2B" w:rsidRDefault="00F4467B">
          <w:pPr>
            <w:pStyle w:val="TOC2"/>
            <w:tabs>
              <w:tab w:val="right" w:leader="dot" w:pos="8720"/>
            </w:tabs>
            <w:ind w:left="480"/>
            <w:rPr>
              <w:rFonts w:asciiTheme="minorHAnsi" w:eastAsiaTheme="minorEastAsia" w:hAnsiTheme="minorHAnsi"/>
              <w:noProof/>
              <w:sz w:val="21"/>
            </w:rPr>
          </w:pPr>
          <w:hyperlink w:anchor="_Toc33021813" w:history="1">
            <w:r w:rsidR="00CB3E2B" w:rsidRPr="0045474D">
              <w:rPr>
                <w:rStyle w:val="af2"/>
                <w:noProof/>
              </w:rPr>
              <w:t>6.4</w:t>
            </w:r>
            <w:r w:rsidR="00CB3E2B" w:rsidRPr="0045474D">
              <w:rPr>
                <w:rStyle w:val="af2"/>
                <w:noProof/>
              </w:rPr>
              <w:t>生态环境保护与恢复措施分析</w:t>
            </w:r>
            <w:r w:rsidR="00CB3E2B">
              <w:rPr>
                <w:noProof/>
                <w:webHidden/>
              </w:rPr>
              <w:tab/>
            </w:r>
            <w:r w:rsidR="00CB3E2B">
              <w:rPr>
                <w:noProof/>
                <w:webHidden/>
              </w:rPr>
              <w:fldChar w:fldCharType="begin"/>
            </w:r>
            <w:r w:rsidR="00CB3E2B">
              <w:rPr>
                <w:noProof/>
                <w:webHidden/>
              </w:rPr>
              <w:instrText xml:space="preserve"> PAGEREF _Toc33021813 \h </w:instrText>
            </w:r>
            <w:r w:rsidR="00CB3E2B">
              <w:rPr>
                <w:noProof/>
                <w:webHidden/>
              </w:rPr>
            </w:r>
            <w:r w:rsidR="00CB3E2B">
              <w:rPr>
                <w:noProof/>
                <w:webHidden/>
              </w:rPr>
              <w:fldChar w:fldCharType="separate"/>
            </w:r>
            <w:r w:rsidR="001737C7">
              <w:rPr>
                <w:noProof/>
                <w:webHidden/>
              </w:rPr>
              <w:t>136</w:t>
            </w:r>
            <w:r w:rsidR="00CB3E2B">
              <w:rPr>
                <w:noProof/>
                <w:webHidden/>
              </w:rPr>
              <w:fldChar w:fldCharType="end"/>
            </w:r>
          </w:hyperlink>
        </w:p>
        <w:p w14:paraId="55F90E4A" w14:textId="1584D574" w:rsidR="00CB3E2B" w:rsidRDefault="00F4467B">
          <w:pPr>
            <w:pStyle w:val="TOC2"/>
            <w:tabs>
              <w:tab w:val="right" w:leader="dot" w:pos="8720"/>
            </w:tabs>
            <w:ind w:left="480"/>
            <w:rPr>
              <w:rFonts w:asciiTheme="minorHAnsi" w:eastAsiaTheme="minorEastAsia" w:hAnsiTheme="minorHAnsi"/>
              <w:noProof/>
              <w:sz w:val="21"/>
            </w:rPr>
          </w:pPr>
          <w:hyperlink w:anchor="_Toc33021814" w:history="1">
            <w:r w:rsidR="00CB3E2B" w:rsidRPr="0045474D">
              <w:rPr>
                <w:rStyle w:val="af2"/>
                <w:noProof/>
              </w:rPr>
              <w:t>6.5</w:t>
            </w:r>
            <w:r w:rsidR="00CB3E2B" w:rsidRPr="0045474D">
              <w:rPr>
                <w:rStyle w:val="af2"/>
                <w:noProof/>
              </w:rPr>
              <w:t>矿山生态环境保护与恢复治理技术规范（试行）要求的生态保护措施</w:t>
            </w:r>
            <w:r w:rsidR="00CB3E2B">
              <w:rPr>
                <w:noProof/>
                <w:webHidden/>
              </w:rPr>
              <w:tab/>
            </w:r>
            <w:r w:rsidR="00CB3E2B">
              <w:rPr>
                <w:noProof/>
                <w:webHidden/>
              </w:rPr>
              <w:fldChar w:fldCharType="begin"/>
            </w:r>
            <w:r w:rsidR="00CB3E2B">
              <w:rPr>
                <w:noProof/>
                <w:webHidden/>
              </w:rPr>
              <w:instrText xml:space="preserve"> PAGEREF _Toc33021814 \h </w:instrText>
            </w:r>
            <w:r w:rsidR="00CB3E2B">
              <w:rPr>
                <w:noProof/>
                <w:webHidden/>
              </w:rPr>
            </w:r>
            <w:r w:rsidR="00CB3E2B">
              <w:rPr>
                <w:noProof/>
                <w:webHidden/>
              </w:rPr>
              <w:fldChar w:fldCharType="separate"/>
            </w:r>
            <w:r w:rsidR="001737C7">
              <w:rPr>
                <w:noProof/>
                <w:webHidden/>
              </w:rPr>
              <w:t>140</w:t>
            </w:r>
            <w:r w:rsidR="00CB3E2B">
              <w:rPr>
                <w:noProof/>
                <w:webHidden/>
              </w:rPr>
              <w:fldChar w:fldCharType="end"/>
            </w:r>
          </w:hyperlink>
        </w:p>
        <w:p w14:paraId="4EA602C0" w14:textId="5DA1928B" w:rsidR="00CB3E2B" w:rsidRDefault="00F4467B">
          <w:pPr>
            <w:pStyle w:val="TOC1"/>
            <w:tabs>
              <w:tab w:val="right" w:leader="dot" w:pos="8720"/>
            </w:tabs>
            <w:rPr>
              <w:rFonts w:asciiTheme="minorHAnsi" w:eastAsiaTheme="minorEastAsia" w:hAnsiTheme="minorHAnsi"/>
              <w:noProof/>
              <w:sz w:val="21"/>
            </w:rPr>
          </w:pPr>
          <w:hyperlink w:anchor="_Toc33021815" w:history="1">
            <w:r w:rsidR="00CB3E2B" w:rsidRPr="0045474D">
              <w:rPr>
                <w:rStyle w:val="af2"/>
                <w:noProof/>
              </w:rPr>
              <w:t>第七章环境保护措施及其可行性论证</w:t>
            </w:r>
            <w:r w:rsidR="00CB3E2B">
              <w:rPr>
                <w:noProof/>
                <w:webHidden/>
              </w:rPr>
              <w:tab/>
            </w:r>
            <w:r w:rsidR="00CB3E2B">
              <w:rPr>
                <w:noProof/>
                <w:webHidden/>
              </w:rPr>
              <w:fldChar w:fldCharType="begin"/>
            </w:r>
            <w:r w:rsidR="00CB3E2B">
              <w:rPr>
                <w:noProof/>
                <w:webHidden/>
              </w:rPr>
              <w:instrText xml:space="preserve"> PAGEREF _Toc33021815 \h </w:instrText>
            </w:r>
            <w:r w:rsidR="00CB3E2B">
              <w:rPr>
                <w:noProof/>
                <w:webHidden/>
              </w:rPr>
            </w:r>
            <w:r w:rsidR="00CB3E2B">
              <w:rPr>
                <w:noProof/>
                <w:webHidden/>
              </w:rPr>
              <w:fldChar w:fldCharType="separate"/>
            </w:r>
            <w:r w:rsidR="001737C7">
              <w:rPr>
                <w:noProof/>
                <w:webHidden/>
              </w:rPr>
              <w:t>146</w:t>
            </w:r>
            <w:r w:rsidR="00CB3E2B">
              <w:rPr>
                <w:noProof/>
                <w:webHidden/>
              </w:rPr>
              <w:fldChar w:fldCharType="end"/>
            </w:r>
          </w:hyperlink>
        </w:p>
        <w:p w14:paraId="51C45FBB" w14:textId="2097156B" w:rsidR="00CB3E2B" w:rsidRDefault="00F4467B">
          <w:pPr>
            <w:pStyle w:val="TOC2"/>
            <w:tabs>
              <w:tab w:val="right" w:leader="dot" w:pos="8720"/>
            </w:tabs>
            <w:ind w:left="480"/>
            <w:rPr>
              <w:rFonts w:asciiTheme="minorHAnsi" w:eastAsiaTheme="minorEastAsia" w:hAnsiTheme="minorHAnsi"/>
              <w:noProof/>
              <w:sz w:val="21"/>
            </w:rPr>
          </w:pPr>
          <w:hyperlink w:anchor="_Toc33021816" w:history="1">
            <w:r w:rsidR="00CB3E2B" w:rsidRPr="0045474D">
              <w:rPr>
                <w:rStyle w:val="af2"/>
                <w:noProof/>
              </w:rPr>
              <w:t>7.1</w:t>
            </w:r>
            <w:r w:rsidR="00CB3E2B" w:rsidRPr="0045474D">
              <w:rPr>
                <w:rStyle w:val="af2"/>
                <w:noProof/>
              </w:rPr>
              <w:t>建设期污染防治措施分析</w:t>
            </w:r>
            <w:r w:rsidR="00CB3E2B">
              <w:rPr>
                <w:noProof/>
                <w:webHidden/>
              </w:rPr>
              <w:tab/>
            </w:r>
            <w:r w:rsidR="00CB3E2B">
              <w:rPr>
                <w:noProof/>
                <w:webHidden/>
              </w:rPr>
              <w:fldChar w:fldCharType="begin"/>
            </w:r>
            <w:r w:rsidR="00CB3E2B">
              <w:rPr>
                <w:noProof/>
                <w:webHidden/>
              </w:rPr>
              <w:instrText xml:space="preserve"> PAGEREF _Toc33021816 \h </w:instrText>
            </w:r>
            <w:r w:rsidR="00CB3E2B">
              <w:rPr>
                <w:noProof/>
                <w:webHidden/>
              </w:rPr>
            </w:r>
            <w:r w:rsidR="00CB3E2B">
              <w:rPr>
                <w:noProof/>
                <w:webHidden/>
              </w:rPr>
              <w:fldChar w:fldCharType="separate"/>
            </w:r>
            <w:r w:rsidR="001737C7">
              <w:rPr>
                <w:noProof/>
                <w:webHidden/>
              </w:rPr>
              <w:t>146</w:t>
            </w:r>
            <w:r w:rsidR="00CB3E2B">
              <w:rPr>
                <w:noProof/>
                <w:webHidden/>
              </w:rPr>
              <w:fldChar w:fldCharType="end"/>
            </w:r>
          </w:hyperlink>
        </w:p>
        <w:p w14:paraId="75997CEB" w14:textId="0461DAB6" w:rsidR="00CB3E2B" w:rsidRDefault="00F4467B">
          <w:pPr>
            <w:pStyle w:val="TOC2"/>
            <w:tabs>
              <w:tab w:val="right" w:leader="dot" w:pos="8720"/>
            </w:tabs>
            <w:ind w:left="480"/>
            <w:rPr>
              <w:rFonts w:asciiTheme="minorHAnsi" w:eastAsiaTheme="minorEastAsia" w:hAnsiTheme="minorHAnsi"/>
              <w:noProof/>
              <w:sz w:val="21"/>
            </w:rPr>
          </w:pPr>
          <w:hyperlink w:anchor="_Toc33021817" w:history="1">
            <w:r w:rsidR="00CB3E2B" w:rsidRPr="0045474D">
              <w:rPr>
                <w:rStyle w:val="af2"/>
                <w:noProof/>
              </w:rPr>
              <w:t>7.2</w:t>
            </w:r>
            <w:r w:rsidR="00CB3E2B" w:rsidRPr="0045474D">
              <w:rPr>
                <w:rStyle w:val="af2"/>
                <w:noProof/>
              </w:rPr>
              <w:t>营运期污染防治措施分析</w:t>
            </w:r>
            <w:r w:rsidR="00CB3E2B">
              <w:rPr>
                <w:noProof/>
                <w:webHidden/>
              </w:rPr>
              <w:tab/>
            </w:r>
            <w:r w:rsidR="00CB3E2B">
              <w:rPr>
                <w:noProof/>
                <w:webHidden/>
              </w:rPr>
              <w:fldChar w:fldCharType="begin"/>
            </w:r>
            <w:r w:rsidR="00CB3E2B">
              <w:rPr>
                <w:noProof/>
                <w:webHidden/>
              </w:rPr>
              <w:instrText xml:space="preserve"> PAGEREF _Toc33021817 \h </w:instrText>
            </w:r>
            <w:r w:rsidR="00CB3E2B">
              <w:rPr>
                <w:noProof/>
                <w:webHidden/>
              </w:rPr>
            </w:r>
            <w:r w:rsidR="00CB3E2B">
              <w:rPr>
                <w:noProof/>
                <w:webHidden/>
              </w:rPr>
              <w:fldChar w:fldCharType="separate"/>
            </w:r>
            <w:r w:rsidR="001737C7">
              <w:rPr>
                <w:noProof/>
                <w:webHidden/>
              </w:rPr>
              <w:t>149</w:t>
            </w:r>
            <w:r w:rsidR="00CB3E2B">
              <w:rPr>
                <w:noProof/>
                <w:webHidden/>
              </w:rPr>
              <w:fldChar w:fldCharType="end"/>
            </w:r>
          </w:hyperlink>
        </w:p>
        <w:p w14:paraId="1C5A4A78" w14:textId="7E5E67EF" w:rsidR="00CB3E2B" w:rsidRDefault="00F4467B">
          <w:pPr>
            <w:pStyle w:val="TOC2"/>
            <w:tabs>
              <w:tab w:val="right" w:leader="dot" w:pos="8720"/>
            </w:tabs>
            <w:ind w:left="480"/>
            <w:rPr>
              <w:rFonts w:asciiTheme="minorHAnsi" w:eastAsiaTheme="minorEastAsia" w:hAnsiTheme="minorHAnsi"/>
              <w:noProof/>
              <w:sz w:val="21"/>
            </w:rPr>
          </w:pPr>
          <w:hyperlink w:anchor="_Toc33021818" w:history="1">
            <w:r w:rsidR="00CB3E2B" w:rsidRPr="0045474D">
              <w:rPr>
                <w:rStyle w:val="af2"/>
                <w:noProof/>
              </w:rPr>
              <w:t>7.3</w:t>
            </w:r>
            <w:r w:rsidR="00CB3E2B" w:rsidRPr="0045474D">
              <w:rPr>
                <w:rStyle w:val="af2"/>
                <w:noProof/>
              </w:rPr>
              <w:t>服务期满后生态保护措施分析</w:t>
            </w:r>
            <w:r w:rsidR="00CB3E2B">
              <w:rPr>
                <w:noProof/>
                <w:webHidden/>
              </w:rPr>
              <w:tab/>
            </w:r>
            <w:r w:rsidR="00CB3E2B">
              <w:rPr>
                <w:noProof/>
                <w:webHidden/>
              </w:rPr>
              <w:fldChar w:fldCharType="begin"/>
            </w:r>
            <w:r w:rsidR="00CB3E2B">
              <w:rPr>
                <w:noProof/>
                <w:webHidden/>
              </w:rPr>
              <w:instrText xml:space="preserve"> PAGEREF _Toc33021818 \h </w:instrText>
            </w:r>
            <w:r w:rsidR="00CB3E2B">
              <w:rPr>
                <w:noProof/>
                <w:webHidden/>
              </w:rPr>
            </w:r>
            <w:r w:rsidR="00CB3E2B">
              <w:rPr>
                <w:noProof/>
                <w:webHidden/>
              </w:rPr>
              <w:fldChar w:fldCharType="separate"/>
            </w:r>
            <w:r w:rsidR="001737C7">
              <w:rPr>
                <w:noProof/>
                <w:webHidden/>
              </w:rPr>
              <w:t>159</w:t>
            </w:r>
            <w:r w:rsidR="00CB3E2B">
              <w:rPr>
                <w:noProof/>
                <w:webHidden/>
              </w:rPr>
              <w:fldChar w:fldCharType="end"/>
            </w:r>
          </w:hyperlink>
        </w:p>
        <w:p w14:paraId="4EE7A440" w14:textId="46A987A8" w:rsidR="00CB3E2B" w:rsidRDefault="00F4467B">
          <w:pPr>
            <w:pStyle w:val="TOC2"/>
            <w:tabs>
              <w:tab w:val="right" w:leader="dot" w:pos="8720"/>
            </w:tabs>
            <w:ind w:left="480"/>
            <w:rPr>
              <w:rFonts w:asciiTheme="minorHAnsi" w:eastAsiaTheme="minorEastAsia" w:hAnsiTheme="minorHAnsi"/>
              <w:noProof/>
              <w:sz w:val="21"/>
            </w:rPr>
          </w:pPr>
          <w:hyperlink w:anchor="_Toc33021819" w:history="1">
            <w:r w:rsidR="00CB3E2B" w:rsidRPr="0045474D">
              <w:rPr>
                <w:rStyle w:val="af2"/>
                <w:noProof/>
              </w:rPr>
              <w:t>7.4</w:t>
            </w:r>
            <w:r w:rsidR="00CB3E2B" w:rsidRPr="0045474D">
              <w:rPr>
                <w:rStyle w:val="af2"/>
                <w:noProof/>
              </w:rPr>
              <w:t>工程污染防治措施及生态保护措施汇总</w:t>
            </w:r>
            <w:r w:rsidR="00CB3E2B">
              <w:rPr>
                <w:noProof/>
                <w:webHidden/>
              </w:rPr>
              <w:tab/>
            </w:r>
            <w:r w:rsidR="00CB3E2B">
              <w:rPr>
                <w:noProof/>
                <w:webHidden/>
              </w:rPr>
              <w:fldChar w:fldCharType="begin"/>
            </w:r>
            <w:r w:rsidR="00CB3E2B">
              <w:rPr>
                <w:noProof/>
                <w:webHidden/>
              </w:rPr>
              <w:instrText xml:space="preserve"> PAGEREF _Toc33021819 \h </w:instrText>
            </w:r>
            <w:r w:rsidR="00CB3E2B">
              <w:rPr>
                <w:noProof/>
                <w:webHidden/>
              </w:rPr>
            </w:r>
            <w:r w:rsidR="00CB3E2B">
              <w:rPr>
                <w:noProof/>
                <w:webHidden/>
              </w:rPr>
              <w:fldChar w:fldCharType="separate"/>
            </w:r>
            <w:r w:rsidR="001737C7">
              <w:rPr>
                <w:noProof/>
                <w:webHidden/>
              </w:rPr>
              <w:t>161</w:t>
            </w:r>
            <w:r w:rsidR="00CB3E2B">
              <w:rPr>
                <w:noProof/>
                <w:webHidden/>
              </w:rPr>
              <w:fldChar w:fldCharType="end"/>
            </w:r>
          </w:hyperlink>
        </w:p>
        <w:p w14:paraId="2795101B" w14:textId="4A87DF9F" w:rsidR="00CB3E2B" w:rsidRDefault="00F4467B">
          <w:pPr>
            <w:pStyle w:val="TOC2"/>
            <w:tabs>
              <w:tab w:val="right" w:leader="dot" w:pos="8720"/>
            </w:tabs>
            <w:ind w:left="480"/>
            <w:rPr>
              <w:rFonts w:asciiTheme="minorHAnsi" w:eastAsiaTheme="minorEastAsia" w:hAnsiTheme="minorHAnsi"/>
              <w:noProof/>
              <w:sz w:val="21"/>
            </w:rPr>
          </w:pPr>
          <w:hyperlink w:anchor="_Toc33021820" w:history="1">
            <w:r w:rsidR="00CB3E2B" w:rsidRPr="0045474D">
              <w:rPr>
                <w:rStyle w:val="af2"/>
                <w:noProof/>
              </w:rPr>
              <w:t>7.5</w:t>
            </w:r>
            <w:r w:rsidR="00CB3E2B" w:rsidRPr="0045474D">
              <w:rPr>
                <w:rStyle w:val="af2"/>
                <w:noProof/>
              </w:rPr>
              <w:t>环保设施验收一览表</w:t>
            </w:r>
            <w:r w:rsidR="00CB3E2B">
              <w:rPr>
                <w:noProof/>
                <w:webHidden/>
              </w:rPr>
              <w:tab/>
            </w:r>
            <w:r w:rsidR="00CB3E2B">
              <w:rPr>
                <w:noProof/>
                <w:webHidden/>
              </w:rPr>
              <w:fldChar w:fldCharType="begin"/>
            </w:r>
            <w:r w:rsidR="00CB3E2B">
              <w:rPr>
                <w:noProof/>
                <w:webHidden/>
              </w:rPr>
              <w:instrText xml:space="preserve"> PAGEREF _Toc33021820 \h </w:instrText>
            </w:r>
            <w:r w:rsidR="00CB3E2B">
              <w:rPr>
                <w:noProof/>
                <w:webHidden/>
              </w:rPr>
            </w:r>
            <w:r w:rsidR="00CB3E2B">
              <w:rPr>
                <w:noProof/>
                <w:webHidden/>
              </w:rPr>
              <w:fldChar w:fldCharType="separate"/>
            </w:r>
            <w:r w:rsidR="001737C7">
              <w:rPr>
                <w:noProof/>
                <w:webHidden/>
              </w:rPr>
              <w:t>164</w:t>
            </w:r>
            <w:r w:rsidR="00CB3E2B">
              <w:rPr>
                <w:noProof/>
                <w:webHidden/>
              </w:rPr>
              <w:fldChar w:fldCharType="end"/>
            </w:r>
          </w:hyperlink>
        </w:p>
        <w:p w14:paraId="1C97A205" w14:textId="4CC5D9CB" w:rsidR="00CB3E2B" w:rsidRDefault="00F4467B">
          <w:pPr>
            <w:pStyle w:val="TOC1"/>
            <w:tabs>
              <w:tab w:val="right" w:leader="dot" w:pos="8720"/>
            </w:tabs>
            <w:rPr>
              <w:rFonts w:asciiTheme="minorHAnsi" w:eastAsiaTheme="minorEastAsia" w:hAnsiTheme="minorHAnsi"/>
              <w:noProof/>
              <w:sz w:val="21"/>
            </w:rPr>
          </w:pPr>
          <w:hyperlink w:anchor="_Toc33021821" w:history="1">
            <w:r w:rsidR="00CB3E2B" w:rsidRPr="0045474D">
              <w:rPr>
                <w:rStyle w:val="af2"/>
                <w:noProof/>
              </w:rPr>
              <w:t>第八章环境经济损益分析</w:t>
            </w:r>
            <w:r w:rsidR="00CB3E2B">
              <w:rPr>
                <w:noProof/>
                <w:webHidden/>
              </w:rPr>
              <w:tab/>
            </w:r>
            <w:r w:rsidR="00CB3E2B">
              <w:rPr>
                <w:noProof/>
                <w:webHidden/>
              </w:rPr>
              <w:fldChar w:fldCharType="begin"/>
            </w:r>
            <w:r w:rsidR="00CB3E2B">
              <w:rPr>
                <w:noProof/>
                <w:webHidden/>
              </w:rPr>
              <w:instrText xml:space="preserve"> PAGEREF _Toc33021821 \h </w:instrText>
            </w:r>
            <w:r w:rsidR="00CB3E2B">
              <w:rPr>
                <w:noProof/>
                <w:webHidden/>
              </w:rPr>
            </w:r>
            <w:r w:rsidR="00CB3E2B">
              <w:rPr>
                <w:noProof/>
                <w:webHidden/>
              </w:rPr>
              <w:fldChar w:fldCharType="separate"/>
            </w:r>
            <w:r w:rsidR="001737C7">
              <w:rPr>
                <w:noProof/>
                <w:webHidden/>
              </w:rPr>
              <w:t>168</w:t>
            </w:r>
            <w:r w:rsidR="00CB3E2B">
              <w:rPr>
                <w:noProof/>
                <w:webHidden/>
              </w:rPr>
              <w:fldChar w:fldCharType="end"/>
            </w:r>
          </w:hyperlink>
        </w:p>
        <w:p w14:paraId="002F54DD" w14:textId="410FFF9A" w:rsidR="00CB3E2B" w:rsidRDefault="00F4467B">
          <w:pPr>
            <w:pStyle w:val="TOC2"/>
            <w:tabs>
              <w:tab w:val="right" w:leader="dot" w:pos="8720"/>
            </w:tabs>
            <w:ind w:left="480"/>
            <w:rPr>
              <w:rFonts w:asciiTheme="minorHAnsi" w:eastAsiaTheme="minorEastAsia" w:hAnsiTheme="minorHAnsi"/>
              <w:noProof/>
              <w:sz w:val="21"/>
            </w:rPr>
          </w:pPr>
          <w:hyperlink w:anchor="_Toc33021822" w:history="1">
            <w:r w:rsidR="00CB3E2B" w:rsidRPr="0045474D">
              <w:rPr>
                <w:rStyle w:val="af2"/>
                <w:noProof/>
              </w:rPr>
              <w:t>8.1</w:t>
            </w:r>
            <w:r w:rsidR="00CB3E2B" w:rsidRPr="0045474D">
              <w:rPr>
                <w:rStyle w:val="af2"/>
                <w:noProof/>
              </w:rPr>
              <w:t>环境经济损益分析的目的</w:t>
            </w:r>
            <w:r w:rsidR="00CB3E2B">
              <w:rPr>
                <w:noProof/>
                <w:webHidden/>
              </w:rPr>
              <w:tab/>
            </w:r>
            <w:r w:rsidR="00CB3E2B">
              <w:rPr>
                <w:noProof/>
                <w:webHidden/>
              </w:rPr>
              <w:fldChar w:fldCharType="begin"/>
            </w:r>
            <w:r w:rsidR="00CB3E2B">
              <w:rPr>
                <w:noProof/>
                <w:webHidden/>
              </w:rPr>
              <w:instrText xml:space="preserve"> PAGEREF _Toc33021822 \h </w:instrText>
            </w:r>
            <w:r w:rsidR="00CB3E2B">
              <w:rPr>
                <w:noProof/>
                <w:webHidden/>
              </w:rPr>
            </w:r>
            <w:r w:rsidR="00CB3E2B">
              <w:rPr>
                <w:noProof/>
                <w:webHidden/>
              </w:rPr>
              <w:fldChar w:fldCharType="separate"/>
            </w:r>
            <w:r w:rsidR="001737C7">
              <w:rPr>
                <w:noProof/>
                <w:webHidden/>
              </w:rPr>
              <w:t>168</w:t>
            </w:r>
            <w:r w:rsidR="00CB3E2B">
              <w:rPr>
                <w:noProof/>
                <w:webHidden/>
              </w:rPr>
              <w:fldChar w:fldCharType="end"/>
            </w:r>
          </w:hyperlink>
        </w:p>
        <w:p w14:paraId="32D75ADB" w14:textId="0752AB67" w:rsidR="00CB3E2B" w:rsidRDefault="00F4467B">
          <w:pPr>
            <w:pStyle w:val="TOC2"/>
            <w:tabs>
              <w:tab w:val="right" w:leader="dot" w:pos="8720"/>
            </w:tabs>
            <w:ind w:left="480"/>
            <w:rPr>
              <w:rFonts w:asciiTheme="minorHAnsi" w:eastAsiaTheme="minorEastAsia" w:hAnsiTheme="minorHAnsi"/>
              <w:noProof/>
              <w:sz w:val="21"/>
            </w:rPr>
          </w:pPr>
          <w:hyperlink w:anchor="_Toc33021823" w:history="1">
            <w:r w:rsidR="00CB3E2B" w:rsidRPr="0045474D">
              <w:rPr>
                <w:rStyle w:val="af2"/>
                <w:noProof/>
              </w:rPr>
              <w:t>8.2</w:t>
            </w:r>
            <w:r w:rsidR="00CB3E2B" w:rsidRPr="0045474D">
              <w:rPr>
                <w:rStyle w:val="af2"/>
                <w:noProof/>
              </w:rPr>
              <w:t>项目社会效益简要分析</w:t>
            </w:r>
            <w:r w:rsidR="00CB3E2B">
              <w:rPr>
                <w:noProof/>
                <w:webHidden/>
              </w:rPr>
              <w:tab/>
            </w:r>
            <w:r w:rsidR="00CB3E2B">
              <w:rPr>
                <w:noProof/>
                <w:webHidden/>
              </w:rPr>
              <w:fldChar w:fldCharType="begin"/>
            </w:r>
            <w:r w:rsidR="00CB3E2B">
              <w:rPr>
                <w:noProof/>
                <w:webHidden/>
              </w:rPr>
              <w:instrText xml:space="preserve"> PAGEREF _Toc33021823 \h </w:instrText>
            </w:r>
            <w:r w:rsidR="00CB3E2B">
              <w:rPr>
                <w:noProof/>
                <w:webHidden/>
              </w:rPr>
            </w:r>
            <w:r w:rsidR="00CB3E2B">
              <w:rPr>
                <w:noProof/>
                <w:webHidden/>
              </w:rPr>
              <w:fldChar w:fldCharType="separate"/>
            </w:r>
            <w:r w:rsidR="001737C7">
              <w:rPr>
                <w:noProof/>
                <w:webHidden/>
              </w:rPr>
              <w:t>168</w:t>
            </w:r>
            <w:r w:rsidR="00CB3E2B">
              <w:rPr>
                <w:noProof/>
                <w:webHidden/>
              </w:rPr>
              <w:fldChar w:fldCharType="end"/>
            </w:r>
          </w:hyperlink>
        </w:p>
        <w:p w14:paraId="0AC562B9" w14:textId="470B3A1C" w:rsidR="00CB3E2B" w:rsidRDefault="00F4467B">
          <w:pPr>
            <w:pStyle w:val="TOC2"/>
            <w:tabs>
              <w:tab w:val="right" w:leader="dot" w:pos="8720"/>
            </w:tabs>
            <w:ind w:left="480"/>
            <w:rPr>
              <w:rFonts w:asciiTheme="minorHAnsi" w:eastAsiaTheme="minorEastAsia" w:hAnsiTheme="minorHAnsi"/>
              <w:noProof/>
              <w:sz w:val="21"/>
            </w:rPr>
          </w:pPr>
          <w:hyperlink w:anchor="_Toc33021824" w:history="1">
            <w:r w:rsidR="00CB3E2B" w:rsidRPr="0045474D">
              <w:rPr>
                <w:rStyle w:val="af2"/>
                <w:noProof/>
              </w:rPr>
              <w:t>8.3</w:t>
            </w:r>
            <w:r w:rsidR="00CB3E2B" w:rsidRPr="0045474D">
              <w:rPr>
                <w:rStyle w:val="af2"/>
                <w:noProof/>
              </w:rPr>
              <w:t>项目经济效益简要分析</w:t>
            </w:r>
            <w:r w:rsidR="00CB3E2B">
              <w:rPr>
                <w:noProof/>
                <w:webHidden/>
              </w:rPr>
              <w:tab/>
            </w:r>
            <w:r w:rsidR="00CB3E2B">
              <w:rPr>
                <w:noProof/>
                <w:webHidden/>
              </w:rPr>
              <w:fldChar w:fldCharType="begin"/>
            </w:r>
            <w:r w:rsidR="00CB3E2B">
              <w:rPr>
                <w:noProof/>
                <w:webHidden/>
              </w:rPr>
              <w:instrText xml:space="preserve"> PAGEREF _Toc33021824 \h </w:instrText>
            </w:r>
            <w:r w:rsidR="00CB3E2B">
              <w:rPr>
                <w:noProof/>
                <w:webHidden/>
              </w:rPr>
            </w:r>
            <w:r w:rsidR="00CB3E2B">
              <w:rPr>
                <w:noProof/>
                <w:webHidden/>
              </w:rPr>
              <w:fldChar w:fldCharType="separate"/>
            </w:r>
            <w:r w:rsidR="001737C7">
              <w:rPr>
                <w:noProof/>
                <w:webHidden/>
              </w:rPr>
              <w:t>169</w:t>
            </w:r>
            <w:r w:rsidR="00CB3E2B">
              <w:rPr>
                <w:noProof/>
                <w:webHidden/>
              </w:rPr>
              <w:fldChar w:fldCharType="end"/>
            </w:r>
          </w:hyperlink>
        </w:p>
        <w:p w14:paraId="516908EE" w14:textId="68CDC642" w:rsidR="00CB3E2B" w:rsidRDefault="00F4467B">
          <w:pPr>
            <w:pStyle w:val="TOC2"/>
            <w:tabs>
              <w:tab w:val="right" w:leader="dot" w:pos="8720"/>
            </w:tabs>
            <w:ind w:left="480"/>
            <w:rPr>
              <w:rFonts w:asciiTheme="minorHAnsi" w:eastAsiaTheme="minorEastAsia" w:hAnsiTheme="minorHAnsi"/>
              <w:noProof/>
              <w:sz w:val="21"/>
            </w:rPr>
          </w:pPr>
          <w:hyperlink w:anchor="_Toc33021825" w:history="1">
            <w:r w:rsidR="00CB3E2B" w:rsidRPr="0045474D">
              <w:rPr>
                <w:rStyle w:val="af2"/>
                <w:noProof/>
              </w:rPr>
              <w:t>8.4</w:t>
            </w:r>
            <w:r w:rsidR="00CB3E2B" w:rsidRPr="0045474D">
              <w:rPr>
                <w:rStyle w:val="af2"/>
                <w:noProof/>
              </w:rPr>
              <w:t>环境经济损益分析</w:t>
            </w:r>
            <w:r w:rsidR="00CB3E2B">
              <w:rPr>
                <w:noProof/>
                <w:webHidden/>
              </w:rPr>
              <w:tab/>
            </w:r>
            <w:r w:rsidR="00CB3E2B">
              <w:rPr>
                <w:noProof/>
                <w:webHidden/>
              </w:rPr>
              <w:fldChar w:fldCharType="begin"/>
            </w:r>
            <w:r w:rsidR="00CB3E2B">
              <w:rPr>
                <w:noProof/>
                <w:webHidden/>
              </w:rPr>
              <w:instrText xml:space="preserve"> PAGEREF _Toc33021825 \h </w:instrText>
            </w:r>
            <w:r w:rsidR="00CB3E2B">
              <w:rPr>
                <w:noProof/>
                <w:webHidden/>
              </w:rPr>
            </w:r>
            <w:r w:rsidR="00CB3E2B">
              <w:rPr>
                <w:noProof/>
                <w:webHidden/>
              </w:rPr>
              <w:fldChar w:fldCharType="separate"/>
            </w:r>
            <w:r w:rsidR="001737C7">
              <w:rPr>
                <w:noProof/>
                <w:webHidden/>
              </w:rPr>
              <w:t>170</w:t>
            </w:r>
            <w:r w:rsidR="00CB3E2B">
              <w:rPr>
                <w:noProof/>
                <w:webHidden/>
              </w:rPr>
              <w:fldChar w:fldCharType="end"/>
            </w:r>
          </w:hyperlink>
        </w:p>
        <w:p w14:paraId="4588755E" w14:textId="2669A61A" w:rsidR="00CB3E2B" w:rsidRDefault="00F4467B">
          <w:pPr>
            <w:pStyle w:val="TOC1"/>
            <w:tabs>
              <w:tab w:val="right" w:leader="dot" w:pos="8720"/>
            </w:tabs>
            <w:rPr>
              <w:rFonts w:asciiTheme="minorHAnsi" w:eastAsiaTheme="minorEastAsia" w:hAnsiTheme="minorHAnsi"/>
              <w:noProof/>
              <w:sz w:val="21"/>
            </w:rPr>
          </w:pPr>
          <w:hyperlink w:anchor="_Toc33021826" w:history="1">
            <w:r w:rsidR="00CB3E2B" w:rsidRPr="0045474D">
              <w:rPr>
                <w:rStyle w:val="af2"/>
                <w:noProof/>
              </w:rPr>
              <w:t>第九章环境管理与监测计划</w:t>
            </w:r>
            <w:r w:rsidR="00CB3E2B">
              <w:rPr>
                <w:noProof/>
                <w:webHidden/>
              </w:rPr>
              <w:tab/>
            </w:r>
            <w:r w:rsidR="00CB3E2B">
              <w:rPr>
                <w:noProof/>
                <w:webHidden/>
              </w:rPr>
              <w:fldChar w:fldCharType="begin"/>
            </w:r>
            <w:r w:rsidR="00CB3E2B">
              <w:rPr>
                <w:noProof/>
                <w:webHidden/>
              </w:rPr>
              <w:instrText xml:space="preserve"> PAGEREF _Toc33021826 \h </w:instrText>
            </w:r>
            <w:r w:rsidR="00CB3E2B">
              <w:rPr>
                <w:noProof/>
                <w:webHidden/>
              </w:rPr>
            </w:r>
            <w:r w:rsidR="00CB3E2B">
              <w:rPr>
                <w:noProof/>
                <w:webHidden/>
              </w:rPr>
              <w:fldChar w:fldCharType="separate"/>
            </w:r>
            <w:r w:rsidR="001737C7">
              <w:rPr>
                <w:noProof/>
                <w:webHidden/>
              </w:rPr>
              <w:t>173</w:t>
            </w:r>
            <w:r w:rsidR="00CB3E2B">
              <w:rPr>
                <w:noProof/>
                <w:webHidden/>
              </w:rPr>
              <w:fldChar w:fldCharType="end"/>
            </w:r>
          </w:hyperlink>
        </w:p>
        <w:p w14:paraId="1F0B6800" w14:textId="6F6454AB" w:rsidR="00CB3E2B" w:rsidRDefault="00F4467B">
          <w:pPr>
            <w:pStyle w:val="TOC2"/>
            <w:tabs>
              <w:tab w:val="right" w:leader="dot" w:pos="8720"/>
            </w:tabs>
            <w:ind w:left="480"/>
            <w:rPr>
              <w:rFonts w:asciiTheme="minorHAnsi" w:eastAsiaTheme="minorEastAsia" w:hAnsiTheme="minorHAnsi"/>
              <w:noProof/>
              <w:sz w:val="21"/>
            </w:rPr>
          </w:pPr>
          <w:hyperlink w:anchor="_Toc33021827" w:history="1">
            <w:r w:rsidR="00CB3E2B" w:rsidRPr="0045474D">
              <w:rPr>
                <w:rStyle w:val="af2"/>
                <w:noProof/>
              </w:rPr>
              <w:t>9.1</w:t>
            </w:r>
            <w:r w:rsidR="00CB3E2B" w:rsidRPr="0045474D">
              <w:rPr>
                <w:rStyle w:val="af2"/>
                <w:noProof/>
              </w:rPr>
              <w:t>环境管理的重要性</w:t>
            </w:r>
            <w:r w:rsidR="00CB3E2B">
              <w:rPr>
                <w:noProof/>
                <w:webHidden/>
              </w:rPr>
              <w:tab/>
            </w:r>
            <w:r w:rsidR="00CB3E2B">
              <w:rPr>
                <w:noProof/>
                <w:webHidden/>
              </w:rPr>
              <w:fldChar w:fldCharType="begin"/>
            </w:r>
            <w:r w:rsidR="00CB3E2B">
              <w:rPr>
                <w:noProof/>
                <w:webHidden/>
              </w:rPr>
              <w:instrText xml:space="preserve"> PAGEREF _Toc33021827 \h </w:instrText>
            </w:r>
            <w:r w:rsidR="00CB3E2B">
              <w:rPr>
                <w:noProof/>
                <w:webHidden/>
              </w:rPr>
            </w:r>
            <w:r w:rsidR="00CB3E2B">
              <w:rPr>
                <w:noProof/>
                <w:webHidden/>
              </w:rPr>
              <w:fldChar w:fldCharType="separate"/>
            </w:r>
            <w:r w:rsidR="001737C7">
              <w:rPr>
                <w:noProof/>
                <w:webHidden/>
              </w:rPr>
              <w:t>173</w:t>
            </w:r>
            <w:r w:rsidR="00CB3E2B">
              <w:rPr>
                <w:noProof/>
                <w:webHidden/>
              </w:rPr>
              <w:fldChar w:fldCharType="end"/>
            </w:r>
          </w:hyperlink>
        </w:p>
        <w:p w14:paraId="13A17B1B" w14:textId="5A686A92" w:rsidR="00CB3E2B" w:rsidRDefault="00F4467B">
          <w:pPr>
            <w:pStyle w:val="TOC2"/>
            <w:tabs>
              <w:tab w:val="right" w:leader="dot" w:pos="8720"/>
            </w:tabs>
            <w:ind w:left="480"/>
            <w:rPr>
              <w:rFonts w:asciiTheme="minorHAnsi" w:eastAsiaTheme="minorEastAsia" w:hAnsiTheme="minorHAnsi"/>
              <w:noProof/>
              <w:sz w:val="21"/>
            </w:rPr>
          </w:pPr>
          <w:hyperlink w:anchor="_Toc33021828" w:history="1">
            <w:r w:rsidR="00CB3E2B" w:rsidRPr="0045474D">
              <w:rPr>
                <w:rStyle w:val="af2"/>
                <w:noProof/>
              </w:rPr>
              <w:t>9.2</w:t>
            </w:r>
            <w:r w:rsidR="00CB3E2B" w:rsidRPr="0045474D">
              <w:rPr>
                <w:rStyle w:val="af2"/>
                <w:noProof/>
              </w:rPr>
              <w:t>环境管理</w:t>
            </w:r>
            <w:r w:rsidR="00CB3E2B">
              <w:rPr>
                <w:noProof/>
                <w:webHidden/>
              </w:rPr>
              <w:tab/>
            </w:r>
            <w:r w:rsidR="00CB3E2B">
              <w:rPr>
                <w:noProof/>
                <w:webHidden/>
              </w:rPr>
              <w:fldChar w:fldCharType="begin"/>
            </w:r>
            <w:r w:rsidR="00CB3E2B">
              <w:rPr>
                <w:noProof/>
                <w:webHidden/>
              </w:rPr>
              <w:instrText xml:space="preserve"> PAGEREF _Toc33021828 \h </w:instrText>
            </w:r>
            <w:r w:rsidR="00CB3E2B">
              <w:rPr>
                <w:noProof/>
                <w:webHidden/>
              </w:rPr>
            </w:r>
            <w:r w:rsidR="00CB3E2B">
              <w:rPr>
                <w:noProof/>
                <w:webHidden/>
              </w:rPr>
              <w:fldChar w:fldCharType="separate"/>
            </w:r>
            <w:r w:rsidR="001737C7">
              <w:rPr>
                <w:noProof/>
                <w:webHidden/>
              </w:rPr>
              <w:t>173</w:t>
            </w:r>
            <w:r w:rsidR="00CB3E2B">
              <w:rPr>
                <w:noProof/>
                <w:webHidden/>
              </w:rPr>
              <w:fldChar w:fldCharType="end"/>
            </w:r>
          </w:hyperlink>
        </w:p>
        <w:p w14:paraId="34FC69A4" w14:textId="5F9D28A7" w:rsidR="00CB3E2B" w:rsidRDefault="00F4467B">
          <w:pPr>
            <w:pStyle w:val="TOC2"/>
            <w:tabs>
              <w:tab w:val="right" w:leader="dot" w:pos="8720"/>
            </w:tabs>
            <w:ind w:left="480"/>
            <w:rPr>
              <w:rFonts w:asciiTheme="minorHAnsi" w:eastAsiaTheme="minorEastAsia" w:hAnsiTheme="minorHAnsi"/>
              <w:noProof/>
              <w:sz w:val="21"/>
            </w:rPr>
          </w:pPr>
          <w:hyperlink w:anchor="_Toc33021829" w:history="1">
            <w:r w:rsidR="00CB3E2B" w:rsidRPr="0045474D">
              <w:rPr>
                <w:rStyle w:val="af2"/>
                <w:noProof/>
              </w:rPr>
              <w:t>9.3</w:t>
            </w:r>
            <w:r w:rsidR="00CB3E2B" w:rsidRPr="0045474D">
              <w:rPr>
                <w:rStyle w:val="af2"/>
                <w:noProof/>
              </w:rPr>
              <w:t>污染物排放清单</w:t>
            </w:r>
            <w:r w:rsidR="00CB3E2B">
              <w:rPr>
                <w:noProof/>
                <w:webHidden/>
              </w:rPr>
              <w:tab/>
            </w:r>
            <w:r w:rsidR="00CB3E2B">
              <w:rPr>
                <w:noProof/>
                <w:webHidden/>
              </w:rPr>
              <w:fldChar w:fldCharType="begin"/>
            </w:r>
            <w:r w:rsidR="00CB3E2B">
              <w:rPr>
                <w:noProof/>
                <w:webHidden/>
              </w:rPr>
              <w:instrText xml:space="preserve"> PAGEREF _Toc33021829 \h </w:instrText>
            </w:r>
            <w:r w:rsidR="00CB3E2B">
              <w:rPr>
                <w:noProof/>
                <w:webHidden/>
              </w:rPr>
            </w:r>
            <w:r w:rsidR="00CB3E2B">
              <w:rPr>
                <w:noProof/>
                <w:webHidden/>
              </w:rPr>
              <w:fldChar w:fldCharType="separate"/>
            </w:r>
            <w:r w:rsidR="001737C7">
              <w:rPr>
                <w:noProof/>
                <w:webHidden/>
              </w:rPr>
              <w:t>176</w:t>
            </w:r>
            <w:r w:rsidR="00CB3E2B">
              <w:rPr>
                <w:noProof/>
                <w:webHidden/>
              </w:rPr>
              <w:fldChar w:fldCharType="end"/>
            </w:r>
          </w:hyperlink>
        </w:p>
        <w:p w14:paraId="526D8035" w14:textId="6C8531F8" w:rsidR="00CB3E2B" w:rsidRDefault="00F4467B">
          <w:pPr>
            <w:pStyle w:val="TOC2"/>
            <w:tabs>
              <w:tab w:val="right" w:leader="dot" w:pos="8720"/>
            </w:tabs>
            <w:ind w:left="480"/>
            <w:rPr>
              <w:rFonts w:asciiTheme="minorHAnsi" w:eastAsiaTheme="minorEastAsia" w:hAnsiTheme="minorHAnsi"/>
              <w:noProof/>
              <w:sz w:val="21"/>
            </w:rPr>
          </w:pPr>
          <w:hyperlink w:anchor="_Toc33021830" w:history="1">
            <w:r w:rsidR="00CB3E2B" w:rsidRPr="0045474D">
              <w:rPr>
                <w:rStyle w:val="af2"/>
                <w:noProof/>
              </w:rPr>
              <w:t>9.4</w:t>
            </w:r>
            <w:r w:rsidR="00CB3E2B" w:rsidRPr="0045474D">
              <w:rPr>
                <w:rStyle w:val="af2"/>
                <w:noProof/>
              </w:rPr>
              <w:t>环境监测</w:t>
            </w:r>
            <w:r w:rsidR="00CB3E2B">
              <w:rPr>
                <w:noProof/>
                <w:webHidden/>
              </w:rPr>
              <w:tab/>
            </w:r>
            <w:r w:rsidR="00CB3E2B">
              <w:rPr>
                <w:noProof/>
                <w:webHidden/>
              </w:rPr>
              <w:fldChar w:fldCharType="begin"/>
            </w:r>
            <w:r w:rsidR="00CB3E2B">
              <w:rPr>
                <w:noProof/>
                <w:webHidden/>
              </w:rPr>
              <w:instrText xml:space="preserve"> PAGEREF _Toc33021830 \h </w:instrText>
            </w:r>
            <w:r w:rsidR="00CB3E2B">
              <w:rPr>
                <w:noProof/>
                <w:webHidden/>
              </w:rPr>
            </w:r>
            <w:r w:rsidR="00CB3E2B">
              <w:rPr>
                <w:noProof/>
                <w:webHidden/>
              </w:rPr>
              <w:fldChar w:fldCharType="separate"/>
            </w:r>
            <w:r w:rsidR="001737C7">
              <w:rPr>
                <w:noProof/>
                <w:webHidden/>
              </w:rPr>
              <w:t>177</w:t>
            </w:r>
            <w:r w:rsidR="00CB3E2B">
              <w:rPr>
                <w:noProof/>
                <w:webHidden/>
              </w:rPr>
              <w:fldChar w:fldCharType="end"/>
            </w:r>
          </w:hyperlink>
        </w:p>
        <w:p w14:paraId="4DDC63F8" w14:textId="2B5F4F6F" w:rsidR="00CB3E2B" w:rsidRDefault="00F4467B">
          <w:pPr>
            <w:pStyle w:val="TOC2"/>
            <w:tabs>
              <w:tab w:val="right" w:leader="dot" w:pos="8720"/>
            </w:tabs>
            <w:ind w:left="480"/>
            <w:rPr>
              <w:rFonts w:asciiTheme="minorHAnsi" w:eastAsiaTheme="minorEastAsia" w:hAnsiTheme="minorHAnsi"/>
              <w:noProof/>
              <w:sz w:val="21"/>
            </w:rPr>
          </w:pPr>
          <w:hyperlink w:anchor="_Toc33021831" w:history="1">
            <w:r w:rsidR="00CB3E2B" w:rsidRPr="0045474D">
              <w:rPr>
                <w:rStyle w:val="af2"/>
                <w:noProof/>
              </w:rPr>
              <w:t>9.5</w:t>
            </w:r>
            <w:r w:rsidR="00CB3E2B" w:rsidRPr="0045474D">
              <w:rPr>
                <w:rStyle w:val="af2"/>
                <w:noProof/>
              </w:rPr>
              <w:t>环境监理与监控</w:t>
            </w:r>
            <w:r w:rsidR="00CB3E2B">
              <w:rPr>
                <w:noProof/>
                <w:webHidden/>
              </w:rPr>
              <w:tab/>
            </w:r>
            <w:r w:rsidR="00CB3E2B">
              <w:rPr>
                <w:noProof/>
                <w:webHidden/>
              </w:rPr>
              <w:fldChar w:fldCharType="begin"/>
            </w:r>
            <w:r w:rsidR="00CB3E2B">
              <w:rPr>
                <w:noProof/>
                <w:webHidden/>
              </w:rPr>
              <w:instrText xml:space="preserve"> PAGEREF _Toc33021831 \h </w:instrText>
            </w:r>
            <w:r w:rsidR="00CB3E2B">
              <w:rPr>
                <w:noProof/>
                <w:webHidden/>
              </w:rPr>
            </w:r>
            <w:r w:rsidR="00CB3E2B">
              <w:rPr>
                <w:noProof/>
                <w:webHidden/>
              </w:rPr>
              <w:fldChar w:fldCharType="separate"/>
            </w:r>
            <w:r w:rsidR="001737C7">
              <w:rPr>
                <w:noProof/>
                <w:webHidden/>
              </w:rPr>
              <w:t>180</w:t>
            </w:r>
            <w:r w:rsidR="00CB3E2B">
              <w:rPr>
                <w:noProof/>
                <w:webHidden/>
              </w:rPr>
              <w:fldChar w:fldCharType="end"/>
            </w:r>
          </w:hyperlink>
        </w:p>
        <w:p w14:paraId="1AF3FE75" w14:textId="3B365E47" w:rsidR="00CB3E2B" w:rsidRDefault="00F4467B">
          <w:pPr>
            <w:pStyle w:val="TOC1"/>
            <w:tabs>
              <w:tab w:val="right" w:leader="dot" w:pos="8720"/>
            </w:tabs>
            <w:rPr>
              <w:rFonts w:asciiTheme="minorHAnsi" w:eastAsiaTheme="minorEastAsia" w:hAnsiTheme="minorHAnsi"/>
              <w:noProof/>
              <w:sz w:val="21"/>
            </w:rPr>
          </w:pPr>
          <w:hyperlink w:anchor="_Toc33021832" w:history="1">
            <w:r w:rsidR="00CB3E2B" w:rsidRPr="0045474D">
              <w:rPr>
                <w:rStyle w:val="af2"/>
                <w:noProof/>
              </w:rPr>
              <w:t>第十章产业政策及选址合理性分析</w:t>
            </w:r>
            <w:r w:rsidR="00CB3E2B">
              <w:rPr>
                <w:noProof/>
                <w:webHidden/>
              </w:rPr>
              <w:tab/>
            </w:r>
            <w:r w:rsidR="00CB3E2B">
              <w:rPr>
                <w:noProof/>
                <w:webHidden/>
              </w:rPr>
              <w:fldChar w:fldCharType="begin"/>
            </w:r>
            <w:r w:rsidR="00CB3E2B">
              <w:rPr>
                <w:noProof/>
                <w:webHidden/>
              </w:rPr>
              <w:instrText xml:space="preserve"> PAGEREF _Toc33021832 \h </w:instrText>
            </w:r>
            <w:r w:rsidR="00CB3E2B">
              <w:rPr>
                <w:noProof/>
                <w:webHidden/>
              </w:rPr>
            </w:r>
            <w:r w:rsidR="00CB3E2B">
              <w:rPr>
                <w:noProof/>
                <w:webHidden/>
              </w:rPr>
              <w:fldChar w:fldCharType="separate"/>
            </w:r>
            <w:r w:rsidR="001737C7">
              <w:rPr>
                <w:noProof/>
                <w:webHidden/>
              </w:rPr>
              <w:t>183</w:t>
            </w:r>
            <w:r w:rsidR="00CB3E2B">
              <w:rPr>
                <w:noProof/>
                <w:webHidden/>
              </w:rPr>
              <w:fldChar w:fldCharType="end"/>
            </w:r>
          </w:hyperlink>
        </w:p>
        <w:p w14:paraId="1D758E6C" w14:textId="5966D0DA" w:rsidR="00CB3E2B" w:rsidRDefault="00F4467B">
          <w:pPr>
            <w:pStyle w:val="TOC2"/>
            <w:tabs>
              <w:tab w:val="right" w:leader="dot" w:pos="8720"/>
            </w:tabs>
            <w:ind w:left="480"/>
            <w:rPr>
              <w:rFonts w:asciiTheme="minorHAnsi" w:eastAsiaTheme="minorEastAsia" w:hAnsiTheme="minorHAnsi"/>
              <w:noProof/>
              <w:sz w:val="21"/>
            </w:rPr>
          </w:pPr>
          <w:hyperlink w:anchor="_Toc33021833" w:history="1">
            <w:r w:rsidR="00CB3E2B" w:rsidRPr="0045474D">
              <w:rPr>
                <w:rStyle w:val="af2"/>
                <w:noProof/>
              </w:rPr>
              <w:t>10.1</w:t>
            </w:r>
            <w:r w:rsidR="00CB3E2B" w:rsidRPr="0045474D">
              <w:rPr>
                <w:rStyle w:val="af2"/>
                <w:noProof/>
              </w:rPr>
              <w:t>产业政策相符性分析</w:t>
            </w:r>
            <w:r w:rsidR="00CB3E2B">
              <w:rPr>
                <w:noProof/>
                <w:webHidden/>
              </w:rPr>
              <w:tab/>
            </w:r>
            <w:r w:rsidR="00CB3E2B">
              <w:rPr>
                <w:noProof/>
                <w:webHidden/>
              </w:rPr>
              <w:fldChar w:fldCharType="begin"/>
            </w:r>
            <w:r w:rsidR="00CB3E2B">
              <w:rPr>
                <w:noProof/>
                <w:webHidden/>
              </w:rPr>
              <w:instrText xml:space="preserve"> PAGEREF _Toc33021833 \h </w:instrText>
            </w:r>
            <w:r w:rsidR="00CB3E2B">
              <w:rPr>
                <w:noProof/>
                <w:webHidden/>
              </w:rPr>
            </w:r>
            <w:r w:rsidR="00CB3E2B">
              <w:rPr>
                <w:noProof/>
                <w:webHidden/>
              </w:rPr>
              <w:fldChar w:fldCharType="separate"/>
            </w:r>
            <w:r w:rsidR="001737C7">
              <w:rPr>
                <w:noProof/>
                <w:webHidden/>
              </w:rPr>
              <w:t>183</w:t>
            </w:r>
            <w:r w:rsidR="00CB3E2B">
              <w:rPr>
                <w:noProof/>
                <w:webHidden/>
              </w:rPr>
              <w:fldChar w:fldCharType="end"/>
            </w:r>
          </w:hyperlink>
        </w:p>
        <w:p w14:paraId="41E57663" w14:textId="1FBAA7E5" w:rsidR="00CB3E2B" w:rsidRDefault="00F4467B">
          <w:pPr>
            <w:pStyle w:val="TOC2"/>
            <w:tabs>
              <w:tab w:val="right" w:leader="dot" w:pos="8720"/>
            </w:tabs>
            <w:ind w:left="480"/>
            <w:rPr>
              <w:rFonts w:asciiTheme="minorHAnsi" w:eastAsiaTheme="minorEastAsia" w:hAnsiTheme="minorHAnsi"/>
              <w:noProof/>
              <w:sz w:val="21"/>
            </w:rPr>
          </w:pPr>
          <w:hyperlink w:anchor="_Toc33021834" w:history="1">
            <w:r w:rsidR="00CB3E2B" w:rsidRPr="0045474D">
              <w:rPr>
                <w:rStyle w:val="af2"/>
                <w:noProof/>
              </w:rPr>
              <w:t>10.2</w:t>
            </w:r>
            <w:r w:rsidR="00CB3E2B" w:rsidRPr="0045474D">
              <w:rPr>
                <w:rStyle w:val="af2"/>
                <w:noProof/>
              </w:rPr>
              <w:t>规划相符性分析</w:t>
            </w:r>
            <w:r w:rsidR="00CB3E2B">
              <w:rPr>
                <w:noProof/>
                <w:webHidden/>
              </w:rPr>
              <w:tab/>
            </w:r>
            <w:r w:rsidR="00CB3E2B">
              <w:rPr>
                <w:noProof/>
                <w:webHidden/>
              </w:rPr>
              <w:fldChar w:fldCharType="begin"/>
            </w:r>
            <w:r w:rsidR="00CB3E2B">
              <w:rPr>
                <w:noProof/>
                <w:webHidden/>
              </w:rPr>
              <w:instrText xml:space="preserve"> PAGEREF _Toc33021834 \h </w:instrText>
            </w:r>
            <w:r w:rsidR="00CB3E2B">
              <w:rPr>
                <w:noProof/>
                <w:webHidden/>
              </w:rPr>
            </w:r>
            <w:r w:rsidR="00CB3E2B">
              <w:rPr>
                <w:noProof/>
                <w:webHidden/>
              </w:rPr>
              <w:fldChar w:fldCharType="separate"/>
            </w:r>
            <w:r w:rsidR="001737C7">
              <w:rPr>
                <w:noProof/>
                <w:webHidden/>
              </w:rPr>
              <w:t>220</w:t>
            </w:r>
            <w:r w:rsidR="00CB3E2B">
              <w:rPr>
                <w:noProof/>
                <w:webHidden/>
              </w:rPr>
              <w:fldChar w:fldCharType="end"/>
            </w:r>
          </w:hyperlink>
        </w:p>
        <w:p w14:paraId="1AFB93CD" w14:textId="685DFDC7" w:rsidR="00CB3E2B" w:rsidRDefault="00F4467B">
          <w:pPr>
            <w:pStyle w:val="TOC2"/>
            <w:tabs>
              <w:tab w:val="right" w:leader="dot" w:pos="8720"/>
            </w:tabs>
            <w:ind w:left="480"/>
            <w:rPr>
              <w:rFonts w:asciiTheme="minorHAnsi" w:eastAsiaTheme="minorEastAsia" w:hAnsiTheme="minorHAnsi"/>
              <w:noProof/>
              <w:sz w:val="21"/>
            </w:rPr>
          </w:pPr>
          <w:hyperlink w:anchor="_Toc33021835" w:history="1">
            <w:r w:rsidR="00CB3E2B" w:rsidRPr="0045474D">
              <w:rPr>
                <w:rStyle w:val="af2"/>
                <w:noProof/>
              </w:rPr>
              <w:t>10.3</w:t>
            </w:r>
            <w:r w:rsidR="00CB3E2B" w:rsidRPr="0045474D">
              <w:rPr>
                <w:rStyle w:val="af2"/>
                <w:noProof/>
              </w:rPr>
              <w:t>总量控制</w:t>
            </w:r>
            <w:r w:rsidR="00CB3E2B">
              <w:rPr>
                <w:noProof/>
                <w:webHidden/>
              </w:rPr>
              <w:tab/>
            </w:r>
            <w:r w:rsidR="00CB3E2B">
              <w:rPr>
                <w:noProof/>
                <w:webHidden/>
              </w:rPr>
              <w:fldChar w:fldCharType="begin"/>
            </w:r>
            <w:r w:rsidR="00CB3E2B">
              <w:rPr>
                <w:noProof/>
                <w:webHidden/>
              </w:rPr>
              <w:instrText xml:space="preserve"> PAGEREF _Toc33021835 \h </w:instrText>
            </w:r>
            <w:r w:rsidR="00CB3E2B">
              <w:rPr>
                <w:noProof/>
                <w:webHidden/>
              </w:rPr>
            </w:r>
            <w:r w:rsidR="00CB3E2B">
              <w:rPr>
                <w:noProof/>
                <w:webHidden/>
              </w:rPr>
              <w:fldChar w:fldCharType="separate"/>
            </w:r>
            <w:r w:rsidR="001737C7">
              <w:rPr>
                <w:noProof/>
                <w:webHidden/>
              </w:rPr>
              <w:t>231</w:t>
            </w:r>
            <w:r w:rsidR="00CB3E2B">
              <w:rPr>
                <w:noProof/>
                <w:webHidden/>
              </w:rPr>
              <w:fldChar w:fldCharType="end"/>
            </w:r>
          </w:hyperlink>
        </w:p>
        <w:p w14:paraId="4061DF29" w14:textId="0607F8BC" w:rsidR="00CB3E2B" w:rsidRDefault="00F4467B">
          <w:pPr>
            <w:pStyle w:val="TOC1"/>
            <w:tabs>
              <w:tab w:val="right" w:leader="dot" w:pos="8720"/>
            </w:tabs>
            <w:rPr>
              <w:rFonts w:asciiTheme="minorHAnsi" w:eastAsiaTheme="minorEastAsia" w:hAnsiTheme="minorHAnsi"/>
              <w:noProof/>
              <w:sz w:val="21"/>
            </w:rPr>
          </w:pPr>
          <w:hyperlink w:anchor="_Toc33021836" w:history="1">
            <w:r w:rsidR="00CB3E2B" w:rsidRPr="0045474D">
              <w:rPr>
                <w:rStyle w:val="af2"/>
                <w:noProof/>
              </w:rPr>
              <w:t>第十一章评价结论与建议</w:t>
            </w:r>
            <w:r w:rsidR="00CB3E2B">
              <w:rPr>
                <w:noProof/>
                <w:webHidden/>
              </w:rPr>
              <w:tab/>
            </w:r>
            <w:r w:rsidR="00CB3E2B">
              <w:rPr>
                <w:noProof/>
                <w:webHidden/>
              </w:rPr>
              <w:fldChar w:fldCharType="begin"/>
            </w:r>
            <w:r w:rsidR="00CB3E2B">
              <w:rPr>
                <w:noProof/>
                <w:webHidden/>
              </w:rPr>
              <w:instrText xml:space="preserve"> PAGEREF _Toc33021836 \h </w:instrText>
            </w:r>
            <w:r w:rsidR="00CB3E2B">
              <w:rPr>
                <w:noProof/>
                <w:webHidden/>
              </w:rPr>
            </w:r>
            <w:r w:rsidR="00CB3E2B">
              <w:rPr>
                <w:noProof/>
                <w:webHidden/>
              </w:rPr>
              <w:fldChar w:fldCharType="separate"/>
            </w:r>
            <w:r w:rsidR="001737C7">
              <w:rPr>
                <w:noProof/>
                <w:webHidden/>
              </w:rPr>
              <w:t>232</w:t>
            </w:r>
            <w:r w:rsidR="00CB3E2B">
              <w:rPr>
                <w:noProof/>
                <w:webHidden/>
              </w:rPr>
              <w:fldChar w:fldCharType="end"/>
            </w:r>
          </w:hyperlink>
        </w:p>
        <w:p w14:paraId="05BB10DF" w14:textId="6F138322" w:rsidR="00CB3E2B" w:rsidRDefault="00F4467B">
          <w:pPr>
            <w:pStyle w:val="TOC2"/>
            <w:tabs>
              <w:tab w:val="right" w:leader="dot" w:pos="8720"/>
            </w:tabs>
            <w:ind w:left="480"/>
            <w:rPr>
              <w:rFonts w:asciiTheme="minorHAnsi" w:eastAsiaTheme="minorEastAsia" w:hAnsiTheme="minorHAnsi"/>
              <w:noProof/>
              <w:sz w:val="21"/>
            </w:rPr>
          </w:pPr>
          <w:hyperlink w:anchor="_Toc33021837" w:history="1">
            <w:r w:rsidR="00CB3E2B" w:rsidRPr="0045474D">
              <w:rPr>
                <w:rStyle w:val="af2"/>
                <w:noProof/>
              </w:rPr>
              <w:t>11.1</w:t>
            </w:r>
            <w:r w:rsidR="00CB3E2B" w:rsidRPr="0045474D">
              <w:rPr>
                <w:rStyle w:val="af2"/>
                <w:noProof/>
              </w:rPr>
              <w:t>评价结论</w:t>
            </w:r>
            <w:r w:rsidR="00CB3E2B">
              <w:rPr>
                <w:noProof/>
                <w:webHidden/>
              </w:rPr>
              <w:tab/>
            </w:r>
            <w:r w:rsidR="00CB3E2B">
              <w:rPr>
                <w:noProof/>
                <w:webHidden/>
              </w:rPr>
              <w:fldChar w:fldCharType="begin"/>
            </w:r>
            <w:r w:rsidR="00CB3E2B">
              <w:rPr>
                <w:noProof/>
                <w:webHidden/>
              </w:rPr>
              <w:instrText xml:space="preserve"> PAGEREF _Toc33021837 \h </w:instrText>
            </w:r>
            <w:r w:rsidR="00CB3E2B">
              <w:rPr>
                <w:noProof/>
                <w:webHidden/>
              </w:rPr>
            </w:r>
            <w:r w:rsidR="00CB3E2B">
              <w:rPr>
                <w:noProof/>
                <w:webHidden/>
              </w:rPr>
              <w:fldChar w:fldCharType="separate"/>
            </w:r>
            <w:r w:rsidR="001737C7">
              <w:rPr>
                <w:noProof/>
                <w:webHidden/>
              </w:rPr>
              <w:t>232</w:t>
            </w:r>
            <w:r w:rsidR="00CB3E2B">
              <w:rPr>
                <w:noProof/>
                <w:webHidden/>
              </w:rPr>
              <w:fldChar w:fldCharType="end"/>
            </w:r>
          </w:hyperlink>
        </w:p>
        <w:p w14:paraId="748300D8" w14:textId="720158D0" w:rsidR="00CB3E2B" w:rsidRDefault="00F4467B">
          <w:pPr>
            <w:pStyle w:val="TOC2"/>
            <w:tabs>
              <w:tab w:val="right" w:leader="dot" w:pos="8720"/>
            </w:tabs>
            <w:ind w:left="480"/>
            <w:rPr>
              <w:rFonts w:asciiTheme="minorHAnsi" w:eastAsiaTheme="minorEastAsia" w:hAnsiTheme="minorHAnsi"/>
              <w:noProof/>
              <w:sz w:val="21"/>
            </w:rPr>
          </w:pPr>
          <w:hyperlink w:anchor="_Toc33021838" w:history="1">
            <w:r w:rsidR="00CB3E2B" w:rsidRPr="0045474D">
              <w:rPr>
                <w:rStyle w:val="af2"/>
                <w:noProof/>
              </w:rPr>
              <w:t>11.2</w:t>
            </w:r>
            <w:r w:rsidR="00CB3E2B" w:rsidRPr="0045474D">
              <w:rPr>
                <w:rStyle w:val="af2"/>
                <w:noProof/>
              </w:rPr>
              <w:t>评价总结论</w:t>
            </w:r>
            <w:r w:rsidR="00CB3E2B">
              <w:rPr>
                <w:noProof/>
                <w:webHidden/>
              </w:rPr>
              <w:tab/>
            </w:r>
            <w:r w:rsidR="00CB3E2B">
              <w:rPr>
                <w:noProof/>
                <w:webHidden/>
              </w:rPr>
              <w:fldChar w:fldCharType="begin"/>
            </w:r>
            <w:r w:rsidR="00CB3E2B">
              <w:rPr>
                <w:noProof/>
                <w:webHidden/>
              </w:rPr>
              <w:instrText xml:space="preserve"> PAGEREF _Toc33021838 \h </w:instrText>
            </w:r>
            <w:r w:rsidR="00CB3E2B">
              <w:rPr>
                <w:noProof/>
                <w:webHidden/>
              </w:rPr>
            </w:r>
            <w:r w:rsidR="00CB3E2B">
              <w:rPr>
                <w:noProof/>
                <w:webHidden/>
              </w:rPr>
              <w:fldChar w:fldCharType="separate"/>
            </w:r>
            <w:r w:rsidR="001737C7">
              <w:rPr>
                <w:noProof/>
                <w:webHidden/>
              </w:rPr>
              <w:t>238</w:t>
            </w:r>
            <w:r w:rsidR="00CB3E2B">
              <w:rPr>
                <w:noProof/>
                <w:webHidden/>
              </w:rPr>
              <w:fldChar w:fldCharType="end"/>
            </w:r>
          </w:hyperlink>
        </w:p>
        <w:p w14:paraId="60C44365" w14:textId="4B6E51A0" w:rsidR="00CB3E2B" w:rsidRDefault="00F4467B">
          <w:pPr>
            <w:pStyle w:val="TOC2"/>
            <w:tabs>
              <w:tab w:val="right" w:leader="dot" w:pos="8720"/>
            </w:tabs>
            <w:ind w:left="480"/>
            <w:rPr>
              <w:rFonts w:asciiTheme="minorHAnsi" w:eastAsiaTheme="minorEastAsia" w:hAnsiTheme="minorHAnsi"/>
              <w:noProof/>
              <w:sz w:val="21"/>
            </w:rPr>
          </w:pPr>
          <w:hyperlink w:anchor="_Toc33021839" w:history="1">
            <w:r w:rsidR="00CB3E2B" w:rsidRPr="0045474D">
              <w:rPr>
                <w:rStyle w:val="af2"/>
                <w:noProof/>
              </w:rPr>
              <w:t>11.3</w:t>
            </w:r>
            <w:r w:rsidR="00CB3E2B" w:rsidRPr="0045474D">
              <w:rPr>
                <w:rStyle w:val="af2"/>
                <w:noProof/>
              </w:rPr>
              <w:t>评价建议</w:t>
            </w:r>
            <w:r w:rsidR="00CB3E2B">
              <w:rPr>
                <w:noProof/>
                <w:webHidden/>
              </w:rPr>
              <w:tab/>
            </w:r>
            <w:r w:rsidR="00CB3E2B">
              <w:rPr>
                <w:noProof/>
                <w:webHidden/>
              </w:rPr>
              <w:fldChar w:fldCharType="begin"/>
            </w:r>
            <w:r w:rsidR="00CB3E2B">
              <w:rPr>
                <w:noProof/>
                <w:webHidden/>
              </w:rPr>
              <w:instrText xml:space="preserve"> PAGEREF _Toc33021839 \h </w:instrText>
            </w:r>
            <w:r w:rsidR="00CB3E2B">
              <w:rPr>
                <w:noProof/>
                <w:webHidden/>
              </w:rPr>
            </w:r>
            <w:r w:rsidR="00CB3E2B">
              <w:rPr>
                <w:noProof/>
                <w:webHidden/>
              </w:rPr>
              <w:fldChar w:fldCharType="separate"/>
            </w:r>
            <w:r w:rsidR="001737C7">
              <w:rPr>
                <w:noProof/>
                <w:webHidden/>
              </w:rPr>
              <w:t>238</w:t>
            </w:r>
            <w:r w:rsidR="00CB3E2B">
              <w:rPr>
                <w:noProof/>
                <w:webHidden/>
              </w:rPr>
              <w:fldChar w:fldCharType="end"/>
            </w:r>
          </w:hyperlink>
        </w:p>
        <w:p w14:paraId="440587AB" w14:textId="645A6D4E" w:rsidR="00E579B9" w:rsidRDefault="006A1398">
          <w:r>
            <w:rPr>
              <w:rFonts w:cs="Times New Roman"/>
            </w:rPr>
            <w:fldChar w:fldCharType="end"/>
          </w:r>
        </w:p>
      </w:sdtContent>
    </w:sdt>
    <w:p w14:paraId="23328BC8" w14:textId="77777777" w:rsidR="00E579B9" w:rsidRDefault="006A1398">
      <w:r>
        <w:t>附件：</w:t>
      </w:r>
    </w:p>
    <w:p w14:paraId="65293745" w14:textId="77777777" w:rsidR="00E579B9" w:rsidRDefault="006A1398">
      <w:r>
        <w:t>附件</w:t>
      </w:r>
      <w:r>
        <w:t>1</w:t>
      </w:r>
      <w:r>
        <w:t>环评委托书</w:t>
      </w:r>
    </w:p>
    <w:p w14:paraId="793A3412" w14:textId="77777777" w:rsidR="00E579B9" w:rsidRDefault="006A1398">
      <w:r>
        <w:rPr>
          <w:rFonts w:hint="eastAsia"/>
        </w:rPr>
        <w:t>附件</w:t>
      </w:r>
      <w:r>
        <w:rPr>
          <w:rFonts w:hint="eastAsia"/>
        </w:rPr>
        <w:t>2</w:t>
      </w:r>
      <w:r>
        <w:rPr>
          <w:rFonts w:hint="eastAsia"/>
        </w:rPr>
        <w:t>备案</w:t>
      </w:r>
    </w:p>
    <w:p w14:paraId="48EC86DB" w14:textId="77777777" w:rsidR="00E579B9" w:rsidRDefault="006A1398">
      <w:r>
        <w:rPr>
          <w:rFonts w:hint="eastAsia"/>
        </w:rPr>
        <w:t>附件</w:t>
      </w:r>
      <w:r>
        <w:rPr>
          <w:rFonts w:hint="eastAsia"/>
        </w:rPr>
        <w:t>3</w:t>
      </w:r>
      <w:r>
        <w:rPr>
          <w:rFonts w:hint="eastAsia"/>
        </w:rPr>
        <w:t>符合</w:t>
      </w:r>
      <w:proofErr w:type="gramStart"/>
      <w:r>
        <w:t>驿</w:t>
      </w:r>
      <w:proofErr w:type="gramEnd"/>
      <w:r>
        <w:t>城区矿产资源总体规划的说明</w:t>
      </w:r>
    </w:p>
    <w:p w14:paraId="34FE6430" w14:textId="77777777" w:rsidR="00E579B9" w:rsidRDefault="006A1398">
      <w:r>
        <w:rPr>
          <w:rFonts w:hint="eastAsia"/>
        </w:rPr>
        <w:t>附件</w:t>
      </w:r>
      <w:r>
        <w:rPr>
          <w:rFonts w:hint="eastAsia"/>
        </w:rPr>
        <w:t>4</w:t>
      </w:r>
      <w:r>
        <w:rPr>
          <w:rFonts w:hint="eastAsia"/>
        </w:rPr>
        <w:t>符合</w:t>
      </w:r>
      <w:r>
        <w:t>土地利用总体规划的证明</w:t>
      </w:r>
    </w:p>
    <w:p w14:paraId="1E565D1B" w14:textId="77777777" w:rsidR="00E579B9" w:rsidRDefault="006A1398">
      <w:r>
        <w:rPr>
          <w:rFonts w:hint="eastAsia"/>
        </w:rPr>
        <w:t>附件</w:t>
      </w:r>
      <w:r>
        <w:t>5</w:t>
      </w:r>
      <w:r>
        <w:rPr>
          <w:rFonts w:hint="eastAsia"/>
        </w:rPr>
        <w:t>拍卖</w:t>
      </w:r>
      <w:r>
        <w:t>成交确认书</w:t>
      </w:r>
    </w:p>
    <w:p w14:paraId="723E9C36" w14:textId="77777777" w:rsidR="00E579B9" w:rsidRDefault="006A1398">
      <w:r>
        <w:t>附件</w:t>
      </w:r>
      <w:r>
        <w:t>6</w:t>
      </w:r>
      <w:r>
        <w:rPr>
          <w:rFonts w:hint="eastAsia"/>
        </w:rPr>
        <w:t>《驻马店市驿城区李尧建筑石料用大理岩矿资源储量报告》（驻国土资储备字</w:t>
      </w:r>
      <w:proofErr w:type="gramStart"/>
      <w:r>
        <w:rPr>
          <w:rFonts w:hint="eastAsia"/>
        </w:rPr>
        <w:t>〔</w:t>
      </w:r>
      <w:proofErr w:type="gramEnd"/>
      <w:r>
        <w:rPr>
          <w:rFonts w:hint="eastAsia"/>
        </w:rPr>
        <w:t>2018</w:t>
      </w:r>
      <w:r>
        <w:rPr>
          <w:rFonts w:hint="eastAsia"/>
        </w:rPr>
        <w:t>﹞第</w:t>
      </w:r>
      <w:r>
        <w:rPr>
          <w:rFonts w:hint="eastAsia"/>
        </w:rPr>
        <w:t>04</w:t>
      </w:r>
      <w:r>
        <w:rPr>
          <w:rFonts w:hint="eastAsia"/>
        </w:rPr>
        <w:t>号）矿产资源储量评审备案证明</w:t>
      </w:r>
    </w:p>
    <w:p w14:paraId="66FBC7CA" w14:textId="77777777" w:rsidR="00E579B9" w:rsidRDefault="006A1398">
      <w:r>
        <w:rPr>
          <w:rFonts w:hint="eastAsia"/>
        </w:rPr>
        <w:t>附件</w:t>
      </w:r>
      <w:r>
        <w:rPr>
          <w:rFonts w:hint="eastAsia"/>
        </w:rPr>
        <w:t>7</w:t>
      </w:r>
      <w:r>
        <w:rPr>
          <w:rFonts w:hint="eastAsia"/>
        </w:rPr>
        <w:t>营业</w:t>
      </w:r>
      <w:r>
        <w:t>执照</w:t>
      </w:r>
    </w:p>
    <w:p w14:paraId="642C7A1B" w14:textId="77777777" w:rsidR="00E579B9" w:rsidRDefault="006A1398">
      <w:r>
        <w:t>附件</w:t>
      </w:r>
      <w:r>
        <w:t>8</w:t>
      </w:r>
      <w:r>
        <w:rPr>
          <w:rFonts w:hint="eastAsia"/>
        </w:rPr>
        <w:t>监测报告</w:t>
      </w:r>
    </w:p>
    <w:p w14:paraId="195542F7" w14:textId="77777777" w:rsidR="00E579B9" w:rsidRDefault="006A1398">
      <w:r>
        <w:t>附图：</w:t>
      </w:r>
    </w:p>
    <w:p w14:paraId="76F6B972" w14:textId="77777777" w:rsidR="00E579B9" w:rsidRDefault="006A1398">
      <w:r>
        <w:t>附图</w:t>
      </w:r>
      <w:r>
        <w:t>1</w:t>
      </w:r>
      <w:r>
        <w:t>项目地理位置图</w:t>
      </w:r>
    </w:p>
    <w:p w14:paraId="723541B2" w14:textId="77777777" w:rsidR="00E579B9" w:rsidRDefault="006A1398">
      <w:r>
        <w:t>附图</w:t>
      </w:r>
      <w:r>
        <w:t>2</w:t>
      </w:r>
      <w:r>
        <w:t>项目周围环</w:t>
      </w:r>
      <w:r>
        <w:rPr>
          <w:rFonts w:hint="eastAsia"/>
        </w:rPr>
        <w:t>概况</w:t>
      </w:r>
      <w:r>
        <w:t>图敏感点</w:t>
      </w:r>
      <w:r>
        <w:rPr>
          <w:rFonts w:hint="eastAsia"/>
        </w:rPr>
        <w:t>示意图</w:t>
      </w:r>
    </w:p>
    <w:p w14:paraId="00265077" w14:textId="77777777" w:rsidR="00E579B9" w:rsidRDefault="006A1398">
      <w:r>
        <w:t>附图</w:t>
      </w:r>
      <w:r>
        <w:rPr>
          <w:rFonts w:hint="eastAsia"/>
        </w:rPr>
        <w:t>3</w:t>
      </w:r>
      <w:r>
        <w:rPr>
          <w:rFonts w:hint="eastAsia"/>
        </w:rPr>
        <w:t>驻马店市生态保护红线分布图</w:t>
      </w:r>
    </w:p>
    <w:p w14:paraId="58E99003" w14:textId="77777777" w:rsidR="00E579B9" w:rsidRDefault="006A1398">
      <w:r>
        <w:lastRenderedPageBreak/>
        <w:t>附图</w:t>
      </w:r>
      <w:r>
        <w:rPr>
          <w:rFonts w:hint="eastAsia"/>
        </w:rPr>
        <w:t>4</w:t>
      </w:r>
      <w:r>
        <w:rPr>
          <w:rFonts w:hint="eastAsia"/>
        </w:rPr>
        <w:t>驻马店市生态保护红线分类管控图</w:t>
      </w:r>
    </w:p>
    <w:p w14:paraId="1346B86F" w14:textId="77777777" w:rsidR="00E579B9" w:rsidRDefault="006A1398">
      <w:r>
        <w:t>附图</w:t>
      </w:r>
      <w:r>
        <w:t>5</w:t>
      </w:r>
      <w:r>
        <w:rPr>
          <w:rFonts w:hint="eastAsia"/>
        </w:rPr>
        <w:t>破碎加工厂平面布置图</w:t>
      </w:r>
    </w:p>
    <w:p w14:paraId="1B1E270F" w14:textId="77777777" w:rsidR="00E579B9" w:rsidRDefault="006A1398">
      <w:r>
        <w:rPr>
          <w:rFonts w:hint="eastAsia"/>
        </w:rPr>
        <w:t>附图</w:t>
      </w:r>
      <w:r>
        <w:rPr>
          <w:rFonts w:hint="eastAsia"/>
        </w:rPr>
        <w:t>6</w:t>
      </w:r>
      <w:r>
        <w:rPr>
          <w:rFonts w:hint="eastAsia"/>
        </w:rPr>
        <w:t>河南省水土保持区划图</w:t>
      </w:r>
    </w:p>
    <w:p w14:paraId="6ECD2EC8" w14:textId="77777777" w:rsidR="00E579B9" w:rsidRDefault="006A1398">
      <w:r>
        <w:rPr>
          <w:rFonts w:hint="eastAsia"/>
        </w:rPr>
        <w:t>附图</w:t>
      </w:r>
      <w:r>
        <w:t>7</w:t>
      </w:r>
      <w:r>
        <w:rPr>
          <w:rFonts w:hint="eastAsia"/>
        </w:rPr>
        <w:t>矿区</w:t>
      </w:r>
      <w:r>
        <w:t>地质地形及总平面布置图</w:t>
      </w:r>
    </w:p>
    <w:p w14:paraId="5088A1AC" w14:textId="77777777" w:rsidR="00E579B9" w:rsidRDefault="006A1398">
      <w:r>
        <w:rPr>
          <w:rFonts w:hint="eastAsia"/>
        </w:rPr>
        <w:t>附图</w:t>
      </w:r>
      <w:r>
        <w:t>8</w:t>
      </w:r>
      <w:r>
        <w:rPr>
          <w:rFonts w:hint="eastAsia"/>
        </w:rPr>
        <w:t>露天开采终了</w:t>
      </w:r>
      <w:r>
        <w:t>平面布置图</w:t>
      </w:r>
    </w:p>
    <w:p w14:paraId="24AF166F" w14:textId="77777777" w:rsidR="00E579B9" w:rsidRDefault="006A1398">
      <w:r>
        <w:rPr>
          <w:rFonts w:hint="eastAsia"/>
        </w:rPr>
        <w:t>附图</w:t>
      </w:r>
      <w:r>
        <w:t>9</w:t>
      </w:r>
      <w:r>
        <w:rPr>
          <w:rFonts w:hint="eastAsia"/>
        </w:rPr>
        <w:t>采矿方法图</w:t>
      </w:r>
    </w:p>
    <w:p w14:paraId="6BFC56B8" w14:textId="77777777" w:rsidR="00E579B9" w:rsidRDefault="006A1398">
      <w:r>
        <w:rPr>
          <w:rFonts w:hint="eastAsia"/>
        </w:rPr>
        <w:t>附图</w:t>
      </w:r>
      <w:r>
        <w:rPr>
          <w:rFonts w:hint="eastAsia"/>
        </w:rPr>
        <w:t>1</w:t>
      </w:r>
      <w:r>
        <w:t>0</w:t>
      </w:r>
      <w:r>
        <w:rPr>
          <w:rFonts w:hint="eastAsia"/>
        </w:rPr>
        <w:t>生态</w:t>
      </w:r>
      <w:r>
        <w:t>功能区划图</w:t>
      </w:r>
    </w:p>
    <w:p w14:paraId="4A97CC1A" w14:textId="77777777" w:rsidR="00E579B9" w:rsidRDefault="006A1398">
      <w:r>
        <w:rPr>
          <w:rFonts w:hint="eastAsia"/>
        </w:rPr>
        <w:t>附图</w:t>
      </w:r>
      <w:r>
        <w:rPr>
          <w:rFonts w:hint="eastAsia"/>
        </w:rPr>
        <w:t>11</w:t>
      </w:r>
      <w:r>
        <w:rPr>
          <w:rFonts w:hint="eastAsia"/>
        </w:rPr>
        <w:t>环境</w:t>
      </w:r>
      <w:r>
        <w:t>质量现状监测图</w:t>
      </w:r>
    </w:p>
    <w:p w14:paraId="3C7DD3A4" w14:textId="77777777" w:rsidR="00E579B9" w:rsidRDefault="006A1398">
      <w:r>
        <w:rPr>
          <w:rFonts w:hint="eastAsia"/>
        </w:rPr>
        <w:t>附图</w:t>
      </w:r>
      <w:r>
        <w:rPr>
          <w:rFonts w:hint="eastAsia"/>
        </w:rPr>
        <w:t>12</w:t>
      </w:r>
      <w:r>
        <w:rPr>
          <w:rFonts w:hint="eastAsia"/>
        </w:rPr>
        <w:t>生态</w:t>
      </w:r>
      <w:r>
        <w:t>评价范围图</w:t>
      </w:r>
    </w:p>
    <w:p w14:paraId="422D1E62" w14:textId="77777777" w:rsidR="00E579B9" w:rsidRDefault="006A1398">
      <w:r>
        <w:rPr>
          <w:rFonts w:hint="eastAsia"/>
        </w:rPr>
        <w:t>附图</w:t>
      </w:r>
      <w:r>
        <w:rPr>
          <w:rFonts w:hint="eastAsia"/>
        </w:rPr>
        <w:t>13</w:t>
      </w:r>
      <w:r>
        <w:rPr>
          <w:rFonts w:hint="eastAsia"/>
        </w:rPr>
        <w:t>植被类型分布图</w:t>
      </w:r>
    </w:p>
    <w:p w14:paraId="57F36D57" w14:textId="754E4A9A" w:rsidR="00E579B9" w:rsidRDefault="006A1398">
      <w:r>
        <w:rPr>
          <w:rFonts w:hint="eastAsia"/>
        </w:rPr>
        <w:t>附图</w:t>
      </w:r>
      <w:r>
        <w:rPr>
          <w:rFonts w:hint="eastAsia"/>
        </w:rPr>
        <w:t>14</w:t>
      </w:r>
      <w:r w:rsidR="009E06B5">
        <w:rPr>
          <w:rFonts w:hint="eastAsia"/>
        </w:rPr>
        <w:t>项目平面布置图及</w:t>
      </w:r>
      <w:r>
        <w:rPr>
          <w:rFonts w:hint="eastAsia"/>
        </w:rPr>
        <w:t>运输路线图</w:t>
      </w:r>
    </w:p>
    <w:p w14:paraId="15F1406E" w14:textId="77777777" w:rsidR="00E579B9" w:rsidRDefault="006A1398">
      <w:pPr>
        <w:sectPr w:rsidR="00E579B9">
          <w:headerReference w:type="even" r:id="rId9"/>
          <w:headerReference w:type="default" r:id="rId10"/>
          <w:footerReference w:type="even" r:id="rId11"/>
          <w:footerReference w:type="default" r:id="rId12"/>
          <w:headerReference w:type="first" r:id="rId13"/>
          <w:footerReference w:type="first" r:id="rId14"/>
          <w:pgSz w:w="11906" w:h="16838"/>
          <w:pgMar w:top="1701" w:right="1588" w:bottom="1985" w:left="1588" w:header="992" w:footer="992" w:gutter="0"/>
          <w:pgNumType w:fmt="lowerRoman"/>
          <w:cols w:space="720"/>
          <w:docGrid w:linePitch="326"/>
        </w:sectPr>
      </w:pPr>
      <w:r>
        <w:rPr>
          <w:rFonts w:hint="eastAsia"/>
        </w:rPr>
        <w:t>附图</w:t>
      </w:r>
      <w:r>
        <w:rPr>
          <w:rFonts w:hint="eastAsia"/>
        </w:rPr>
        <w:t>15</w:t>
      </w:r>
      <w:r>
        <w:rPr>
          <w:rFonts w:hint="eastAsia"/>
        </w:rPr>
        <w:t>现场</w:t>
      </w:r>
      <w:r>
        <w:t>照片</w:t>
      </w:r>
    </w:p>
    <w:p w14:paraId="634188FC" w14:textId="77777777" w:rsidR="00E579B9" w:rsidRDefault="006A1398">
      <w:pPr>
        <w:pStyle w:val="1"/>
      </w:pPr>
      <w:bookmarkStart w:id="0" w:name="_Toc535847393"/>
      <w:bookmarkStart w:id="1" w:name="_Toc33021773"/>
      <w:bookmarkStart w:id="2" w:name="_Toc531939231"/>
      <w:bookmarkStart w:id="3" w:name="_Toc28847"/>
      <w:bookmarkStart w:id="4" w:name="_Toc501556915"/>
      <w:r>
        <w:lastRenderedPageBreak/>
        <w:t>第一章概述</w:t>
      </w:r>
      <w:bookmarkEnd w:id="0"/>
      <w:bookmarkEnd w:id="1"/>
    </w:p>
    <w:p w14:paraId="64312142" w14:textId="77777777" w:rsidR="00E579B9" w:rsidRDefault="006A1398">
      <w:pPr>
        <w:pStyle w:val="2"/>
        <w:ind w:firstLine="560"/>
      </w:pPr>
      <w:bookmarkStart w:id="5" w:name="_Toc535847394"/>
      <w:bookmarkStart w:id="6" w:name="_Toc33021774"/>
      <w:r>
        <w:t>1.1</w:t>
      </w:r>
      <w:r>
        <w:t>项目由来</w:t>
      </w:r>
      <w:bookmarkEnd w:id="5"/>
      <w:bookmarkEnd w:id="6"/>
    </w:p>
    <w:p w14:paraId="4BD5C887" w14:textId="77777777" w:rsidR="00E579B9" w:rsidRDefault="006A1398">
      <w:r>
        <w:t>目前，我省部分地区仍然存在矿山布局散、规模小、开采方式粗放等现象，是我省矿产资源领域急需解决的重要问题之一。</w:t>
      </w:r>
      <w:r>
        <w:rPr>
          <w:rFonts w:hint="eastAsia"/>
        </w:rPr>
        <w:t>因此，我省正处于矿产资源勘查开发利用方向调整，矿业结构优化、转型升级和绿色发展的关键阶段。</w:t>
      </w:r>
    </w:p>
    <w:p w14:paraId="637ABDEE" w14:textId="77777777" w:rsidR="00E579B9" w:rsidRDefault="006A1398">
      <w:r>
        <w:rPr>
          <w:rFonts w:hint="eastAsia"/>
        </w:rPr>
        <w:t>根据</w:t>
      </w:r>
      <w:r>
        <w:t>《河南省矿产资源总体规划》（</w:t>
      </w:r>
      <w:r>
        <w:t>2016-2020</w:t>
      </w:r>
      <w:r>
        <w:t>年）与</w:t>
      </w:r>
      <w:r>
        <w:rPr>
          <w:rFonts w:hint="eastAsia"/>
        </w:rPr>
        <w:t>文件要求，“</w:t>
      </w:r>
      <w:r>
        <w:t>要严格执行矿山最低开采规模要求</w:t>
      </w:r>
      <w:r>
        <w:rPr>
          <w:rFonts w:hint="eastAsia"/>
        </w:rPr>
        <w:t>（整合后矿山最低开采规模为大型矿山不低于</w:t>
      </w:r>
      <w:r>
        <w:rPr>
          <w:rFonts w:hint="eastAsia"/>
        </w:rPr>
        <w:t>1</w:t>
      </w:r>
      <w:r>
        <w:t>00</w:t>
      </w:r>
      <w:r>
        <w:rPr>
          <w:rFonts w:hint="eastAsia"/>
        </w:rPr>
        <w:t>万吨</w:t>
      </w:r>
      <w:r>
        <w:rPr>
          <w:rFonts w:hint="eastAsia"/>
        </w:rPr>
        <w:t>/</w:t>
      </w:r>
      <w:r>
        <w:rPr>
          <w:rFonts w:hint="eastAsia"/>
        </w:rPr>
        <w:t>年，中型矿山不低于</w:t>
      </w:r>
      <w:r>
        <w:rPr>
          <w:rFonts w:hint="eastAsia"/>
        </w:rPr>
        <w:t>5</w:t>
      </w:r>
      <w:r>
        <w:t>0</w:t>
      </w:r>
      <w:r>
        <w:rPr>
          <w:rFonts w:hint="eastAsia"/>
        </w:rPr>
        <w:t>万吨</w:t>
      </w:r>
      <w:r>
        <w:rPr>
          <w:rFonts w:hint="eastAsia"/>
        </w:rPr>
        <w:t>/</w:t>
      </w:r>
      <w:r>
        <w:rPr>
          <w:rFonts w:hint="eastAsia"/>
        </w:rPr>
        <w:t>年，小型矿山不低于</w:t>
      </w:r>
      <w:r>
        <w:rPr>
          <w:rFonts w:hint="eastAsia"/>
        </w:rPr>
        <w:t>2</w:t>
      </w:r>
      <w:r>
        <w:t>0</w:t>
      </w:r>
      <w:r>
        <w:rPr>
          <w:rFonts w:hint="eastAsia"/>
        </w:rPr>
        <w:t>万吨</w:t>
      </w:r>
      <w:r>
        <w:rPr>
          <w:rFonts w:hint="eastAsia"/>
        </w:rPr>
        <w:t>/</w:t>
      </w:r>
      <w:r>
        <w:rPr>
          <w:rFonts w:hint="eastAsia"/>
        </w:rPr>
        <w:t>年）</w:t>
      </w:r>
      <w:r>
        <w:t>，鼓励老矿山通过整合，提升规模达到相应矿山最低开采规模要求</w:t>
      </w:r>
      <w:r>
        <w:rPr>
          <w:rFonts w:hint="eastAsia"/>
        </w:rPr>
        <w:t>”</w:t>
      </w:r>
      <w:r>
        <w:t>。</w:t>
      </w:r>
      <w:r>
        <w:rPr>
          <w:rFonts w:hint="eastAsia"/>
        </w:rPr>
        <w:t>本项目矿区总面积</w:t>
      </w:r>
      <w:r>
        <w:t>0.2965km</w:t>
      </w:r>
      <w:r>
        <w:rPr>
          <w:position w:val="8"/>
          <w:sz w:val="15"/>
          <w:szCs w:val="15"/>
        </w:rPr>
        <w:t>2</w:t>
      </w:r>
      <w:r>
        <w:rPr>
          <w:rFonts w:hint="eastAsia"/>
        </w:rPr>
        <w:t>，开采深度为</w:t>
      </w:r>
      <w:r>
        <w:rPr>
          <w:rFonts w:hint="eastAsia"/>
        </w:rPr>
        <w:t>+290~+530m</w:t>
      </w:r>
      <w:r>
        <w:rPr>
          <w:rFonts w:hint="eastAsia"/>
        </w:rPr>
        <w:t>，采用露天开采方式，年开采</w:t>
      </w:r>
      <w:r>
        <w:rPr>
          <w:rFonts w:hint="eastAsia"/>
        </w:rPr>
        <w:t>230</w:t>
      </w:r>
      <w:r>
        <w:rPr>
          <w:rFonts w:hint="eastAsia"/>
        </w:rPr>
        <w:t>万吨建筑用大理岩，矿山生产服务年限为</w:t>
      </w:r>
      <w:r>
        <w:rPr>
          <w:rFonts w:hint="eastAsia"/>
        </w:rPr>
        <w:t>9.0</w:t>
      </w:r>
      <w:r>
        <w:rPr>
          <w:rFonts w:hint="eastAsia"/>
        </w:rPr>
        <w:t>年，</w:t>
      </w:r>
      <w:r>
        <w:t>符合要求。</w:t>
      </w:r>
    </w:p>
    <w:p w14:paraId="76D539F6" w14:textId="77777777" w:rsidR="00E579B9" w:rsidRDefault="006A1398">
      <w:r>
        <w:rPr>
          <w:rFonts w:hint="eastAsia"/>
          <w:kern w:val="30"/>
        </w:rPr>
        <w:t>2017</w:t>
      </w:r>
      <w:r>
        <w:rPr>
          <w:rFonts w:hint="eastAsia"/>
          <w:kern w:val="30"/>
        </w:rPr>
        <w:t>年</w:t>
      </w:r>
      <w:r>
        <w:rPr>
          <w:rFonts w:hint="eastAsia"/>
          <w:kern w:val="30"/>
        </w:rPr>
        <w:t>12</w:t>
      </w:r>
      <w:r>
        <w:rPr>
          <w:rFonts w:hint="eastAsia"/>
          <w:kern w:val="30"/>
        </w:rPr>
        <w:t>月，驻马店市</w:t>
      </w:r>
      <w:proofErr w:type="gramStart"/>
      <w:r>
        <w:rPr>
          <w:rFonts w:hint="eastAsia"/>
          <w:kern w:val="30"/>
        </w:rPr>
        <w:t>驿</w:t>
      </w:r>
      <w:proofErr w:type="gramEnd"/>
      <w:r>
        <w:rPr>
          <w:rFonts w:hint="eastAsia"/>
          <w:kern w:val="30"/>
        </w:rPr>
        <w:t>城区国土资源局为出让该矿权委托河南省博奥矿产资源开发技术服务有限公司在该矿权范围内开展了勘查工作，勘查工作结束后，于</w:t>
      </w:r>
      <w:r>
        <w:rPr>
          <w:rFonts w:hint="eastAsia"/>
          <w:kern w:val="30"/>
        </w:rPr>
        <w:t>2019</w:t>
      </w:r>
      <w:r>
        <w:rPr>
          <w:rFonts w:hint="eastAsia"/>
          <w:kern w:val="30"/>
        </w:rPr>
        <w:t>年</w:t>
      </w:r>
      <w:r>
        <w:rPr>
          <w:rFonts w:hint="eastAsia"/>
          <w:kern w:val="30"/>
        </w:rPr>
        <w:t>5</w:t>
      </w:r>
      <w:r>
        <w:rPr>
          <w:rFonts w:hint="eastAsia"/>
          <w:kern w:val="30"/>
        </w:rPr>
        <w:t>月提交了</w:t>
      </w:r>
      <w:r>
        <w:rPr>
          <w:rFonts w:hint="eastAsia"/>
        </w:rPr>
        <w:t>《驻马店市驿城区李尧建筑石料用大理岩矿资源储量报告》</w:t>
      </w:r>
      <w:r>
        <w:rPr>
          <w:rFonts w:hint="eastAsia"/>
          <w:kern w:val="30"/>
        </w:rPr>
        <w:t>，</w:t>
      </w:r>
      <w:r>
        <w:rPr>
          <w:rFonts w:hint="eastAsia"/>
        </w:rPr>
        <w:t>截止</w:t>
      </w:r>
      <w:r>
        <w:rPr>
          <w:rFonts w:hint="eastAsia"/>
        </w:rPr>
        <w:t>2019</w:t>
      </w:r>
      <w:r>
        <w:rPr>
          <w:rFonts w:hint="eastAsia"/>
        </w:rPr>
        <w:t>年</w:t>
      </w:r>
      <w:r>
        <w:rPr>
          <w:rFonts w:hint="eastAsia"/>
        </w:rPr>
        <w:t>4</w:t>
      </w:r>
      <w:r>
        <w:rPr>
          <w:rFonts w:hint="eastAsia"/>
        </w:rPr>
        <w:t>月</w:t>
      </w:r>
      <w:r>
        <w:rPr>
          <w:rFonts w:hint="eastAsia"/>
        </w:rPr>
        <w:t>30</w:t>
      </w:r>
      <w:r>
        <w:rPr>
          <w:rFonts w:hint="eastAsia"/>
        </w:rPr>
        <w:t>日，在矿区范围内共查明（</w:t>
      </w:r>
      <w:r>
        <w:rPr>
          <w:rFonts w:hint="eastAsia"/>
        </w:rPr>
        <w:t>122b</w:t>
      </w:r>
      <w:r>
        <w:rPr>
          <w:rFonts w:hint="eastAsia"/>
        </w:rPr>
        <w:t>）类资源储量</w:t>
      </w:r>
      <w:r>
        <w:rPr>
          <w:rFonts w:hint="eastAsia"/>
        </w:rPr>
        <w:t>1979.00</w:t>
      </w:r>
      <w:r>
        <w:rPr>
          <w:rFonts w:hint="eastAsia"/>
        </w:rPr>
        <w:t>万</w:t>
      </w:r>
      <w:r>
        <w:rPr>
          <w:rFonts w:hint="eastAsia"/>
        </w:rPr>
        <w:t>t(</w:t>
      </w:r>
      <w:r>
        <w:rPr>
          <w:rFonts w:hint="eastAsia"/>
        </w:rPr>
        <w:t>合</w:t>
      </w:r>
      <w:r>
        <w:rPr>
          <w:rFonts w:hint="eastAsia"/>
        </w:rPr>
        <w:t>761.16</w:t>
      </w:r>
      <w:r>
        <w:rPr>
          <w:rFonts w:hint="eastAsia"/>
        </w:rPr>
        <w:t>万</w:t>
      </w:r>
      <w:r>
        <w:rPr>
          <w:rFonts w:hint="eastAsia"/>
        </w:rPr>
        <w:t>m</w:t>
      </w:r>
      <w:r>
        <w:rPr>
          <w:rFonts w:hint="eastAsia"/>
        </w:rPr>
        <w:t>³</w:t>
      </w:r>
      <w:r>
        <w:rPr>
          <w:rFonts w:hint="eastAsia"/>
        </w:rPr>
        <w:t>)</w:t>
      </w:r>
      <w:r>
        <w:rPr>
          <w:rFonts w:hint="eastAsia"/>
        </w:rPr>
        <w:t>，全部为保有资源储量。</w:t>
      </w:r>
    </w:p>
    <w:p w14:paraId="53961851" w14:textId="77777777" w:rsidR="00E579B9" w:rsidRDefault="006A1398">
      <w:r>
        <w:rPr>
          <w:rFonts w:hint="eastAsia"/>
        </w:rPr>
        <w:t>另外，参考周边矿山资料</w:t>
      </w:r>
      <w:proofErr w:type="gramStart"/>
      <w:r>
        <w:rPr>
          <w:rFonts w:hint="eastAsia"/>
        </w:rPr>
        <w:t>在露采剥离物</w:t>
      </w:r>
      <w:proofErr w:type="gramEnd"/>
      <w:r>
        <w:rPr>
          <w:rFonts w:hint="eastAsia"/>
        </w:rPr>
        <w:t>中的玄武岩可综合回收利用，经计算可综合回收利用的玄武岩</w:t>
      </w:r>
      <w:r>
        <w:rPr>
          <w:rFonts w:hint="eastAsia"/>
        </w:rPr>
        <w:t>71.36</w:t>
      </w:r>
      <w:r>
        <w:rPr>
          <w:rFonts w:hint="eastAsia"/>
        </w:rPr>
        <w:t>万</w:t>
      </w:r>
      <w:r>
        <w:rPr>
          <w:rFonts w:hint="eastAsia"/>
        </w:rPr>
        <w:t>m</w:t>
      </w:r>
      <w:r>
        <w:rPr>
          <w:rFonts w:hint="eastAsia"/>
        </w:rPr>
        <w:t>³（合</w:t>
      </w:r>
      <w:r>
        <w:rPr>
          <w:rFonts w:hint="eastAsia"/>
        </w:rPr>
        <w:t>199.83</w:t>
      </w:r>
      <w:r>
        <w:rPr>
          <w:rFonts w:hint="eastAsia"/>
        </w:rPr>
        <w:t>万</w:t>
      </w:r>
      <w:r>
        <w:rPr>
          <w:rFonts w:hint="eastAsia"/>
        </w:rPr>
        <w:t>t</w:t>
      </w:r>
      <w:r>
        <w:rPr>
          <w:rFonts w:hint="eastAsia"/>
        </w:rPr>
        <w:t>），应在进行</w:t>
      </w:r>
      <w:proofErr w:type="gramStart"/>
      <w:r>
        <w:rPr>
          <w:rFonts w:hint="eastAsia"/>
        </w:rPr>
        <w:t>权益金</w:t>
      </w:r>
      <w:proofErr w:type="gramEnd"/>
      <w:r>
        <w:rPr>
          <w:rFonts w:hint="eastAsia"/>
        </w:rPr>
        <w:t>处置后，在开采过程中予以综合回收利用。勘查工作区范围和标高由驻马店市</w:t>
      </w:r>
      <w:proofErr w:type="gramStart"/>
      <w:r>
        <w:rPr>
          <w:rFonts w:hint="eastAsia"/>
        </w:rPr>
        <w:t>驿</w:t>
      </w:r>
      <w:proofErr w:type="gramEnd"/>
      <w:r>
        <w:rPr>
          <w:rFonts w:hint="eastAsia"/>
        </w:rPr>
        <w:t>城区国土资源局划定，符合《驻马店市驿城区矿产资源总体规划（</w:t>
      </w:r>
      <w:r>
        <w:rPr>
          <w:rFonts w:hint="eastAsia"/>
        </w:rPr>
        <w:t>2016-2020</w:t>
      </w:r>
      <w:r>
        <w:rPr>
          <w:rFonts w:hint="eastAsia"/>
        </w:rPr>
        <w:t>年）》要求。不在禁采或限</w:t>
      </w:r>
      <w:proofErr w:type="gramStart"/>
      <w:r>
        <w:rPr>
          <w:rFonts w:hint="eastAsia"/>
        </w:rPr>
        <w:t>采范围</w:t>
      </w:r>
      <w:proofErr w:type="gramEnd"/>
      <w:r>
        <w:rPr>
          <w:rFonts w:hint="eastAsia"/>
        </w:rPr>
        <w:t>内，区内无名胜古迹、自然保护区、基本农田等限采因素。</w:t>
      </w:r>
    </w:p>
    <w:p w14:paraId="402FBCAF" w14:textId="77777777" w:rsidR="00E579B9" w:rsidRDefault="006A1398">
      <w:pPr>
        <w:rPr>
          <w:kern w:val="30"/>
        </w:rPr>
      </w:pPr>
      <w:r>
        <w:rPr>
          <w:rFonts w:hint="eastAsia"/>
          <w:kern w:val="30"/>
        </w:rPr>
        <w:t>2018</w:t>
      </w:r>
      <w:r>
        <w:rPr>
          <w:rFonts w:hint="eastAsia"/>
          <w:kern w:val="30"/>
        </w:rPr>
        <w:t>年</w:t>
      </w:r>
      <w:r>
        <w:rPr>
          <w:rFonts w:hint="eastAsia"/>
          <w:kern w:val="30"/>
        </w:rPr>
        <w:t>7</w:t>
      </w:r>
      <w:r>
        <w:rPr>
          <w:rFonts w:hint="eastAsia"/>
          <w:kern w:val="30"/>
        </w:rPr>
        <w:t>月</w:t>
      </w:r>
      <w:r>
        <w:rPr>
          <w:rFonts w:hint="eastAsia"/>
          <w:kern w:val="30"/>
        </w:rPr>
        <w:t>9</w:t>
      </w:r>
      <w:r>
        <w:rPr>
          <w:rFonts w:hint="eastAsia"/>
          <w:kern w:val="30"/>
        </w:rPr>
        <w:t>日，驻马店市国土资源局以“关于</w:t>
      </w:r>
      <w:r>
        <w:rPr>
          <w:rFonts w:hint="eastAsia"/>
        </w:rPr>
        <w:t>《驻马店市驿城区李尧建筑石料用大理岩矿资源储量报告》</w:t>
      </w:r>
      <w:r>
        <w:rPr>
          <w:rFonts w:hint="eastAsia"/>
          <w:kern w:val="30"/>
        </w:rPr>
        <w:t>矿产资源储量评审备案证明”（驻国土资储备字【</w:t>
      </w:r>
      <w:r>
        <w:rPr>
          <w:rFonts w:hint="eastAsia"/>
          <w:kern w:val="30"/>
        </w:rPr>
        <w:t>2019</w:t>
      </w:r>
      <w:r>
        <w:rPr>
          <w:rFonts w:hint="eastAsia"/>
          <w:kern w:val="30"/>
        </w:rPr>
        <w:t>】第</w:t>
      </w:r>
      <w:r>
        <w:rPr>
          <w:rFonts w:hint="eastAsia"/>
          <w:kern w:val="30"/>
        </w:rPr>
        <w:t>01</w:t>
      </w:r>
      <w:r>
        <w:rPr>
          <w:rFonts w:hint="eastAsia"/>
          <w:kern w:val="30"/>
        </w:rPr>
        <w:t>号）予以备案。</w:t>
      </w:r>
    </w:p>
    <w:p w14:paraId="02665693" w14:textId="0B288AD9" w:rsidR="00E579B9" w:rsidRPr="002B5221" w:rsidRDefault="006A1398">
      <w:pPr>
        <w:rPr>
          <w:szCs w:val="24"/>
        </w:rPr>
      </w:pPr>
      <w:r>
        <w:t>2019</w:t>
      </w:r>
      <w:r>
        <w:rPr>
          <w:rFonts w:hint="eastAsia"/>
        </w:rPr>
        <w:t>年</w:t>
      </w:r>
      <w:r>
        <w:t>12</w:t>
      </w:r>
      <w:r>
        <w:rPr>
          <w:rFonts w:hint="eastAsia"/>
        </w:rPr>
        <w:t>月，河南省博奥矿产资源开发技术服务有限公司编制完成《驻马店市驿城区李尧建筑石料用大理岩矿矿产资源开发利用方案》</w:t>
      </w:r>
      <w:r>
        <w:rPr>
          <w:rFonts w:hint="eastAsia"/>
          <w:color w:val="FF0000"/>
        </w:rPr>
        <w:t>，</w:t>
      </w:r>
      <w:r w:rsidRPr="002B5221">
        <w:rPr>
          <w:rFonts w:hint="eastAsia"/>
        </w:rPr>
        <w:t>该方案于</w:t>
      </w:r>
      <w:r w:rsidRPr="002B5221">
        <w:t>20</w:t>
      </w:r>
      <w:r w:rsidRPr="002B5221">
        <w:rPr>
          <w:rFonts w:hint="eastAsia"/>
        </w:rPr>
        <w:t>20</w:t>
      </w:r>
      <w:r w:rsidRPr="002B5221">
        <w:rPr>
          <w:rFonts w:hint="eastAsia"/>
        </w:rPr>
        <w:t>年</w:t>
      </w:r>
      <w:r w:rsidR="00E43444" w:rsidRPr="002B5221">
        <w:rPr>
          <w:rFonts w:hint="eastAsia"/>
        </w:rPr>
        <w:t>1</w:t>
      </w:r>
      <w:r w:rsidRPr="002B5221">
        <w:rPr>
          <w:rFonts w:hint="eastAsia"/>
          <w:spacing w:val="-4"/>
        </w:rPr>
        <w:lastRenderedPageBreak/>
        <w:t>月</w:t>
      </w:r>
      <w:r w:rsidR="00E43444" w:rsidRPr="002B5221">
        <w:rPr>
          <w:rFonts w:hint="eastAsia"/>
          <w:spacing w:val="-4"/>
        </w:rPr>
        <w:t>4</w:t>
      </w:r>
      <w:r w:rsidRPr="002B5221">
        <w:rPr>
          <w:rFonts w:hint="eastAsia"/>
          <w:spacing w:val="-4"/>
        </w:rPr>
        <w:t>日经河南省矿业协会评审通过（</w:t>
      </w:r>
      <w:proofErr w:type="gramStart"/>
      <w:r w:rsidRPr="002B5221">
        <w:rPr>
          <w:rFonts w:hint="eastAsia"/>
          <w:spacing w:val="-4"/>
        </w:rPr>
        <w:t>豫矿开</w:t>
      </w:r>
      <w:proofErr w:type="gramEnd"/>
      <w:r w:rsidRPr="002B5221">
        <w:rPr>
          <w:rFonts w:hint="eastAsia"/>
          <w:spacing w:val="-4"/>
        </w:rPr>
        <w:t>（零）评字</w:t>
      </w:r>
      <w:r w:rsidRPr="002B5221">
        <w:rPr>
          <w:spacing w:val="-4"/>
        </w:rPr>
        <w:t>[20</w:t>
      </w:r>
      <w:r w:rsidRPr="002B5221">
        <w:rPr>
          <w:rFonts w:hint="eastAsia"/>
          <w:spacing w:val="-4"/>
        </w:rPr>
        <w:t>20</w:t>
      </w:r>
      <w:r w:rsidRPr="002B5221">
        <w:rPr>
          <w:spacing w:val="-4"/>
        </w:rPr>
        <w:t>]006</w:t>
      </w:r>
      <w:r w:rsidRPr="002B5221">
        <w:rPr>
          <w:rFonts w:hint="eastAsia"/>
          <w:spacing w:val="-4"/>
        </w:rPr>
        <w:t>号）。</w:t>
      </w:r>
      <w:r w:rsidRPr="002B5221">
        <w:rPr>
          <w:rFonts w:hint="eastAsia"/>
        </w:rPr>
        <w:t>驻马店市</w:t>
      </w:r>
      <w:proofErr w:type="gramStart"/>
      <w:r w:rsidRPr="002B5221">
        <w:rPr>
          <w:rFonts w:hint="eastAsia"/>
        </w:rPr>
        <w:t>驿</w:t>
      </w:r>
      <w:proofErr w:type="gramEnd"/>
      <w:r w:rsidRPr="002B5221">
        <w:rPr>
          <w:rFonts w:hint="eastAsia"/>
        </w:rPr>
        <w:t>城区李</w:t>
      </w:r>
      <w:proofErr w:type="gramStart"/>
      <w:r w:rsidRPr="002B5221">
        <w:rPr>
          <w:rFonts w:hint="eastAsia"/>
        </w:rPr>
        <w:t>尧建筑</w:t>
      </w:r>
      <w:proofErr w:type="gramEnd"/>
      <w:r w:rsidRPr="002B5221">
        <w:rPr>
          <w:rFonts w:hint="eastAsia"/>
        </w:rPr>
        <w:t>石料用大理岩矿</w:t>
      </w:r>
      <w:proofErr w:type="gramStart"/>
      <w:r w:rsidRPr="002B5221">
        <w:rPr>
          <w:rFonts w:hint="eastAsia"/>
        </w:rPr>
        <w:t>”</w:t>
      </w:r>
      <w:proofErr w:type="gramEnd"/>
      <w:r w:rsidRPr="002B5221">
        <w:rPr>
          <w:rFonts w:hint="eastAsia"/>
        </w:rPr>
        <w:t>位于驻马店市</w:t>
      </w:r>
      <w:proofErr w:type="gramStart"/>
      <w:r w:rsidRPr="002B5221">
        <w:rPr>
          <w:rFonts w:hint="eastAsia"/>
        </w:rPr>
        <w:t>驿</w:t>
      </w:r>
      <w:proofErr w:type="gramEnd"/>
      <w:r w:rsidRPr="002B5221">
        <w:rPr>
          <w:rFonts w:hint="eastAsia"/>
        </w:rPr>
        <w:t>城区沙河店</w:t>
      </w:r>
      <w:proofErr w:type="gramStart"/>
      <w:r w:rsidRPr="002B5221">
        <w:rPr>
          <w:rFonts w:hint="eastAsia"/>
        </w:rPr>
        <w:t>镇赵尧村</w:t>
      </w:r>
      <w:proofErr w:type="gramEnd"/>
      <w:r w:rsidRPr="002B5221">
        <w:rPr>
          <w:rFonts w:hint="eastAsia"/>
        </w:rPr>
        <w:t>附近，</w:t>
      </w:r>
      <w:r w:rsidRPr="002B5221">
        <w:t>2019</w:t>
      </w:r>
      <w:r w:rsidRPr="002B5221">
        <w:t>年</w:t>
      </w:r>
      <w:r w:rsidRPr="002B5221">
        <w:t>12</w:t>
      </w:r>
      <w:r w:rsidRPr="002B5221">
        <w:t>月</w:t>
      </w:r>
      <w:r w:rsidRPr="002B5221">
        <w:t>06</w:t>
      </w:r>
      <w:r w:rsidRPr="002B5221">
        <w:t>日，</w:t>
      </w:r>
      <w:r w:rsidR="00507361" w:rsidRPr="002B5221">
        <w:rPr>
          <w:rFonts w:hint="eastAsia"/>
        </w:rPr>
        <w:t>驻</w:t>
      </w:r>
      <w:r w:rsidRPr="002B5221">
        <w:t>马店市</w:t>
      </w:r>
      <w:proofErr w:type="gramStart"/>
      <w:r w:rsidRPr="002B5221">
        <w:t>驿</w:t>
      </w:r>
      <w:proofErr w:type="gramEnd"/>
      <w:r w:rsidRPr="002B5221">
        <w:t>城区丰鑫矿业有限公司通过公开拍卖取得</w:t>
      </w:r>
      <w:r w:rsidRPr="002B5221">
        <w:rPr>
          <w:rFonts w:hint="eastAsia"/>
        </w:rPr>
        <w:t>驻马店市</w:t>
      </w:r>
      <w:proofErr w:type="gramStart"/>
      <w:r w:rsidRPr="002B5221">
        <w:rPr>
          <w:rFonts w:hint="eastAsia"/>
        </w:rPr>
        <w:t>驿</w:t>
      </w:r>
      <w:proofErr w:type="gramEnd"/>
      <w:r w:rsidRPr="002B5221">
        <w:rPr>
          <w:rFonts w:hint="eastAsia"/>
        </w:rPr>
        <w:t>城区李</w:t>
      </w:r>
      <w:proofErr w:type="gramStart"/>
      <w:r w:rsidRPr="002B5221">
        <w:rPr>
          <w:rFonts w:hint="eastAsia"/>
        </w:rPr>
        <w:t>尧建筑</w:t>
      </w:r>
      <w:proofErr w:type="gramEnd"/>
      <w:r w:rsidRPr="002B5221">
        <w:rPr>
          <w:rFonts w:hint="eastAsia"/>
        </w:rPr>
        <w:t>用大理岩矿</w:t>
      </w:r>
      <w:r w:rsidRPr="002B5221">
        <w:t>采矿权</w:t>
      </w:r>
      <w:r w:rsidRPr="002B5221">
        <w:rPr>
          <w:rFonts w:hint="eastAsia"/>
        </w:rPr>
        <w:t>（见附件</w:t>
      </w:r>
      <w:r w:rsidRPr="002B5221">
        <w:t>5</w:t>
      </w:r>
      <w:r w:rsidRPr="002B5221">
        <w:rPr>
          <w:rFonts w:hint="eastAsia"/>
        </w:rPr>
        <w:t>，成交确认书）。</w:t>
      </w:r>
    </w:p>
    <w:p w14:paraId="73E907BF" w14:textId="77777777" w:rsidR="00E579B9" w:rsidRDefault="006A1398">
      <w:bookmarkStart w:id="7" w:name="_Toc535847395"/>
      <w:r>
        <w:t>1.2</w:t>
      </w:r>
      <w:r>
        <w:t>项目特点</w:t>
      </w:r>
      <w:bookmarkEnd w:id="7"/>
    </w:p>
    <w:p w14:paraId="4DDB0CFE" w14:textId="77777777" w:rsidR="00E579B9" w:rsidRDefault="006A1398">
      <w:pPr>
        <w:pStyle w:val="3"/>
        <w:ind w:firstLine="560"/>
      </w:pPr>
      <w:bookmarkStart w:id="8" w:name="_Toc535847396"/>
      <w:r>
        <w:t>1.2.1</w:t>
      </w:r>
      <w:r>
        <w:t>项目特点</w:t>
      </w:r>
      <w:bookmarkEnd w:id="8"/>
    </w:p>
    <w:p w14:paraId="678E479C" w14:textId="319AA8ED" w:rsidR="00E579B9" w:rsidRDefault="006A1398">
      <w:r>
        <w:t>（</w:t>
      </w:r>
      <w:r>
        <w:t>1</w:t>
      </w:r>
      <w:r>
        <w:t>）</w:t>
      </w:r>
      <w:r>
        <w:rPr>
          <w:rFonts w:hint="eastAsia"/>
        </w:rPr>
        <w:t>本项目工程性质为</w:t>
      </w:r>
      <w:r w:rsidR="001737C7">
        <w:rPr>
          <w:rFonts w:hint="eastAsia"/>
        </w:rPr>
        <w:t>资源整合</w:t>
      </w:r>
      <w:r>
        <w:rPr>
          <w:rFonts w:hint="eastAsia"/>
        </w:rPr>
        <w:t>，矿区位于驻马店市</w:t>
      </w:r>
      <w:proofErr w:type="gramStart"/>
      <w:r>
        <w:rPr>
          <w:rFonts w:hint="eastAsia"/>
        </w:rPr>
        <w:t>驿</w:t>
      </w:r>
      <w:proofErr w:type="gramEnd"/>
      <w:r>
        <w:rPr>
          <w:rFonts w:hint="eastAsia"/>
        </w:rPr>
        <w:t>城区</w:t>
      </w:r>
      <w:r>
        <w:t>沙河店</w:t>
      </w:r>
      <w:proofErr w:type="gramStart"/>
      <w:r>
        <w:t>镇</w:t>
      </w:r>
      <w:r>
        <w:rPr>
          <w:rFonts w:hint="eastAsia"/>
        </w:rPr>
        <w:t>赵尧村</w:t>
      </w:r>
      <w:proofErr w:type="gramEnd"/>
      <w:r>
        <w:t>李</w:t>
      </w:r>
      <w:r>
        <w:rPr>
          <w:rFonts w:hint="eastAsia"/>
        </w:rPr>
        <w:t>庄组</w:t>
      </w:r>
      <w:r>
        <w:t>。</w:t>
      </w:r>
      <w:r>
        <w:rPr>
          <w:rFonts w:hint="eastAsia"/>
        </w:rPr>
        <w:t>本项目矿石为建筑石料用大理岩，采用自上而下分台阶露天开采，选用中深孔爆破工艺，并使用多排孔挤压微差爆破法。矿山最终产品为建筑石料用大理岩矿碎石，就近销售给项目配套建筑石料厂。</w:t>
      </w:r>
    </w:p>
    <w:p w14:paraId="2C704875" w14:textId="77777777" w:rsidR="00E579B9" w:rsidRDefault="006A1398">
      <w:r>
        <w:t>（</w:t>
      </w:r>
      <w:r>
        <w:t>2</w:t>
      </w:r>
      <w:r>
        <w:t>）</w:t>
      </w:r>
      <w:r>
        <w:rPr>
          <w:rFonts w:hint="eastAsia"/>
        </w:rPr>
        <w:t>本项目运营期产生的主要污染物为粉尘、废水、噪声和固体废物。采取钻孔湿式作业、洒水、覆盖等措施，可有效减少粉尘污染。废水主要为生活污水，经污水处理设施处理后全部回用，不外排。固体废物主要为表土、风化层和生活垃圾，表土及风化层暂存于表土场，后期用于矿坑复垦；生活垃圾集中收集后，定期交由</w:t>
      </w:r>
      <w:r>
        <w:t>环卫部门处理。</w:t>
      </w:r>
    </w:p>
    <w:p w14:paraId="6A988638" w14:textId="66F212D3" w:rsidR="00E579B9" w:rsidRDefault="006A1398">
      <w:r>
        <w:t>（</w:t>
      </w:r>
      <w:r>
        <w:t>3</w:t>
      </w:r>
      <w:r>
        <w:t>）</w:t>
      </w:r>
      <w:proofErr w:type="gramStart"/>
      <w:r>
        <w:rPr>
          <w:rFonts w:hint="eastAsia"/>
        </w:rPr>
        <w:t>矿区北</w:t>
      </w:r>
      <w:proofErr w:type="gramEnd"/>
      <w:r>
        <w:rPr>
          <w:rFonts w:hint="eastAsia"/>
        </w:rPr>
        <w:t>方向分布有同类型矿山，距离该矿山大于</w:t>
      </w:r>
      <w:r>
        <w:rPr>
          <w:rFonts w:hint="eastAsia"/>
        </w:rPr>
        <w:t>300m</w:t>
      </w:r>
      <w:r>
        <w:rPr>
          <w:rFonts w:hint="eastAsia"/>
        </w:rPr>
        <w:t>。</w:t>
      </w:r>
    </w:p>
    <w:p w14:paraId="78620AC0" w14:textId="77777777" w:rsidR="00E579B9" w:rsidRDefault="006A1398">
      <w:pPr>
        <w:pStyle w:val="3"/>
        <w:ind w:firstLine="560"/>
      </w:pPr>
      <w:bookmarkStart w:id="9" w:name="_Toc535847397"/>
      <w:r>
        <w:t>1.2.2</w:t>
      </w:r>
      <w:r>
        <w:t>环境特点</w:t>
      </w:r>
      <w:bookmarkEnd w:id="9"/>
    </w:p>
    <w:p w14:paraId="085F7452" w14:textId="72A78AC8" w:rsidR="00E579B9" w:rsidRPr="002B5221" w:rsidRDefault="006A1398" w:rsidP="00C74622">
      <w:r>
        <w:t>（</w:t>
      </w:r>
      <w:r>
        <w:t>1</w:t>
      </w:r>
      <w:r>
        <w:t>）项目区域地貌类型以丘陵、岗地为主，</w:t>
      </w:r>
      <w:r w:rsidR="007E4E0D" w:rsidRPr="002B5221">
        <w:rPr>
          <w:rFonts w:hint="eastAsia"/>
        </w:rPr>
        <w:t>本项目位于伏牛山山地丘陵保土水源涵养区，</w:t>
      </w:r>
      <w:r w:rsidR="00C74622" w:rsidRPr="002B5221">
        <w:rPr>
          <w:rFonts w:hint="eastAsia"/>
        </w:rPr>
        <w:t>属于省级水土流失重点治理区，</w:t>
      </w:r>
      <w:r w:rsidRPr="002B5221">
        <w:t>水土流失以水力侵蚀为主</w:t>
      </w:r>
      <w:r w:rsidRPr="002B5221">
        <w:rPr>
          <w:rFonts w:hint="eastAsia"/>
        </w:rPr>
        <w:t>；</w:t>
      </w:r>
    </w:p>
    <w:p w14:paraId="50FE22FD" w14:textId="77777777" w:rsidR="00E579B9" w:rsidRDefault="006A1398">
      <w:pPr>
        <w:widowControl w:val="0"/>
        <w:autoSpaceDE w:val="0"/>
        <w:adjustRightInd w:val="0"/>
        <w:snapToGrid w:val="0"/>
        <w:textAlignment w:val="baseline"/>
        <w:rPr>
          <w:rFonts w:ascii="宋体" w:hAnsi="宋体" w:cs="Times New Roman"/>
          <w:color w:val="FF0000"/>
          <w:sz w:val="28"/>
          <w:szCs w:val="28"/>
        </w:rPr>
      </w:pPr>
      <w:r w:rsidRPr="002B5221">
        <w:t>（</w:t>
      </w:r>
      <w:r w:rsidRPr="002B5221">
        <w:t>2</w:t>
      </w:r>
      <w:r w:rsidRPr="002B5221">
        <w:t>）根据调查，</w:t>
      </w:r>
      <w:r w:rsidRPr="002B5221">
        <w:rPr>
          <w:rFonts w:hint="eastAsia"/>
        </w:rPr>
        <w:t>本区属淮河水系和白河水系上游源区。</w:t>
      </w:r>
      <w:r>
        <w:t>矿区内地表水体不发育，无大的河流、沟渠，仅发育一些冲沟，且多为干沟；</w:t>
      </w:r>
    </w:p>
    <w:p w14:paraId="40911C67" w14:textId="77777777" w:rsidR="00E579B9" w:rsidRDefault="006A1398">
      <w:r>
        <w:t>（</w:t>
      </w:r>
      <w:r>
        <w:t>3</w:t>
      </w:r>
      <w:r>
        <w:t>）露天开采方式会破坏地表植被，但由于项目矿区面积较小</w:t>
      </w:r>
      <w:r>
        <w:rPr>
          <w:rFonts w:hint="eastAsia"/>
        </w:rPr>
        <w:t>，且闭矿期采取复垦植被等生态恢复措施</w:t>
      </w:r>
      <w:r>
        <w:t>，故对环境影响程度</w:t>
      </w:r>
      <w:r>
        <w:rPr>
          <w:rFonts w:hint="eastAsia"/>
        </w:rPr>
        <w:t>小</w:t>
      </w:r>
      <w:r>
        <w:t>；</w:t>
      </w:r>
    </w:p>
    <w:p w14:paraId="19FB62C1" w14:textId="77777777" w:rsidR="00E579B9" w:rsidRDefault="006A1398">
      <w:pPr>
        <w:jc w:val="both"/>
      </w:pPr>
      <w:r>
        <w:rPr>
          <w:rFonts w:hint="eastAsia"/>
        </w:rPr>
        <w:t>（</w:t>
      </w:r>
      <w:r>
        <w:rPr>
          <w:rFonts w:hint="eastAsia"/>
        </w:rPr>
        <w:t>4</w:t>
      </w:r>
      <w:r>
        <w:rPr>
          <w:rFonts w:hint="eastAsia"/>
        </w:rPr>
        <w:t>）本项目矿区环境敏感点主要为矿区周围的村庄，距离本项目最近的环境敏感点为矿区东侧</w:t>
      </w:r>
      <w:r>
        <w:rPr>
          <w:rFonts w:hint="eastAsia"/>
        </w:rPr>
        <w:t>45</w:t>
      </w:r>
      <w:r>
        <w:t>7</w:t>
      </w:r>
      <w:r>
        <w:rPr>
          <w:rFonts w:hint="eastAsia"/>
        </w:rPr>
        <w:t>m</w:t>
      </w:r>
      <w:r>
        <w:rPr>
          <w:rFonts w:hint="eastAsia"/>
        </w:rPr>
        <w:t>处的傅</w:t>
      </w:r>
      <w:proofErr w:type="gramStart"/>
      <w:r>
        <w:t>埂</w:t>
      </w:r>
      <w:proofErr w:type="gramEnd"/>
      <w:r>
        <w:rPr>
          <w:rFonts w:hint="eastAsia"/>
        </w:rPr>
        <w:t>，项目周围</w:t>
      </w:r>
      <w:r>
        <w:t>300</w:t>
      </w:r>
      <w:r>
        <w:rPr>
          <w:rFonts w:hint="eastAsia"/>
        </w:rPr>
        <w:t>m</w:t>
      </w:r>
      <w:r>
        <w:rPr>
          <w:rFonts w:hint="eastAsia"/>
        </w:rPr>
        <w:t>范围内不存在村庄等环境敏感点；</w:t>
      </w:r>
    </w:p>
    <w:p w14:paraId="5C083697" w14:textId="77777777" w:rsidR="00E579B9" w:rsidRDefault="006A1398">
      <w:r>
        <w:rPr>
          <w:rFonts w:hint="eastAsia"/>
        </w:rPr>
        <w:t>（</w:t>
      </w:r>
      <w:r>
        <w:rPr>
          <w:rFonts w:hint="eastAsia"/>
        </w:rPr>
        <w:t>5</w:t>
      </w:r>
      <w:r>
        <w:rPr>
          <w:rFonts w:hint="eastAsia"/>
        </w:rPr>
        <w:t>）矿区位于驻马店市</w:t>
      </w:r>
      <w:proofErr w:type="gramStart"/>
      <w:r>
        <w:rPr>
          <w:rFonts w:hint="eastAsia"/>
        </w:rPr>
        <w:t>驿</w:t>
      </w:r>
      <w:proofErr w:type="gramEnd"/>
      <w:r>
        <w:rPr>
          <w:rFonts w:hint="eastAsia"/>
        </w:rPr>
        <w:t>城区沙河店</w:t>
      </w:r>
      <w:proofErr w:type="gramStart"/>
      <w:r>
        <w:rPr>
          <w:rFonts w:hint="eastAsia"/>
        </w:rPr>
        <w:t>镇赵尧村</w:t>
      </w:r>
      <w:proofErr w:type="gramEnd"/>
      <w:r>
        <w:rPr>
          <w:rFonts w:hint="eastAsia"/>
        </w:rPr>
        <w:t>，分布在大顶山一带，北与舞钢市搭界。矿区内有简易乡村道路</w:t>
      </w:r>
      <w:proofErr w:type="gramStart"/>
      <w:r>
        <w:rPr>
          <w:rFonts w:hint="eastAsia"/>
        </w:rPr>
        <w:t>通往驻</w:t>
      </w:r>
      <w:proofErr w:type="gramEnd"/>
      <w:r>
        <w:rPr>
          <w:rFonts w:hint="eastAsia"/>
        </w:rPr>
        <w:t>马店—南阳的公路，矿区东南至驻马店</w:t>
      </w:r>
      <w:r>
        <w:rPr>
          <w:rFonts w:hint="eastAsia"/>
        </w:rPr>
        <w:lastRenderedPageBreak/>
        <w:t>50km</w:t>
      </w:r>
      <w:r>
        <w:rPr>
          <w:rFonts w:hint="eastAsia"/>
        </w:rPr>
        <w:t>，西北至舞钢</w:t>
      </w:r>
      <w:r>
        <w:rPr>
          <w:rFonts w:hint="eastAsia"/>
        </w:rPr>
        <w:t>20km</w:t>
      </w:r>
      <w:r>
        <w:rPr>
          <w:rFonts w:hint="eastAsia"/>
        </w:rPr>
        <w:t>，其间均为沥青路面与国道和京广铁路各车站相通，交通较便利。</w:t>
      </w:r>
    </w:p>
    <w:p w14:paraId="42232CB3" w14:textId="77777777" w:rsidR="00E579B9" w:rsidRDefault="006A1398">
      <w:pPr>
        <w:pStyle w:val="2"/>
        <w:ind w:firstLine="560"/>
      </w:pPr>
      <w:bookmarkStart w:id="10" w:name="_Toc535847398"/>
      <w:bookmarkStart w:id="11" w:name="_Toc33021775"/>
      <w:r>
        <w:t>1.3</w:t>
      </w:r>
      <w:r>
        <w:t>评价工作过程</w:t>
      </w:r>
      <w:bookmarkEnd w:id="10"/>
      <w:bookmarkEnd w:id="11"/>
    </w:p>
    <w:p w14:paraId="5A76B3CE" w14:textId="77777777" w:rsidR="00E579B9" w:rsidRDefault="006A1398">
      <w:r>
        <w:t>本次评级工作程序见下图</w:t>
      </w:r>
      <w:r>
        <w:t>1.3-1</w:t>
      </w:r>
      <w:r>
        <w:t>。</w:t>
      </w:r>
    </w:p>
    <w:p w14:paraId="16DCCB71" w14:textId="77777777" w:rsidR="00E579B9" w:rsidRDefault="006A1398">
      <w:r>
        <w:object w:dxaOrig="6860" w:dyaOrig="8064" w14:anchorId="2FB92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45pt;height:403.65pt" o:ole="">
            <v:imagedata r:id="rId15" o:title=""/>
          </v:shape>
          <o:OLEObject Type="Embed" ProgID="Visio.Drawing.11" ShapeID="_x0000_i1025" DrawAspect="Content" ObjectID="_1644327279" r:id="rId16"/>
        </w:object>
      </w:r>
    </w:p>
    <w:p w14:paraId="17B7367D" w14:textId="77777777" w:rsidR="00E579B9" w:rsidRDefault="006A1398">
      <w:pPr>
        <w:pStyle w:val="21"/>
      </w:pPr>
      <w:r>
        <w:t>图</w:t>
      </w:r>
      <w:r>
        <w:t>1.3-1</w:t>
      </w:r>
      <w:r>
        <w:t>建设项目环境影响评价工作程序图</w:t>
      </w:r>
    </w:p>
    <w:p w14:paraId="6AB20AC9" w14:textId="77777777" w:rsidR="00E579B9" w:rsidRDefault="006A1398">
      <w:r>
        <w:rPr>
          <w:rFonts w:hint="eastAsia"/>
        </w:rPr>
        <w:t>本次</w:t>
      </w:r>
      <w:r>
        <w:t>环评工作共分三个阶段，包括前期准备、调研和</w:t>
      </w:r>
      <w:r>
        <w:rPr>
          <w:rFonts w:hint="eastAsia"/>
        </w:rPr>
        <w:t>制定</w:t>
      </w:r>
      <w:r>
        <w:t>工作方案</w:t>
      </w:r>
      <w:r>
        <w:rPr>
          <w:rFonts w:hint="eastAsia"/>
        </w:rPr>
        <w:t>阶段、</w:t>
      </w:r>
      <w:r>
        <w:t>分析论证和预测评价</w:t>
      </w:r>
      <w:r>
        <w:rPr>
          <w:rFonts w:hint="eastAsia"/>
        </w:rPr>
        <w:t>阶段、</w:t>
      </w:r>
      <w:r>
        <w:t>环</w:t>
      </w:r>
      <w:proofErr w:type="gramStart"/>
      <w:r>
        <w:t>评文件</w:t>
      </w:r>
      <w:proofErr w:type="gramEnd"/>
      <w:r>
        <w:t>编制</w:t>
      </w:r>
      <w:r>
        <w:rPr>
          <w:rFonts w:hint="eastAsia"/>
        </w:rPr>
        <w:t>阶段</w:t>
      </w:r>
      <w:r>
        <w:t>。具体</w:t>
      </w:r>
      <w:r>
        <w:rPr>
          <w:rFonts w:hint="eastAsia"/>
        </w:rPr>
        <w:t>阶段</w:t>
      </w:r>
      <w:r>
        <w:t>过程如下：</w:t>
      </w:r>
    </w:p>
    <w:p w14:paraId="4B54B5C2" w14:textId="77777777" w:rsidR="00E579B9" w:rsidRDefault="006A1398">
      <w:pPr>
        <w:pStyle w:val="3"/>
        <w:ind w:firstLine="560"/>
      </w:pPr>
      <w:bookmarkStart w:id="12" w:name="_Toc535847399"/>
      <w:r>
        <w:t>1.3.1</w:t>
      </w:r>
      <w:r>
        <w:t>第一阶段</w:t>
      </w:r>
      <w:bookmarkEnd w:id="12"/>
    </w:p>
    <w:p w14:paraId="0BCDAD2B" w14:textId="77777777" w:rsidR="00E579B9" w:rsidRDefault="006A1398">
      <w:pPr>
        <w:rPr>
          <w:sz w:val="21"/>
          <w:szCs w:val="21"/>
        </w:rPr>
      </w:pPr>
      <w:r>
        <w:t>根据</w:t>
      </w:r>
      <w:r>
        <w:rPr>
          <w:szCs w:val="24"/>
        </w:rPr>
        <w:t>《中华人民共和国环境保护法》</w:t>
      </w:r>
      <w:r>
        <w:rPr>
          <w:rFonts w:hint="eastAsia"/>
          <w:szCs w:val="24"/>
        </w:rPr>
        <w:t>（</w:t>
      </w:r>
      <w:r>
        <w:rPr>
          <w:rFonts w:hint="eastAsia"/>
          <w:szCs w:val="24"/>
        </w:rPr>
        <w:t>2015</w:t>
      </w:r>
      <w:r>
        <w:rPr>
          <w:rFonts w:hint="eastAsia"/>
          <w:szCs w:val="24"/>
        </w:rPr>
        <w:t>年</w:t>
      </w:r>
      <w:r>
        <w:rPr>
          <w:rFonts w:hint="eastAsia"/>
          <w:szCs w:val="24"/>
        </w:rPr>
        <w:t>1</w:t>
      </w:r>
      <w:r>
        <w:rPr>
          <w:rFonts w:hint="eastAsia"/>
          <w:szCs w:val="24"/>
        </w:rPr>
        <w:t>月</w:t>
      </w:r>
      <w:r>
        <w:rPr>
          <w:rFonts w:hint="eastAsia"/>
          <w:szCs w:val="24"/>
        </w:rPr>
        <w:t>1</w:t>
      </w:r>
      <w:r>
        <w:rPr>
          <w:rFonts w:hint="eastAsia"/>
          <w:szCs w:val="24"/>
        </w:rPr>
        <w:t>日）</w:t>
      </w:r>
      <w:r>
        <w:rPr>
          <w:sz w:val="21"/>
          <w:szCs w:val="21"/>
        </w:rPr>
        <w:t>、</w:t>
      </w:r>
      <w:r>
        <w:t>《中华人民共和国环境影响评价法》</w:t>
      </w:r>
      <w:r>
        <w:rPr>
          <w:rFonts w:hint="eastAsia"/>
        </w:rPr>
        <w:t>（</w:t>
      </w:r>
      <w:r>
        <w:rPr>
          <w:rFonts w:hint="eastAsia"/>
        </w:rPr>
        <w:t>2018</w:t>
      </w:r>
      <w:r>
        <w:rPr>
          <w:rFonts w:hint="eastAsia"/>
        </w:rPr>
        <w:t>年</w:t>
      </w:r>
      <w:r>
        <w:rPr>
          <w:rFonts w:hint="eastAsia"/>
        </w:rPr>
        <w:t>12</w:t>
      </w:r>
      <w:r>
        <w:rPr>
          <w:rFonts w:hint="eastAsia"/>
        </w:rPr>
        <w:t>月</w:t>
      </w:r>
      <w:r>
        <w:rPr>
          <w:rFonts w:hint="eastAsia"/>
        </w:rPr>
        <w:t>29</w:t>
      </w:r>
      <w:r>
        <w:rPr>
          <w:rFonts w:hint="eastAsia"/>
        </w:rPr>
        <w:t>日第二次修正）</w:t>
      </w:r>
      <w:r>
        <w:t>、《建设项目环境保护管理条</w:t>
      </w:r>
      <w:r>
        <w:lastRenderedPageBreak/>
        <w:t>例》</w:t>
      </w:r>
      <w:r>
        <w:rPr>
          <w:rFonts w:hint="eastAsia"/>
        </w:rPr>
        <w:t>（</w:t>
      </w:r>
      <w:r>
        <w:t>2017</w:t>
      </w:r>
      <w:r>
        <w:t>年</w:t>
      </w:r>
      <w:r>
        <w:t>10</w:t>
      </w:r>
      <w:r>
        <w:t>月</w:t>
      </w:r>
      <w:r>
        <w:t>1</w:t>
      </w:r>
      <w:r>
        <w:t>日</w:t>
      </w:r>
      <w:r>
        <w:rPr>
          <w:rFonts w:hint="eastAsia"/>
        </w:rPr>
        <w:t>）</w:t>
      </w:r>
      <w:r>
        <w:t>和《矿产资源开采登记管理办法》</w:t>
      </w:r>
      <w:r>
        <w:rPr>
          <w:rFonts w:hint="eastAsia"/>
        </w:rPr>
        <w:t>（</w:t>
      </w:r>
      <w:r>
        <w:rPr>
          <w:rFonts w:hint="eastAsia"/>
        </w:rPr>
        <w:t>2014</w:t>
      </w:r>
      <w:r>
        <w:rPr>
          <w:rFonts w:hint="eastAsia"/>
        </w:rPr>
        <w:t>年</w:t>
      </w:r>
      <w:r>
        <w:rPr>
          <w:rFonts w:hint="eastAsia"/>
        </w:rPr>
        <w:t>7</w:t>
      </w:r>
      <w:r>
        <w:rPr>
          <w:rFonts w:hint="eastAsia"/>
        </w:rPr>
        <w:t>月</w:t>
      </w:r>
      <w:r>
        <w:rPr>
          <w:rFonts w:hint="eastAsia"/>
        </w:rPr>
        <w:t>29</w:t>
      </w:r>
      <w:r>
        <w:rPr>
          <w:rFonts w:hint="eastAsia"/>
        </w:rPr>
        <w:t>日）</w:t>
      </w:r>
      <w:r>
        <w:t>中的相关规定，本项目需要开展环境影响评价。</w:t>
      </w:r>
    </w:p>
    <w:p w14:paraId="6C790E5B" w14:textId="77777777" w:rsidR="00E579B9" w:rsidRDefault="006A1398">
      <w:pPr>
        <w:rPr>
          <w:rFonts w:cs="Times New Roman"/>
        </w:rPr>
      </w:pPr>
      <w:r>
        <w:rPr>
          <w:rFonts w:cs="Times New Roman"/>
        </w:rPr>
        <w:t>根据《建设项目环境影响评价分类管理名录》（</w:t>
      </w:r>
      <w:r>
        <w:rPr>
          <w:rFonts w:cs="Times New Roman" w:hint="eastAsia"/>
        </w:rPr>
        <w:t>原环境保护部</w:t>
      </w:r>
      <w:r>
        <w:rPr>
          <w:rFonts w:cs="Times New Roman" w:hint="eastAsia"/>
        </w:rPr>
        <w:t>44</w:t>
      </w:r>
      <w:r>
        <w:rPr>
          <w:rFonts w:cs="Times New Roman" w:hint="eastAsia"/>
        </w:rPr>
        <w:t>号令</w:t>
      </w:r>
      <w:r>
        <w:rPr>
          <w:rFonts w:cs="Times New Roman"/>
        </w:rPr>
        <w:t>）</w:t>
      </w:r>
      <w:r>
        <w:rPr>
          <w:rFonts w:cs="Times New Roman" w:hint="eastAsia"/>
        </w:rPr>
        <w:t>和《关于修改〈建设项目环境影响评价分类管理名录〉部分内容的决定》（生态环境部部令第</w:t>
      </w:r>
      <w:r>
        <w:rPr>
          <w:rFonts w:cs="Times New Roman" w:hint="eastAsia"/>
        </w:rPr>
        <w:t>1</w:t>
      </w:r>
      <w:r>
        <w:rPr>
          <w:rFonts w:cs="Times New Roman" w:hint="eastAsia"/>
        </w:rPr>
        <w:t>号）</w:t>
      </w:r>
      <w:r>
        <w:rPr>
          <w:rFonts w:cs="Times New Roman"/>
        </w:rPr>
        <w:t>规定，</w:t>
      </w:r>
      <w:r>
        <w:rPr>
          <w:rFonts w:cs="Times New Roman" w:hint="eastAsia"/>
        </w:rPr>
        <w:t>“</w:t>
      </w:r>
      <w:r>
        <w:rPr>
          <w:rFonts w:cs="Times New Roman"/>
        </w:rPr>
        <w:t>四十五、非金属矿采选业</w:t>
      </w:r>
      <w:r>
        <w:rPr>
          <w:rFonts w:cs="Times New Roman" w:hint="eastAsia"/>
        </w:rPr>
        <w:t>”</w:t>
      </w:r>
      <w:r>
        <w:rPr>
          <w:rFonts w:cs="Times New Roman"/>
        </w:rPr>
        <w:t>中</w:t>
      </w:r>
      <w:r>
        <w:rPr>
          <w:rFonts w:cs="Times New Roman" w:hint="eastAsia"/>
        </w:rPr>
        <w:t>“</w:t>
      </w:r>
      <w:r>
        <w:rPr>
          <w:rFonts w:cs="Times New Roman"/>
        </w:rPr>
        <w:t>137</w:t>
      </w:r>
      <w:r>
        <w:rPr>
          <w:rFonts w:cs="Times New Roman"/>
        </w:rPr>
        <w:t>项土砂石、石材开采加工</w:t>
      </w:r>
      <w:r>
        <w:rPr>
          <w:rFonts w:cs="Times New Roman" w:hint="eastAsia"/>
        </w:rPr>
        <w:t>”</w:t>
      </w:r>
      <w:r>
        <w:rPr>
          <w:rFonts w:cs="Times New Roman"/>
        </w:rPr>
        <w:t>，涉及敏感区的应编制环境影响报告书，其他应编制环境影响报告表。本项目所在区域为</w:t>
      </w:r>
      <w:r>
        <w:rPr>
          <w:rFonts w:cs="Times New Roman" w:hint="eastAsia"/>
        </w:rPr>
        <w:t>河南省水土流失重点治理区</w:t>
      </w:r>
      <w:r>
        <w:rPr>
          <w:rFonts w:cs="Times New Roman"/>
        </w:rPr>
        <w:t>。属于</w:t>
      </w:r>
      <w:r>
        <w:rPr>
          <w:rFonts w:cs="Times New Roman"/>
        </w:rPr>
        <w:t>“</w:t>
      </w:r>
      <w:r>
        <w:rPr>
          <w:rFonts w:cs="Times New Roman"/>
        </w:rPr>
        <w:t>涉及环境敏感区的</w:t>
      </w:r>
      <w:r>
        <w:rPr>
          <w:rFonts w:cs="Times New Roman"/>
        </w:rPr>
        <w:t>”</w:t>
      </w:r>
      <w:r>
        <w:rPr>
          <w:rFonts w:cs="Times New Roman"/>
        </w:rPr>
        <w:t>，应编制环境影响报告书。</w:t>
      </w:r>
    </w:p>
    <w:p w14:paraId="7B289AB0" w14:textId="77777777" w:rsidR="00E579B9" w:rsidRDefault="006A1398">
      <w:pPr>
        <w:rPr>
          <w:sz w:val="21"/>
          <w:szCs w:val="21"/>
        </w:rPr>
      </w:pPr>
      <w:r>
        <w:rPr>
          <w:rFonts w:hint="eastAsia"/>
        </w:rPr>
        <w:t>该项目已在驻马店市</w:t>
      </w:r>
      <w:proofErr w:type="gramStart"/>
      <w:r>
        <w:rPr>
          <w:rFonts w:hint="eastAsia"/>
        </w:rPr>
        <w:t>驿</w:t>
      </w:r>
      <w:proofErr w:type="gramEnd"/>
      <w:r>
        <w:rPr>
          <w:rFonts w:hint="eastAsia"/>
        </w:rPr>
        <w:t>城区发展改革委员会备案，项目代码为：</w:t>
      </w:r>
      <w:r>
        <w:rPr>
          <w:spacing w:val="-3"/>
        </w:rPr>
        <w:t>2019-411702-10-03-004415</w:t>
      </w:r>
      <w:r>
        <w:rPr>
          <w:rFonts w:hint="eastAsia"/>
          <w:spacing w:val="-3"/>
        </w:rPr>
        <w:t>，受建设单位委托，</w:t>
      </w:r>
      <w:r>
        <w:t>我公司承担了该项目的环境影响评价工作</w:t>
      </w:r>
      <w:r>
        <w:rPr>
          <w:rFonts w:hint="eastAsia"/>
        </w:rPr>
        <w:t>，</w:t>
      </w:r>
      <w:r>
        <w:t>接受委托后，公司组织专业技术人员，认真研究项目的储量报告、开发利用方案、建设单位提供的其它相关资料及相关文件要求</w:t>
      </w:r>
      <w:r>
        <w:rPr>
          <w:rFonts w:hint="eastAsia"/>
        </w:rPr>
        <w:t>，</w:t>
      </w:r>
      <w:r>
        <w:t>然后对项目进行初步的工程分析，初步明确项目评价重点、项目周围敏感点及项目需关注的问题，并制定了现场踏勘</w:t>
      </w:r>
      <w:r>
        <w:rPr>
          <w:rFonts w:hint="eastAsia"/>
        </w:rPr>
        <w:t>工作</w:t>
      </w:r>
      <w:r>
        <w:t>方案</w:t>
      </w:r>
      <w:r>
        <w:rPr>
          <w:rFonts w:hint="eastAsia"/>
        </w:rPr>
        <w:t>，</w:t>
      </w:r>
      <w:r>
        <w:rPr>
          <w:spacing w:val="2"/>
          <w:szCs w:val="24"/>
        </w:rPr>
        <w:t>并按工作方案进行该项目的环境影响评价工作。</w:t>
      </w:r>
    </w:p>
    <w:p w14:paraId="5FC345DA" w14:textId="77777777" w:rsidR="00E579B9" w:rsidRDefault="006A1398">
      <w:pPr>
        <w:pStyle w:val="3"/>
        <w:ind w:firstLine="560"/>
      </w:pPr>
      <w:bookmarkStart w:id="13" w:name="_Toc535847400"/>
      <w:r>
        <w:t>1.3.2</w:t>
      </w:r>
      <w:r>
        <w:t>第二阶段</w:t>
      </w:r>
      <w:bookmarkEnd w:id="13"/>
    </w:p>
    <w:p w14:paraId="615B9608" w14:textId="77777777" w:rsidR="00E579B9" w:rsidRDefault="006A1398">
      <w:r>
        <w:t>在</w:t>
      </w:r>
      <w:proofErr w:type="gramStart"/>
      <w:r>
        <w:t>项目环</w:t>
      </w:r>
      <w:proofErr w:type="gramEnd"/>
      <w:r>
        <w:t>评编制过程中，我单位严格按照各环境要素导则的相关要求制定了环境现状监测方案，并由建设单位委托有资质的单位进行现状监测。</w:t>
      </w:r>
    </w:p>
    <w:p w14:paraId="1197A8F2" w14:textId="77777777" w:rsidR="00E579B9" w:rsidRDefault="006A1398">
      <w:r>
        <w:t>我单位</w:t>
      </w:r>
      <w:proofErr w:type="gramStart"/>
      <w:r>
        <w:t>认真按导则</w:t>
      </w:r>
      <w:proofErr w:type="gramEnd"/>
      <w:r>
        <w:t>要求编制该项目的工程分析内容，之后进行各环境要素环境影响预测与评价和各专题环境影响分析与评价。</w:t>
      </w:r>
    </w:p>
    <w:p w14:paraId="0238FEF2" w14:textId="77777777" w:rsidR="00E579B9" w:rsidRDefault="006A1398">
      <w:pPr>
        <w:pStyle w:val="3"/>
        <w:ind w:firstLine="560"/>
      </w:pPr>
      <w:bookmarkStart w:id="14" w:name="_Toc535847401"/>
      <w:r>
        <w:t>1.3.3</w:t>
      </w:r>
      <w:r>
        <w:t>第三阶段</w:t>
      </w:r>
      <w:bookmarkEnd w:id="14"/>
    </w:p>
    <w:p w14:paraId="5F9931C6" w14:textId="77777777" w:rsidR="00E579B9" w:rsidRDefault="006A1398">
      <w:r>
        <w:t>根据项目工程分析和影响预测情况提出有针对性的环境保护措施，并进行了经济技术论证；按相关要求明确给出了项目污染物排放清单，进而给出了项目环境影响评价是可行的结论。最终编制完成了《驻马店市驿城区李尧建筑用大理岩矿开采项目环境影响报告书》。</w:t>
      </w:r>
    </w:p>
    <w:p w14:paraId="13176B0D" w14:textId="77777777" w:rsidR="00E579B9" w:rsidRDefault="006A1398">
      <w:pPr>
        <w:pStyle w:val="2"/>
        <w:ind w:firstLine="560"/>
      </w:pPr>
      <w:bookmarkStart w:id="15" w:name="_Toc535847403"/>
      <w:bookmarkStart w:id="16" w:name="_Toc33021776"/>
      <w:r>
        <w:rPr>
          <w:rFonts w:hint="eastAsia"/>
        </w:rPr>
        <w:t>1.</w:t>
      </w:r>
      <w:r>
        <w:t>4</w:t>
      </w:r>
      <w:r>
        <w:rPr>
          <w:rFonts w:hint="eastAsia"/>
        </w:rPr>
        <w:t>分析判定相关情况</w:t>
      </w:r>
      <w:bookmarkEnd w:id="15"/>
      <w:bookmarkEnd w:id="16"/>
    </w:p>
    <w:p w14:paraId="04728E58" w14:textId="77777777" w:rsidR="00E579B9" w:rsidRDefault="006A1398">
      <w:r>
        <w:t>根据《产业结构调整指导目录（</w:t>
      </w:r>
      <w:r>
        <w:t>2019</w:t>
      </w:r>
      <w:r>
        <w:t>年本）》，本项目不属于鼓励类、限制类和淘汰类，</w:t>
      </w:r>
      <w:r>
        <w:rPr>
          <w:rFonts w:hint="eastAsia"/>
        </w:rPr>
        <w:t>即为允许类，符合国家产业政策。</w:t>
      </w:r>
    </w:p>
    <w:p w14:paraId="39CB776C" w14:textId="77777777" w:rsidR="00E579B9" w:rsidRDefault="006A1398">
      <w:r>
        <w:rPr>
          <w:rFonts w:hint="eastAsia"/>
        </w:rPr>
        <w:lastRenderedPageBreak/>
        <w:t>对照</w:t>
      </w:r>
      <w:r>
        <w:t>《部分工业行业淘汰落后生产工艺装备和产品指导目录》、《高耗能落后机电设备（产品）淘汰目录》（第一批）（第二批）（第三批）（第四批）、《金属非金属矿山禁止使用的设备及工艺目录》（第一批）（第二批），本项目不涉及</w:t>
      </w:r>
      <w:r>
        <w:rPr>
          <w:rFonts w:hint="eastAsia"/>
        </w:rPr>
        <w:t>以上</w:t>
      </w:r>
      <w:r>
        <w:t>淘汰落后工艺、设备</w:t>
      </w:r>
      <w:r>
        <w:rPr>
          <w:rFonts w:hint="eastAsia"/>
        </w:rPr>
        <w:t>，符合国家淘汰落后工艺及设备的相关要求。</w:t>
      </w:r>
    </w:p>
    <w:p w14:paraId="4DB13F94" w14:textId="7E67980A" w:rsidR="00E579B9" w:rsidRDefault="006A1398">
      <w:r>
        <w:rPr>
          <w:rFonts w:hint="eastAsia"/>
        </w:rPr>
        <w:t>经分析，本项目建设符合《河南省矿产资源勘查开发整合总体方案》（豫政﹝</w:t>
      </w:r>
      <w:r>
        <w:rPr>
          <w:rFonts w:hint="eastAsia"/>
        </w:rPr>
        <w:t>2010</w:t>
      </w:r>
      <w:r>
        <w:rPr>
          <w:rFonts w:hint="eastAsia"/>
        </w:rPr>
        <w:t>﹞</w:t>
      </w:r>
      <w:r>
        <w:rPr>
          <w:rFonts w:hint="eastAsia"/>
        </w:rPr>
        <w:t>34</w:t>
      </w:r>
      <w:r>
        <w:rPr>
          <w:rFonts w:hint="eastAsia"/>
        </w:rPr>
        <w:t>号）、《河南省矿产资源总体规划》（</w:t>
      </w:r>
      <w:r>
        <w:rPr>
          <w:rFonts w:hint="eastAsia"/>
        </w:rPr>
        <w:t>2016-2020</w:t>
      </w:r>
      <w:r>
        <w:rPr>
          <w:rFonts w:hint="eastAsia"/>
        </w:rPr>
        <w:t>年）、《河南省矿产资源总体规划（</w:t>
      </w:r>
      <w:r>
        <w:rPr>
          <w:rFonts w:hint="eastAsia"/>
        </w:rPr>
        <w:t>2016-2020</w:t>
      </w:r>
      <w:r>
        <w:rPr>
          <w:rFonts w:hint="eastAsia"/>
        </w:rPr>
        <w:t>年）环境影响报告书（报批版）》、《河南省矿山采选建设项目环境影响评价文件审批原则（修订）》（</w:t>
      </w:r>
      <w:proofErr w:type="gramStart"/>
      <w:r>
        <w:rPr>
          <w:rFonts w:hint="eastAsia"/>
        </w:rPr>
        <w:t>豫环办</w:t>
      </w:r>
      <w:proofErr w:type="gramEnd"/>
      <w:r>
        <w:rPr>
          <w:rFonts w:hint="eastAsia"/>
        </w:rPr>
        <w:t>〔</w:t>
      </w:r>
      <w:r>
        <w:rPr>
          <w:rFonts w:hint="eastAsia"/>
        </w:rPr>
        <w:t>2018</w:t>
      </w:r>
      <w:r>
        <w:rPr>
          <w:rFonts w:hint="eastAsia"/>
        </w:rPr>
        <w:t>〕</w:t>
      </w:r>
      <w:r>
        <w:rPr>
          <w:rFonts w:hint="eastAsia"/>
        </w:rPr>
        <w:t>209</w:t>
      </w:r>
      <w:r>
        <w:rPr>
          <w:rFonts w:hint="eastAsia"/>
        </w:rPr>
        <w:t>号）、《河南省人民政府办公厅关于开展三区两线及特定生态保护区范围内露天矿山开发及生态环境综合整治工作的意见》（豫政办﹝</w:t>
      </w:r>
      <w:r>
        <w:rPr>
          <w:rFonts w:hint="eastAsia"/>
        </w:rPr>
        <w:t>2016</w:t>
      </w:r>
      <w:r>
        <w:rPr>
          <w:rFonts w:hint="eastAsia"/>
        </w:rPr>
        <w:t>﹞</w:t>
      </w:r>
      <w:r>
        <w:rPr>
          <w:rFonts w:hint="eastAsia"/>
        </w:rPr>
        <w:t>199</w:t>
      </w:r>
      <w:r>
        <w:rPr>
          <w:rFonts w:hint="eastAsia"/>
        </w:rPr>
        <w:t>号）、《河南省人民政府关于全面深化矿产资源管理改革的若干意见》（豫政﹝</w:t>
      </w:r>
      <w:r>
        <w:rPr>
          <w:rFonts w:hint="eastAsia"/>
        </w:rPr>
        <w:t>2016</w:t>
      </w:r>
      <w:r>
        <w:rPr>
          <w:rFonts w:hint="eastAsia"/>
        </w:rPr>
        <w:t>﹞</w:t>
      </w:r>
      <w:r>
        <w:rPr>
          <w:rFonts w:hint="eastAsia"/>
        </w:rPr>
        <w:t>27</w:t>
      </w:r>
      <w:r>
        <w:rPr>
          <w:rFonts w:hint="eastAsia"/>
        </w:rPr>
        <w:t>号）、《河南省环境保护厅、河南省国土资源厅关于加强矿山采（选）矿扬尘综合治理的通知》（</w:t>
      </w:r>
      <w:proofErr w:type="gramStart"/>
      <w:r>
        <w:rPr>
          <w:rFonts w:hint="eastAsia"/>
        </w:rPr>
        <w:t>豫环文</w:t>
      </w:r>
      <w:proofErr w:type="gramEnd"/>
      <w:r>
        <w:rPr>
          <w:rFonts w:hint="eastAsia"/>
        </w:rPr>
        <w:t>〔</w:t>
      </w:r>
      <w:r>
        <w:rPr>
          <w:rFonts w:hint="eastAsia"/>
        </w:rPr>
        <w:t>2015</w:t>
      </w:r>
      <w:r>
        <w:rPr>
          <w:rFonts w:hint="eastAsia"/>
        </w:rPr>
        <w:t>〕</w:t>
      </w:r>
      <w:r>
        <w:rPr>
          <w:rFonts w:hint="eastAsia"/>
        </w:rPr>
        <w:t>107</w:t>
      </w:r>
      <w:r>
        <w:rPr>
          <w:rFonts w:hint="eastAsia"/>
        </w:rPr>
        <w:t>号）、《矿山生态环境保护与恢复治理技术规范（试行）》（</w:t>
      </w:r>
      <w:r>
        <w:rPr>
          <w:rFonts w:hint="eastAsia"/>
        </w:rPr>
        <w:t>HJ651-2013</w:t>
      </w:r>
      <w:r>
        <w:rPr>
          <w:rFonts w:hint="eastAsia"/>
        </w:rPr>
        <w:t>）、《河南省污染防治攻坚战三年行动计划（</w:t>
      </w:r>
      <w:r>
        <w:rPr>
          <w:rFonts w:hint="eastAsia"/>
        </w:rPr>
        <w:t>2018-2020</w:t>
      </w:r>
      <w:r>
        <w:rPr>
          <w:rFonts w:hint="eastAsia"/>
        </w:rPr>
        <w:t>年）》等相关环保要</w:t>
      </w:r>
      <w:r w:rsidRPr="00D503C6">
        <w:rPr>
          <w:rFonts w:hint="eastAsia"/>
        </w:rPr>
        <w:t>求</w:t>
      </w:r>
      <w:r w:rsidR="00EA71D4" w:rsidRPr="00D503C6">
        <w:rPr>
          <w:rFonts w:hint="eastAsia"/>
        </w:rPr>
        <w:t>。</w:t>
      </w:r>
    </w:p>
    <w:p w14:paraId="05F1355B" w14:textId="77777777" w:rsidR="00E579B9" w:rsidRDefault="006A1398">
      <w:r>
        <w:rPr>
          <w:rFonts w:hint="eastAsia"/>
        </w:rPr>
        <w:t>综上所述，本项目与国家和地方有关环境保护法律法规、标准、政策、规范、相关规划等相关要求相符合。</w:t>
      </w:r>
    </w:p>
    <w:p w14:paraId="11989BCF" w14:textId="77777777" w:rsidR="00E579B9" w:rsidRDefault="006A1398">
      <w:pPr>
        <w:pStyle w:val="2"/>
        <w:ind w:firstLine="560"/>
      </w:pPr>
      <w:bookmarkStart w:id="17" w:name="_Toc535847405"/>
      <w:bookmarkStart w:id="18" w:name="_Toc33021777"/>
      <w:r>
        <w:rPr>
          <w:rFonts w:hint="eastAsia"/>
        </w:rPr>
        <w:t>1.</w:t>
      </w:r>
      <w:r>
        <w:t>5</w:t>
      </w:r>
      <w:r>
        <w:rPr>
          <w:rFonts w:hint="eastAsia"/>
        </w:rPr>
        <w:t>项目关注的主要环境问题及环境影响</w:t>
      </w:r>
      <w:bookmarkEnd w:id="17"/>
      <w:bookmarkEnd w:id="18"/>
    </w:p>
    <w:bookmarkStart w:id="19" w:name="_Toc535847408"/>
    <w:p w14:paraId="269E0D12" w14:textId="77777777" w:rsidR="00E579B9" w:rsidRDefault="006A1398">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生态影响：重点关注项目在运营期间对土壤、植被、水土流失、生态系统类型、主要动植物种类等调查因子的影响，并提出可行的保护措施和生态恢复措施，减小对区域生态系统的影响；</w:t>
      </w:r>
    </w:p>
    <w:p w14:paraId="18684036" w14:textId="77777777" w:rsidR="00E579B9" w:rsidRDefault="006A1398">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环境空气：重点关注项目建设及运营期对区域环境空气质量及敏感点的影响；控制粉尘的排放浓度及排放量，减少对区域大气环境的影响；</w:t>
      </w:r>
    </w:p>
    <w:p w14:paraId="727414D5" w14:textId="77777777" w:rsidR="00E579B9" w:rsidRDefault="006A1398">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hint="eastAsia"/>
        </w:rPr>
        <w:t>水环境：重点关注项目废水零排放的可行性；</w:t>
      </w:r>
    </w:p>
    <w:p w14:paraId="6A501893" w14:textId="77777777" w:rsidR="00E579B9" w:rsidRDefault="006A1398">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声环境：重点关注项目实施后生产活动对</w:t>
      </w:r>
      <w:proofErr w:type="gramStart"/>
      <w:r>
        <w:rPr>
          <w:rFonts w:hint="eastAsia"/>
        </w:rPr>
        <w:t>区域声</w:t>
      </w:r>
      <w:proofErr w:type="gramEnd"/>
      <w:r>
        <w:rPr>
          <w:rFonts w:hint="eastAsia"/>
        </w:rPr>
        <w:t>环境的影响；</w:t>
      </w:r>
    </w:p>
    <w:p w14:paraId="1DCBC082" w14:textId="77777777" w:rsidR="00E579B9" w:rsidRDefault="006A1398">
      <w:r>
        <w:fldChar w:fldCharType="begin"/>
      </w:r>
      <w:r>
        <w:instrText xml:space="preserve"> </w:instrText>
      </w:r>
      <w:r>
        <w:rPr>
          <w:rFonts w:hint="eastAsia"/>
        </w:rPr>
        <w:instrText>= 5 \* GB3</w:instrText>
      </w:r>
      <w:r>
        <w:instrText xml:space="preserve"> </w:instrText>
      </w:r>
      <w:r>
        <w:fldChar w:fldCharType="separate"/>
      </w:r>
      <w:r>
        <w:rPr>
          <w:rFonts w:hint="eastAsia"/>
        </w:rPr>
        <w:t>⑤</w:t>
      </w:r>
      <w:r>
        <w:fldChar w:fldCharType="end"/>
      </w:r>
      <w:r>
        <w:rPr>
          <w:rFonts w:hint="eastAsia"/>
        </w:rPr>
        <w:t>固体废物：重点关注矿山施工期和运营期废石及生活垃圾的暂存措施和去向，防止对生态环境产生破坏。</w:t>
      </w:r>
    </w:p>
    <w:p w14:paraId="2CA4ED6E" w14:textId="77777777" w:rsidR="00E579B9" w:rsidRDefault="006A1398">
      <w:pPr>
        <w:pStyle w:val="2"/>
        <w:ind w:firstLine="560"/>
      </w:pPr>
      <w:bookmarkStart w:id="20" w:name="_Toc33021778"/>
      <w:r>
        <w:rPr>
          <w:rFonts w:hint="eastAsia"/>
        </w:rPr>
        <w:lastRenderedPageBreak/>
        <w:t>1.</w:t>
      </w:r>
      <w:r>
        <w:t>6</w:t>
      </w:r>
      <w:r>
        <w:rPr>
          <w:rFonts w:hint="eastAsia"/>
        </w:rPr>
        <w:t>主要结论</w:t>
      </w:r>
      <w:bookmarkEnd w:id="19"/>
      <w:bookmarkEnd w:id="20"/>
    </w:p>
    <w:p w14:paraId="4E356343" w14:textId="77777777" w:rsidR="00E579B9" w:rsidRDefault="006A1398">
      <w:r>
        <w:rPr>
          <w:rFonts w:hint="eastAsia"/>
        </w:rPr>
        <w:t>驻马店市</w:t>
      </w:r>
      <w:proofErr w:type="gramStart"/>
      <w:r>
        <w:rPr>
          <w:rFonts w:hint="eastAsia"/>
        </w:rPr>
        <w:t>驿</w:t>
      </w:r>
      <w:proofErr w:type="gramEnd"/>
      <w:r>
        <w:rPr>
          <w:rFonts w:hint="eastAsia"/>
        </w:rPr>
        <w:t>城区李</w:t>
      </w:r>
      <w:proofErr w:type="gramStart"/>
      <w:r>
        <w:rPr>
          <w:rFonts w:hint="eastAsia"/>
        </w:rPr>
        <w:t>尧建筑</w:t>
      </w:r>
      <w:proofErr w:type="gramEnd"/>
      <w:r>
        <w:rPr>
          <w:rFonts w:hint="eastAsia"/>
        </w:rPr>
        <w:t>用大理岩矿开采项目符合国家和河南省产业政策，工艺技术先进合理，充分利用了资源，符合清洁生产要求。符合国家和地方有关环境保护法律法规、标准、政策、规范和相关规划要求，厂址位置符合当地发展规划和环保要求，项目所在地环境质量达到功能区划要求。工程建成后，具有良好的社会、经济和环境效益。</w:t>
      </w:r>
    </w:p>
    <w:p w14:paraId="712DD40F" w14:textId="77777777" w:rsidR="00E579B9" w:rsidRDefault="006A1398">
      <w:r>
        <w:rPr>
          <w:rFonts w:hint="eastAsia"/>
        </w:rPr>
        <w:t>在严格落实本报告书中提出的各项环保措施、风险防范措施，项目所造成的大气、水体、噪声污染物均可实现达标排放，固体废物可得到妥善处理处置，环境风险和生态影响可得到有效控制，对周边环境影响较小，从环保的角度分析，认为驻马店市</w:t>
      </w:r>
      <w:proofErr w:type="gramStart"/>
      <w:r>
        <w:rPr>
          <w:rFonts w:hint="eastAsia"/>
        </w:rPr>
        <w:t>驿</w:t>
      </w:r>
      <w:proofErr w:type="gramEnd"/>
      <w:r>
        <w:rPr>
          <w:rFonts w:hint="eastAsia"/>
        </w:rPr>
        <w:t>城区李</w:t>
      </w:r>
      <w:proofErr w:type="gramStart"/>
      <w:r>
        <w:rPr>
          <w:rFonts w:hint="eastAsia"/>
        </w:rPr>
        <w:t>尧建筑</w:t>
      </w:r>
      <w:proofErr w:type="gramEnd"/>
      <w:r>
        <w:rPr>
          <w:rFonts w:hint="eastAsia"/>
        </w:rPr>
        <w:t>用大理岩矿开采项目符合矿山建设及环境保护的要求。通过在周边村庄张贴告示、当地网站及报刊发布</w:t>
      </w:r>
      <w:proofErr w:type="gramStart"/>
      <w:r>
        <w:rPr>
          <w:rFonts w:hint="eastAsia"/>
        </w:rPr>
        <w:t>项目环</w:t>
      </w:r>
      <w:proofErr w:type="gramEnd"/>
      <w:r>
        <w:rPr>
          <w:rFonts w:hint="eastAsia"/>
        </w:rPr>
        <w:t>评信息，未收到周围群众对该项目的反馈意见。另外，在矿山建设和生产运行过程中，建设单位应确保各项环保资金的投入量和合理使用，并得到相关环境保护行政管理部门的监督，严格执行并落实“三同时”制度。同时对服务期满后的工业场地和</w:t>
      </w:r>
      <w:proofErr w:type="gramStart"/>
      <w:r>
        <w:rPr>
          <w:rFonts w:hint="eastAsia"/>
        </w:rPr>
        <w:t>表土场及时</w:t>
      </w:r>
      <w:proofErr w:type="gramEnd"/>
      <w:r>
        <w:rPr>
          <w:rFonts w:hint="eastAsia"/>
        </w:rPr>
        <w:t>进行植被恢复，改善区域生态环境。</w:t>
      </w:r>
    </w:p>
    <w:p w14:paraId="062D31AC" w14:textId="77777777" w:rsidR="00E579B9" w:rsidRDefault="006A1398">
      <w:r>
        <w:rPr>
          <w:rFonts w:hint="eastAsia"/>
        </w:rPr>
        <w:t>综上所述，在严格执行“三同时”制度，落实本报告书中提出的各项环境保护措施的前提下，从合理利用资源和环境保护角度来看，驻马店市</w:t>
      </w:r>
      <w:proofErr w:type="gramStart"/>
      <w:r>
        <w:rPr>
          <w:rFonts w:hint="eastAsia"/>
        </w:rPr>
        <w:t>驿</w:t>
      </w:r>
      <w:proofErr w:type="gramEnd"/>
      <w:r>
        <w:rPr>
          <w:rFonts w:hint="eastAsia"/>
        </w:rPr>
        <w:t>城区李</w:t>
      </w:r>
      <w:proofErr w:type="gramStart"/>
      <w:r>
        <w:rPr>
          <w:rFonts w:hint="eastAsia"/>
        </w:rPr>
        <w:t>尧建筑</w:t>
      </w:r>
      <w:proofErr w:type="gramEnd"/>
      <w:r>
        <w:rPr>
          <w:rFonts w:hint="eastAsia"/>
        </w:rPr>
        <w:t>用大理岩矿开采项目的建设是可行的。</w:t>
      </w:r>
    </w:p>
    <w:p w14:paraId="0ED74E75" w14:textId="77777777" w:rsidR="00E579B9" w:rsidRDefault="00E579B9"/>
    <w:p w14:paraId="74E9901B" w14:textId="77777777" w:rsidR="00E579B9" w:rsidRDefault="00E579B9">
      <w:pPr>
        <w:sectPr w:rsidR="00E579B9">
          <w:pgSz w:w="11906" w:h="16838"/>
          <w:pgMar w:top="1701" w:right="1588" w:bottom="1985" w:left="1588" w:header="992" w:footer="992" w:gutter="0"/>
          <w:pgNumType w:start="1"/>
          <w:cols w:space="720"/>
          <w:docGrid w:linePitch="326"/>
        </w:sectPr>
      </w:pPr>
    </w:p>
    <w:p w14:paraId="3F4A3F17" w14:textId="77777777" w:rsidR="00E579B9" w:rsidRDefault="006A1398">
      <w:pPr>
        <w:pStyle w:val="1"/>
      </w:pPr>
      <w:bookmarkStart w:id="21" w:name="_Toc535847409"/>
      <w:bookmarkStart w:id="22" w:name="_Toc33021779"/>
      <w:r>
        <w:lastRenderedPageBreak/>
        <w:t>第二章总则</w:t>
      </w:r>
      <w:bookmarkEnd w:id="21"/>
      <w:bookmarkEnd w:id="22"/>
    </w:p>
    <w:p w14:paraId="1E6322C2" w14:textId="77777777" w:rsidR="00E579B9" w:rsidRDefault="006A1398">
      <w:pPr>
        <w:pStyle w:val="2"/>
        <w:ind w:firstLine="560"/>
      </w:pPr>
      <w:bookmarkStart w:id="23" w:name="_Toc535847410"/>
      <w:bookmarkStart w:id="24" w:name="_Toc33021780"/>
      <w:r>
        <w:rPr>
          <w:rFonts w:hint="eastAsia"/>
        </w:rPr>
        <w:t>2.1</w:t>
      </w:r>
      <w:r>
        <w:rPr>
          <w:rFonts w:hint="eastAsia"/>
        </w:rPr>
        <w:t>编制依据</w:t>
      </w:r>
      <w:bookmarkEnd w:id="23"/>
      <w:bookmarkEnd w:id="24"/>
    </w:p>
    <w:p w14:paraId="5C39384D" w14:textId="77777777" w:rsidR="00E579B9" w:rsidRDefault="006A1398">
      <w:pPr>
        <w:pStyle w:val="3"/>
        <w:ind w:firstLine="560"/>
      </w:pPr>
      <w:bookmarkStart w:id="25" w:name="_Toc535847411"/>
      <w:r>
        <w:t>2.1.1</w:t>
      </w:r>
      <w:r>
        <w:t>国家环保法律法规、政策</w:t>
      </w:r>
      <w:bookmarkEnd w:id="25"/>
    </w:p>
    <w:p w14:paraId="1A31DB49" w14:textId="77777777" w:rsidR="00E579B9" w:rsidRDefault="006A1398">
      <w:r>
        <w:t>（</w:t>
      </w:r>
      <w:r>
        <w:t>1</w:t>
      </w:r>
      <w:r>
        <w:t>）《中华人民共和国环境保护法》（</w:t>
      </w:r>
      <w:r>
        <w:t>2015</w:t>
      </w:r>
      <w:r>
        <w:t>年</w:t>
      </w:r>
      <w:r>
        <w:t>1</w:t>
      </w:r>
      <w:r>
        <w:t>月</w:t>
      </w:r>
      <w:r>
        <w:t>1</w:t>
      </w:r>
      <w:r>
        <w:t>日</w:t>
      </w:r>
      <w:r>
        <w:rPr>
          <w:rFonts w:hint="eastAsia"/>
        </w:rPr>
        <w:t>起施行</w:t>
      </w:r>
      <w:r>
        <w:t>）；</w:t>
      </w:r>
    </w:p>
    <w:p w14:paraId="05B635EC" w14:textId="77777777" w:rsidR="00E579B9" w:rsidRDefault="006A1398">
      <w:r>
        <w:t>（</w:t>
      </w:r>
      <w:r>
        <w:t>2</w:t>
      </w:r>
      <w:r>
        <w:t>）《中华人民共和国大气污染防治法》</w:t>
      </w:r>
      <w:r>
        <w:rPr>
          <w:rFonts w:hint="eastAsia"/>
        </w:rPr>
        <w:t>(2018</w:t>
      </w:r>
      <w:r>
        <w:rPr>
          <w:rFonts w:hint="eastAsia"/>
        </w:rPr>
        <w:t>年</w:t>
      </w:r>
      <w:r>
        <w:rPr>
          <w:rFonts w:hint="eastAsia"/>
        </w:rPr>
        <w:t>10</w:t>
      </w:r>
      <w:r>
        <w:rPr>
          <w:rFonts w:hint="eastAsia"/>
        </w:rPr>
        <w:t>月</w:t>
      </w:r>
      <w:r>
        <w:rPr>
          <w:rFonts w:hint="eastAsia"/>
        </w:rPr>
        <w:t>26</w:t>
      </w:r>
      <w:r>
        <w:rPr>
          <w:rFonts w:hint="eastAsia"/>
        </w:rPr>
        <w:t>日修正</w:t>
      </w:r>
      <w:r>
        <w:rPr>
          <w:rFonts w:hint="eastAsia"/>
        </w:rPr>
        <w:t>)</w:t>
      </w:r>
      <w:r>
        <w:t>；</w:t>
      </w:r>
    </w:p>
    <w:p w14:paraId="3A3F4D44" w14:textId="77777777" w:rsidR="00E579B9" w:rsidRDefault="006A1398">
      <w:r>
        <w:t>（</w:t>
      </w:r>
      <w:r>
        <w:t>3</w:t>
      </w:r>
      <w:r>
        <w:t>）《中华人民共和国水污染防治法》（</w:t>
      </w:r>
      <w:r>
        <w:t>2018</w:t>
      </w:r>
      <w:r>
        <w:t>年</w:t>
      </w:r>
      <w:r>
        <w:t>1</w:t>
      </w:r>
      <w:r>
        <w:t>月</w:t>
      </w:r>
      <w:r>
        <w:t>1</w:t>
      </w:r>
      <w:r>
        <w:t>日</w:t>
      </w:r>
      <w:r>
        <w:rPr>
          <w:rFonts w:hint="eastAsia"/>
        </w:rPr>
        <w:t>起施行</w:t>
      </w:r>
      <w:r>
        <w:t>）；</w:t>
      </w:r>
    </w:p>
    <w:p w14:paraId="2983FBD4" w14:textId="77777777" w:rsidR="00E579B9" w:rsidRDefault="006A1398">
      <w:r>
        <w:t>（</w:t>
      </w:r>
      <w:r>
        <w:t>4</w:t>
      </w:r>
      <w:r>
        <w:t>）《中华人民共和国环境噪声污染防治法》（</w:t>
      </w:r>
      <w:r>
        <w:t>2018</w:t>
      </w:r>
      <w:r>
        <w:t>年</w:t>
      </w:r>
      <w:r>
        <w:t>12</w:t>
      </w:r>
      <w:r>
        <w:t>月</w:t>
      </w:r>
      <w:r>
        <w:t>29</w:t>
      </w:r>
      <w:r>
        <w:t>日</w:t>
      </w:r>
      <w:r>
        <w:rPr>
          <w:rFonts w:hint="eastAsia"/>
        </w:rPr>
        <w:t>起施行</w:t>
      </w:r>
      <w:r>
        <w:t>）；</w:t>
      </w:r>
    </w:p>
    <w:p w14:paraId="4760AA7D" w14:textId="77777777" w:rsidR="00E579B9" w:rsidRDefault="006A1398">
      <w:r>
        <w:t>（</w:t>
      </w:r>
      <w:r>
        <w:t>5</w:t>
      </w:r>
      <w:r>
        <w:t>）《中华人民共和国固体废物污染环境防治法》（</w:t>
      </w:r>
      <w:r>
        <w:t>2016</w:t>
      </w:r>
      <w:r>
        <w:t>年</w:t>
      </w:r>
      <w:r>
        <w:t>11</w:t>
      </w:r>
      <w:r>
        <w:t>月</w:t>
      </w:r>
      <w:r>
        <w:t>7</w:t>
      </w:r>
      <w:r>
        <w:t>日</w:t>
      </w:r>
      <w:r>
        <w:rPr>
          <w:rFonts w:hint="eastAsia"/>
        </w:rPr>
        <w:t>第三次修正</w:t>
      </w:r>
      <w:r>
        <w:t>）；</w:t>
      </w:r>
    </w:p>
    <w:p w14:paraId="62795945" w14:textId="77777777" w:rsidR="00E579B9" w:rsidRDefault="006A1398">
      <w:r>
        <w:t>（</w:t>
      </w:r>
      <w:r>
        <w:t>6</w:t>
      </w:r>
      <w:r>
        <w:t>）《中华人民共和国水土保持法》（</w:t>
      </w:r>
      <w:r>
        <w:t>2011</w:t>
      </w:r>
      <w:r>
        <w:t>年</w:t>
      </w:r>
      <w:r>
        <w:t>3</w:t>
      </w:r>
      <w:r>
        <w:t>月</w:t>
      </w:r>
      <w:r>
        <w:t>1</w:t>
      </w:r>
      <w:r>
        <w:t>日</w:t>
      </w:r>
      <w:r>
        <w:rPr>
          <w:rFonts w:hint="eastAsia"/>
        </w:rPr>
        <w:t>起施行</w:t>
      </w:r>
      <w:r>
        <w:t>）；</w:t>
      </w:r>
    </w:p>
    <w:p w14:paraId="6462A06E" w14:textId="77777777" w:rsidR="00E579B9" w:rsidRDefault="006A1398">
      <w:r>
        <w:t>（</w:t>
      </w:r>
      <w:r>
        <w:t>7</w:t>
      </w:r>
      <w:r>
        <w:t>）《中华人民共和国清洁生产促进法》（</w:t>
      </w:r>
      <w:r>
        <w:t>2012</w:t>
      </w:r>
      <w:r>
        <w:t>年</w:t>
      </w:r>
      <w:r>
        <w:t>7</w:t>
      </w:r>
      <w:r>
        <w:t>月</w:t>
      </w:r>
      <w:r>
        <w:t>1</w:t>
      </w:r>
      <w:r>
        <w:t>日</w:t>
      </w:r>
      <w:r>
        <w:rPr>
          <w:rFonts w:hint="eastAsia"/>
        </w:rPr>
        <w:t>起施行</w:t>
      </w:r>
      <w:r>
        <w:t>）；</w:t>
      </w:r>
    </w:p>
    <w:p w14:paraId="36B1792C" w14:textId="77777777" w:rsidR="00E579B9" w:rsidRDefault="006A1398">
      <w:r>
        <w:t>（</w:t>
      </w:r>
      <w:r>
        <w:t>8</w:t>
      </w:r>
      <w:r>
        <w:t>）《中华人民共和国环境影响评价法》（</w:t>
      </w:r>
      <w:r>
        <w:t>2019</w:t>
      </w:r>
      <w:r>
        <w:t>年</w:t>
      </w:r>
      <w:r>
        <w:t>1</w:t>
      </w:r>
      <w:r>
        <w:t>月</w:t>
      </w:r>
      <w:r>
        <w:t>1</w:t>
      </w:r>
      <w:r>
        <w:t>日</w:t>
      </w:r>
      <w:r>
        <w:rPr>
          <w:rFonts w:hint="eastAsia"/>
        </w:rPr>
        <w:t>起发布</w:t>
      </w:r>
      <w:r>
        <w:t>）；</w:t>
      </w:r>
    </w:p>
    <w:p w14:paraId="51826553" w14:textId="77777777" w:rsidR="00E579B9" w:rsidRDefault="006A1398">
      <w:r>
        <w:t>（</w:t>
      </w:r>
      <w:r>
        <w:t>9</w:t>
      </w:r>
      <w:r>
        <w:t>）《中华人民共和国矿山安全法》（</w:t>
      </w:r>
      <w:r>
        <w:t>2009</w:t>
      </w:r>
      <w:r>
        <w:t>年</w:t>
      </w:r>
      <w:r>
        <w:t>8</w:t>
      </w:r>
      <w:r>
        <w:t>月</w:t>
      </w:r>
      <w:r>
        <w:t>27</w:t>
      </w:r>
      <w:r>
        <w:t>日</w:t>
      </w:r>
      <w:r>
        <w:rPr>
          <w:rFonts w:hint="eastAsia"/>
        </w:rPr>
        <w:t>起施行</w:t>
      </w:r>
      <w:r>
        <w:t>）；</w:t>
      </w:r>
    </w:p>
    <w:p w14:paraId="127600EA" w14:textId="77777777" w:rsidR="00E579B9" w:rsidRDefault="006A1398">
      <w:r>
        <w:t>（</w:t>
      </w:r>
      <w:r>
        <w:t>10</w:t>
      </w:r>
      <w:r>
        <w:t>）《中华人民共和国矿产资源法》（</w:t>
      </w:r>
      <w:r>
        <w:t>2009</w:t>
      </w:r>
      <w:r>
        <w:t>年</w:t>
      </w:r>
      <w:r>
        <w:t>8</w:t>
      </w:r>
      <w:r>
        <w:t>月</w:t>
      </w:r>
      <w:r>
        <w:t>27</w:t>
      </w:r>
      <w:r>
        <w:t>日</w:t>
      </w:r>
      <w:r>
        <w:rPr>
          <w:rFonts w:hint="eastAsia"/>
        </w:rPr>
        <w:t>第二次修正</w:t>
      </w:r>
      <w:r>
        <w:t>）；</w:t>
      </w:r>
    </w:p>
    <w:p w14:paraId="540DC9BA" w14:textId="77777777" w:rsidR="00E579B9" w:rsidRDefault="006A1398">
      <w:r>
        <w:t>（</w:t>
      </w:r>
      <w:r>
        <w:t>11</w:t>
      </w:r>
      <w:r>
        <w:t>）《建设项目环境保护管理条例》（</w:t>
      </w:r>
      <w:r>
        <w:t>2017</w:t>
      </w:r>
      <w:r>
        <w:t>年</w:t>
      </w:r>
      <w:r>
        <w:t>10</w:t>
      </w:r>
      <w:r>
        <w:t>月</w:t>
      </w:r>
      <w:r>
        <w:t>1</w:t>
      </w:r>
      <w:r>
        <w:t>日</w:t>
      </w:r>
      <w:r>
        <w:rPr>
          <w:rFonts w:hint="eastAsia"/>
        </w:rPr>
        <w:t>起施行</w:t>
      </w:r>
      <w:r>
        <w:t>）；</w:t>
      </w:r>
    </w:p>
    <w:p w14:paraId="3000D1AB" w14:textId="77777777" w:rsidR="00E579B9" w:rsidRDefault="006A1398">
      <w:r>
        <w:t>（</w:t>
      </w:r>
      <w:r>
        <w:t>12</w:t>
      </w:r>
      <w:r>
        <w:t>）《建设项目环境影响评价分类管理名录》（</w:t>
      </w:r>
      <w:r>
        <w:t>2018</w:t>
      </w:r>
      <w:r>
        <w:t>年</w:t>
      </w:r>
      <w:r>
        <w:t>4</w:t>
      </w:r>
      <w:r>
        <w:t>月</w:t>
      </w:r>
      <w:r>
        <w:t>28</w:t>
      </w:r>
      <w:r>
        <w:t>日</w:t>
      </w:r>
      <w:r>
        <w:rPr>
          <w:rFonts w:hint="eastAsia"/>
        </w:rPr>
        <w:t>起施行</w:t>
      </w:r>
      <w:r>
        <w:t>）；</w:t>
      </w:r>
    </w:p>
    <w:p w14:paraId="2A785295" w14:textId="77777777" w:rsidR="00E579B9" w:rsidRDefault="006A1398">
      <w:r>
        <w:t>（</w:t>
      </w:r>
      <w:r>
        <w:t>13</w:t>
      </w:r>
      <w:r>
        <w:t>）《环境影响评价公众参与办法》（生态环境部令第</w:t>
      </w:r>
      <w:r>
        <w:t>4</w:t>
      </w:r>
      <w:r>
        <w:t>号，</w:t>
      </w:r>
      <w:r>
        <w:t>201</w:t>
      </w:r>
      <w:r>
        <w:rPr>
          <w:rFonts w:hint="eastAsia"/>
        </w:rPr>
        <w:t>9</w:t>
      </w:r>
      <w:r>
        <w:t>年</w:t>
      </w:r>
      <w:r>
        <w:rPr>
          <w:rFonts w:hint="eastAsia"/>
        </w:rPr>
        <w:t>1</w:t>
      </w:r>
      <w:r>
        <w:t>月</w:t>
      </w:r>
      <w:r>
        <w:t>1</w:t>
      </w:r>
      <w:r>
        <w:t>日</w:t>
      </w:r>
      <w:r>
        <w:rPr>
          <w:rFonts w:hint="eastAsia"/>
        </w:rPr>
        <w:t>起施行</w:t>
      </w:r>
      <w:r>
        <w:t>）；</w:t>
      </w:r>
    </w:p>
    <w:p w14:paraId="6504E037" w14:textId="77777777" w:rsidR="00E579B9" w:rsidRDefault="006A1398">
      <w:r>
        <w:t>（</w:t>
      </w:r>
      <w:r>
        <w:t>14</w:t>
      </w:r>
      <w:r>
        <w:t>）《土地复垦条例实施办法》（</w:t>
      </w:r>
      <w:r>
        <w:t>2013</w:t>
      </w:r>
      <w:r>
        <w:t>年</w:t>
      </w:r>
      <w:r>
        <w:t>3</w:t>
      </w:r>
      <w:r>
        <w:t>月</w:t>
      </w:r>
      <w:r>
        <w:t>1</w:t>
      </w:r>
      <w:r>
        <w:t>日</w:t>
      </w:r>
      <w:r>
        <w:rPr>
          <w:rFonts w:hint="eastAsia"/>
        </w:rPr>
        <w:t>起施行</w:t>
      </w:r>
      <w:r>
        <w:t>）；</w:t>
      </w:r>
    </w:p>
    <w:p w14:paraId="071A7FC4" w14:textId="21236E2C" w:rsidR="00E579B9" w:rsidRPr="002B5221" w:rsidRDefault="006A1398">
      <w:r w:rsidRPr="002B5221">
        <w:t>（</w:t>
      </w:r>
      <w:r w:rsidRPr="002B5221">
        <w:t>15</w:t>
      </w:r>
      <w:r w:rsidRPr="002B5221">
        <w:t>）《产业结构调整指导目录（</w:t>
      </w:r>
      <w:r w:rsidRPr="002B5221">
        <w:t>201</w:t>
      </w:r>
      <w:r w:rsidR="00C74622" w:rsidRPr="002B5221">
        <w:rPr>
          <w:rFonts w:hint="eastAsia"/>
        </w:rPr>
        <w:t>9</w:t>
      </w:r>
      <w:r w:rsidRPr="002B5221">
        <w:t>年本）》（</w:t>
      </w:r>
      <w:r w:rsidRPr="002B5221">
        <w:t>20</w:t>
      </w:r>
      <w:r w:rsidR="00C74622" w:rsidRPr="002B5221">
        <w:rPr>
          <w:rFonts w:hint="eastAsia"/>
        </w:rPr>
        <w:t>20</w:t>
      </w:r>
      <w:r w:rsidRPr="002B5221">
        <w:t>年</w:t>
      </w:r>
      <w:r w:rsidR="00C74622" w:rsidRPr="002B5221">
        <w:rPr>
          <w:rFonts w:hint="eastAsia"/>
        </w:rPr>
        <w:t>1</w:t>
      </w:r>
      <w:r w:rsidRPr="002B5221">
        <w:t>月</w:t>
      </w:r>
      <w:r w:rsidRPr="002B5221">
        <w:t>1</w:t>
      </w:r>
      <w:r w:rsidRPr="002B5221">
        <w:t>日</w:t>
      </w:r>
      <w:r w:rsidRPr="002B5221">
        <w:rPr>
          <w:rFonts w:hint="eastAsia"/>
        </w:rPr>
        <w:t>起施行</w:t>
      </w:r>
      <w:r w:rsidRPr="002B5221">
        <w:t>）；</w:t>
      </w:r>
    </w:p>
    <w:p w14:paraId="1CE8832B" w14:textId="77777777" w:rsidR="00E579B9" w:rsidRDefault="006A1398">
      <w:r>
        <w:t>（</w:t>
      </w:r>
      <w:r>
        <w:t>16</w:t>
      </w:r>
      <w:r>
        <w:t>）《矿山生态环境保护与污染防治技术政策》（环发﹝</w:t>
      </w:r>
      <w:r>
        <w:t>2005</w:t>
      </w:r>
      <w:r>
        <w:t>﹞第</w:t>
      </w:r>
      <w:r>
        <w:t>109</w:t>
      </w:r>
      <w:r>
        <w:t>号，</w:t>
      </w:r>
      <w:r>
        <w:t>2005</w:t>
      </w:r>
      <w:r>
        <w:t>年</w:t>
      </w:r>
      <w:r>
        <w:t>9</w:t>
      </w:r>
      <w:r>
        <w:t>月</w:t>
      </w:r>
      <w:r>
        <w:t>7</w:t>
      </w:r>
      <w:r>
        <w:t>日</w:t>
      </w:r>
      <w:r>
        <w:rPr>
          <w:rFonts w:hint="eastAsia"/>
        </w:rPr>
        <w:t>起施行</w:t>
      </w:r>
      <w:r>
        <w:t>）；</w:t>
      </w:r>
    </w:p>
    <w:p w14:paraId="1EFCD833" w14:textId="77777777" w:rsidR="00E579B9" w:rsidRDefault="006A1398">
      <w:r>
        <w:lastRenderedPageBreak/>
        <w:t>（</w:t>
      </w:r>
      <w:r>
        <w:t>17</w:t>
      </w:r>
      <w:r>
        <w:t>）《矿山地质环境保护规定》（国土资源部第</w:t>
      </w:r>
      <w:r>
        <w:t>44</w:t>
      </w:r>
      <w:r>
        <w:t>号，</w:t>
      </w:r>
      <w:r>
        <w:t>2009</w:t>
      </w:r>
      <w:r>
        <w:t>年</w:t>
      </w:r>
      <w:r>
        <w:t>5</w:t>
      </w:r>
      <w:r>
        <w:t>月</w:t>
      </w:r>
      <w:r>
        <w:t>1</w:t>
      </w:r>
      <w:r>
        <w:t>日</w:t>
      </w:r>
      <w:r>
        <w:rPr>
          <w:rFonts w:hint="eastAsia"/>
        </w:rPr>
        <w:t>起施行</w:t>
      </w:r>
      <w:r>
        <w:t>）；</w:t>
      </w:r>
    </w:p>
    <w:p w14:paraId="64FECC41" w14:textId="77777777" w:rsidR="00E579B9" w:rsidRDefault="006A1398">
      <w:r>
        <w:t>（</w:t>
      </w:r>
      <w:r>
        <w:t>18</w:t>
      </w:r>
      <w:r>
        <w:t>）《关于切实加强风险防范严格环境影响评价管理的通知》（环发﹝</w:t>
      </w:r>
      <w:r>
        <w:t>2012</w:t>
      </w:r>
      <w:r>
        <w:t>﹞</w:t>
      </w:r>
      <w:r>
        <w:t>98</w:t>
      </w:r>
      <w:r>
        <w:t>号，</w:t>
      </w:r>
      <w:r>
        <w:t>2012</w:t>
      </w:r>
      <w:r>
        <w:t>年</w:t>
      </w:r>
      <w:r>
        <w:t>8</w:t>
      </w:r>
      <w:r>
        <w:t>月</w:t>
      </w:r>
      <w:r>
        <w:t>7</w:t>
      </w:r>
      <w:r>
        <w:t>日</w:t>
      </w:r>
      <w:r>
        <w:rPr>
          <w:rFonts w:hint="eastAsia"/>
        </w:rPr>
        <w:t>起施行</w:t>
      </w:r>
      <w:r>
        <w:t>）；</w:t>
      </w:r>
    </w:p>
    <w:p w14:paraId="1DEECE81" w14:textId="77777777" w:rsidR="00E579B9" w:rsidRDefault="006A1398">
      <w:r>
        <w:t>（</w:t>
      </w:r>
      <w:r>
        <w:t>19</w:t>
      </w:r>
      <w:r>
        <w:t>）《国务院关于印发大气污染防治行动计划的通知》（国发﹝</w:t>
      </w:r>
      <w:r>
        <w:t>2013</w:t>
      </w:r>
      <w:r>
        <w:t>﹞</w:t>
      </w:r>
      <w:r>
        <w:t>37</w:t>
      </w:r>
      <w:r>
        <w:t>号，</w:t>
      </w:r>
      <w:r>
        <w:t>2013</w:t>
      </w:r>
      <w:r>
        <w:t>年</w:t>
      </w:r>
      <w:r>
        <w:t>9</w:t>
      </w:r>
      <w:r>
        <w:t>月</w:t>
      </w:r>
      <w:r>
        <w:t>13</w:t>
      </w:r>
      <w:r>
        <w:t>日</w:t>
      </w:r>
      <w:r>
        <w:rPr>
          <w:rFonts w:hint="eastAsia"/>
        </w:rPr>
        <w:t>起施行</w:t>
      </w:r>
      <w:r>
        <w:t>）；</w:t>
      </w:r>
    </w:p>
    <w:p w14:paraId="6D74EC20" w14:textId="77777777" w:rsidR="00E579B9" w:rsidRDefault="006A1398">
      <w:r>
        <w:t>（</w:t>
      </w:r>
      <w:r>
        <w:t>20</w:t>
      </w:r>
      <w:r>
        <w:t>）《关于落实大气污染防治行动计划严格环境影响评价准入的通知》（</w:t>
      </w:r>
      <w:proofErr w:type="gramStart"/>
      <w:r>
        <w:t>环办</w:t>
      </w:r>
      <w:proofErr w:type="gramEnd"/>
      <w:r>
        <w:t>﹝</w:t>
      </w:r>
      <w:r>
        <w:t>2014</w:t>
      </w:r>
      <w:r>
        <w:t>﹞</w:t>
      </w:r>
      <w:r>
        <w:t>30</w:t>
      </w:r>
      <w:r>
        <w:t>号，</w:t>
      </w:r>
      <w:r>
        <w:t>2014</w:t>
      </w:r>
      <w:r>
        <w:t>年</w:t>
      </w:r>
      <w:r>
        <w:t>3</w:t>
      </w:r>
      <w:r>
        <w:t>月</w:t>
      </w:r>
      <w:r>
        <w:t>25</w:t>
      </w:r>
      <w:r>
        <w:rPr>
          <w:rFonts w:hint="eastAsia"/>
        </w:rPr>
        <w:t>施行</w:t>
      </w:r>
      <w:r>
        <w:t>）；</w:t>
      </w:r>
    </w:p>
    <w:p w14:paraId="3993697B" w14:textId="77777777" w:rsidR="00E579B9" w:rsidRDefault="006A1398">
      <w:r>
        <w:rPr>
          <w:rFonts w:hint="eastAsia"/>
        </w:rPr>
        <w:t>（</w:t>
      </w:r>
      <w:r>
        <w:rPr>
          <w:rFonts w:hint="eastAsia"/>
        </w:rPr>
        <w:t>2</w:t>
      </w:r>
      <w:r>
        <w:t>1</w:t>
      </w:r>
      <w:r>
        <w:rPr>
          <w:rFonts w:hint="eastAsia"/>
        </w:rPr>
        <w:t>）《</w:t>
      </w:r>
      <w:r>
        <w:rPr>
          <w:kern w:val="0"/>
          <w:szCs w:val="24"/>
          <w:lang w:val="zh-CN"/>
        </w:rPr>
        <w:t>打赢蓝天保卫战三年行动计划</w:t>
      </w:r>
      <w:r>
        <w:rPr>
          <w:rFonts w:hint="eastAsia"/>
        </w:rPr>
        <w:t>》（国发〔</w:t>
      </w:r>
      <w:r>
        <w:rPr>
          <w:rFonts w:hint="eastAsia"/>
        </w:rPr>
        <w:t>2018</w:t>
      </w:r>
      <w:r>
        <w:rPr>
          <w:rFonts w:hint="eastAsia"/>
        </w:rPr>
        <w:t>〕</w:t>
      </w:r>
      <w:r>
        <w:rPr>
          <w:rFonts w:hint="eastAsia"/>
        </w:rPr>
        <w:t>22</w:t>
      </w:r>
      <w:r>
        <w:rPr>
          <w:rFonts w:hint="eastAsia"/>
        </w:rPr>
        <w:t>号，</w:t>
      </w:r>
      <w:r>
        <w:rPr>
          <w:rFonts w:hint="eastAsia"/>
        </w:rPr>
        <w:t>2</w:t>
      </w:r>
      <w:r>
        <w:t>018</w:t>
      </w:r>
      <w:r>
        <w:rPr>
          <w:rFonts w:hint="eastAsia"/>
        </w:rPr>
        <w:t>年</w:t>
      </w:r>
      <w:r>
        <w:rPr>
          <w:rFonts w:hint="eastAsia"/>
        </w:rPr>
        <w:t>7</w:t>
      </w:r>
      <w:r>
        <w:rPr>
          <w:rFonts w:hint="eastAsia"/>
        </w:rPr>
        <w:t>月</w:t>
      </w:r>
      <w:r>
        <w:rPr>
          <w:rFonts w:hint="eastAsia"/>
        </w:rPr>
        <w:t>3</w:t>
      </w:r>
      <w:r>
        <w:rPr>
          <w:rFonts w:hint="eastAsia"/>
        </w:rPr>
        <w:t>日发布）</w:t>
      </w:r>
    </w:p>
    <w:p w14:paraId="67427636" w14:textId="77777777" w:rsidR="00E579B9" w:rsidRDefault="006A1398">
      <w:r>
        <w:rPr>
          <w:rFonts w:hint="eastAsia"/>
        </w:rPr>
        <w:t>（</w:t>
      </w:r>
      <w:r>
        <w:rPr>
          <w:rFonts w:hint="eastAsia"/>
        </w:rPr>
        <w:t>2</w:t>
      </w:r>
      <w:r>
        <w:t>2</w:t>
      </w:r>
      <w:r>
        <w:rPr>
          <w:rFonts w:hint="eastAsia"/>
        </w:rPr>
        <w:t>）</w:t>
      </w:r>
      <w:r>
        <w:t>《国务院关于印发水污染防治行动计划的通知》（国发﹝</w:t>
      </w:r>
      <w:r>
        <w:t>2015</w:t>
      </w:r>
      <w:r>
        <w:t>﹞</w:t>
      </w:r>
      <w:r>
        <w:t>17</w:t>
      </w:r>
      <w:r>
        <w:t>号，</w:t>
      </w:r>
      <w:r>
        <w:t>2015</w:t>
      </w:r>
      <w:r>
        <w:t>年</w:t>
      </w:r>
      <w:r>
        <w:t>4</w:t>
      </w:r>
      <w:r>
        <w:t>月</w:t>
      </w:r>
      <w:r>
        <w:t>2</w:t>
      </w:r>
      <w:r>
        <w:t>日</w:t>
      </w:r>
      <w:r>
        <w:rPr>
          <w:rFonts w:hint="eastAsia"/>
        </w:rPr>
        <w:t>起施行</w:t>
      </w:r>
      <w:r>
        <w:t>）；</w:t>
      </w:r>
    </w:p>
    <w:p w14:paraId="7BBDF059" w14:textId="77777777" w:rsidR="00E579B9" w:rsidRDefault="006A1398">
      <w:r>
        <w:t>（</w:t>
      </w:r>
      <w:r>
        <w:t>23</w:t>
      </w:r>
      <w:r>
        <w:t>）《国务院关于印发土壤污染防治行动计划的通知》（国发﹝</w:t>
      </w:r>
      <w:r>
        <w:t>2016</w:t>
      </w:r>
      <w:r>
        <w:t>﹞</w:t>
      </w:r>
      <w:r>
        <w:t>31</w:t>
      </w:r>
      <w:r>
        <w:t>号，</w:t>
      </w:r>
      <w:r>
        <w:t>2016</w:t>
      </w:r>
      <w:r>
        <w:t>年</w:t>
      </w:r>
      <w:r>
        <w:t>5</w:t>
      </w:r>
      <w:r>
        <w:t>月</w:t>
      </w:r>
      <w:r>
        <w:t>28</w:t>
      </w:r>
      <w:r>
        <w:t>日</w:t>
      </w:r>
      <w:r>
        <w:rPr>
          <w:rFonts w:hint="eastAsia"/>
        </w:rPr>
        <w:t>起施行</w:t>
      </w:r>
      <w:r>
        <w:t>）；</w:t>
      </w:r>
    </w:p>
    <w:p w14:paraId="40BA7467" w14:textId="77777777" w:rsidR="00E579B9" w:rsidRDefault="006A1398">
      <w:r>
        <w:t>（</w:t>
      </w:r>
      <w:r>
        <w:t>24</w:t>
      </w:r>
      <w:r>
        <w:t>）《矿产资源开采登记管理办法》（国务院令</w:t>
      </w:r>
      <w:r>
        <w:t>241</w:t>
      </w:r>
      <w:r>
        <w:t>号，</w:t>
      </w:r>
      <w:r>
        <w:t>2014</w:t>
      </w:r>
      <w:r>
        <w:t>年</w:t>
      </w:r>
      <w:r>
        <w:t>7</w:t>
      </w:r>
      <w:r>
        <w:t>月</w:t>
      </w:r>
      <w:r>
        <w:t>29</w:t>
      </w:r>
      <w:r>
        <w:t>日</w:t>
      </w:r>
      <w:r>
        <w:rPr>
          <w:rFonts w:hint="eastAsia"/>
        </w:rPr>
        <w:t>修正</w:t>
      </w:r>
      <w:r>
        <w:t>）；</w:t>
      </w:r>
    </w:p>
    <w:p w14:paraId="4C1066D0" w14:textId="77777777" w:rsidR="00E579B9" w:rsidRDefault="006A1398">
      <w:r>
        <w:t>（</w:t>
      </w:r>
      <w:r>
        <w:t>25</w:t>
      </w:r>
      <w:r>
        <w:t>）《全国生态环境保护纲要》（国务院国发﹝</w:t>
      </w:r>
      <w:r>
        <w:t>2000</w:t>
      </w:r>
      <w:r>
        <w:t>﹞</w:t>
      </w:r>
      <w:r>
        <w:t>38</w:t>
      </w:r>
      <w:r>
        <w:t>号文，</w:t>
      </w:r>
      <w:r>
        <w:t>2000</w:t>
      </w:r>
      <w:r>
        <w:t>年</w:t>
      </w:r>
      <w:r>
        <w:t>11</w:t>
      </w:r>
      <w:r>
        <w:t>月</w:t>
      </w:r>
      <w:r>
        <w:t>26</w:t>
      </w:r>
      <w:r>
        <w:t>日</w:t>
      </w:r>
      <w:r>
        <w:rPr>
          <w:rFonts w:hint="eastAsia"/>
        </w:rPr>
        <w:t>起施行</w:t>
      </w:r>
      <w:r>
        <w:t>）；</w:t>
      </w:r>
    </w:p>
    <w:p w14:paraId="2C4519C6" w14:textId="77777777" w:rsidR="00E579B9" w:rsidRDefault="006A1398">
      <w:r>
        <w:t>（</w:t>
      </w:r>
      <w:r>
        <w:t>26</w:t>
      </w:r>
      <w:r>
        <w:t>）《国务院关于落实科学发展观加强环境保护的决定》（国务院国发﹝</w:t>
      </w:r>
      <w:r>
        <w:t>2005</w:t>
      </w:r>
      <w:r>
        <w:t>﹞</w:t>
      </w:r>
      <w:r>
        <w:t>39</w:t>
      </w:r>
      <w:r>
        <w:t>号文，</w:t>
      </w:r>
      <w:r>
        <w:t>2005</w:t>
      </w:r>
      <w:r>
        <w:t>年</w:t>
      </w:r>
      <w:r>
        <w:t>12</w:t>
      </w:r>
      <w:r>
        <w:t>月</w:t>
      </w:r>
      <w:r>
        <w:t>3</w:t>
      </w:r>
      <w:r>
        <w:t>日</w:t>
      </w:r>
      <w:r>
        <w:rPr>
          <w:rFonts w:hint="eastAsia"/>
        </w:rPr>
        <w:t>起施行</w:t>
      </w:r>
      <w:r>
        <w:t>）；</w:t>
      </w:r>
    </w:p>
    <w:p w14:paraId="71FA7D18" w14:textId="77777777" w:rsidR="00E579B9" w:rsidRDefault="006A1398">
      <w:r>
        <w:t>（</w:t>
      </w:r>
      <w:r>
        <w:t>27</w:t>
      </w:r>
      <w:r>
        <w:t>）《矿产资源节约与综合利用鼓励、限制和淘汰技术目录》（</w:t>
      </w:r>
      <w:proofErr w:type="gramStart"/>
      <w:r>
        <w:t>国土资发</w:t>
      </w:r>
      <w:proofErr w:type="gramEnd"/>
      <w:r>
        <w:t>﹝</w:t>
      </w:r>
      <w:r>
        <w:t>2014</w:t>
      </w:r>
      <w:r>
        <w:t>﹞</w:t>
      </w:r>
      <w:r>
        <w:t>176</w:t>
      </w:r>
      <w:r>
        <w:t>号，</w:t>
      </w:r>
      <w:r>
        <w:t>2014</w:t>
      </w:r>
      <w:r>
        <w:t>年</w:t>
      </w:r>
      <w:r>
        <w:t>12</w:t>
      </w:r>
      <w:r>
        <w:t>月</w:t>
      </w:r>
      <w:r>
        <w:t>26</w:t>
      </w:r>
      <w:r>
        <w:t>日</w:t>
      </w:r>
      <w:r>
        <w:rPr>
          <w:rFonts w:hint="eastAsia"/>
        </w:rPr>
        <w:t>起施行</w:t>
      </w:r>
      <w:r>
        <w:t>）；</w:t>
      </w:r>
    </w:p>
    <w:p w14:paraId="319DFC74" w14:textId="77777777" w:rsidR="00E579B9" w:rsidRDefault="006A1398">
      <w:r>
        <w:t>（</w:t>
      </w:r>
      <w:r>
        <w:t>28</w:t>
      </w:r>
      <w:r>
        <w:t>）《建设项目环境影响评价</w:t>
      </w:r>
      <w:r>
        <w:rPr>
          <w:rFonts w:hint="eastAsia"/>
        </w:rPr>
        <w:t>文件</w:t>
      </w:r>
      <w:r>
        <w:t>分级审批规定》（环境保护部令第</w:t>
      </w:r>
      <w:r>
        <w:t>5</w:t>
      </w:r>
      <w:r>
        <w:t>号，</w:t>
      </w:r>
      <w:r>
        <w:t>2009</w:t>
      </w:r>
      <w:r>
        <w:rPr>
          <w:rFonts w:hint="eastAsia"/>
        </w:rPr>
        <w:t>年</w:t>
      </w:r>
      <w:r>
        <w:rPr>
          <w:rFonts w:hint="eastAsia"/>
        </w:rPr>
        <w:t>3</w:t>
      </w:r>
      <w:r>
        <w:rPr>
          <w:rFonts w:hint="eastAsia"/>
        </w:rPr>
        <w:t>月</w:t>
      </w:r>
      <w:r>
        <w:rPr>
          <w:rFonts w:hint="eastAsia"/>
        </w:rPr>
        <w:t>1</w:t>
      </w:r>
      <w:r>
        <w:rPr>
          <w:rFonts w:hint="eastAsia"/>
        </w:rPr>
        <w:t>日起施行</w:t>
      </w:r>
      <w:r>
        <w:t>）；</w:t>
      </w:r>
    </w:p>
    <w:p w14:paraId="14EAB600" w14:textId="77777777" w:rsidR="00E579B9" w:rsidRDefault="006A1398">
      <w:r>
        <w:t>（</w:t>
      </w:r>
      <w:r>
        <w:t>29</w:t>
      </w:r>
      <w:r>
        <w:t>）《关于加强资源开发生态环境保护监管工作的意见》（环发﹝</w:t>
      </w:r>
      <w:r>
        <w:t>2004</w:t>
      </w:r>
      <w:r>
        <w:t>﹞</w:t>
      </w:r>
      <w:r>
        <w:t>24</w:t>
      </w:r>
      <w:r>
        <w:t>号文，</w:t>
      </w:r>
      <w:r>
        <w:t>2004</w:t>
      </w:r>
      <w:r>
        <w:t>年</w:t>
      </w:r>
      <w:r>
        <w:t>2</w:t>
      </w:r>
      <w:r>
        <w:t>月</w:t>
      </w:r>
      <w:r>
        <w:t>24</w:t>
      </w:r>
      <w:r>
        <w:t>日</w:t>
      </w:r>
      <w:r>
        <w:rPr>
          <w:rFonts w:hint="eastAsia"/>
        </w:rPr>
        <w:t>起施行</w:t>
      </w:r>
      <w:r>
        <w:t>）；</w:t>
      </w:r>
    </w:p>
    <w:p w14:paraId="0B54D8E6" w14:textId="77777777" w:rsidR="00E579B9" w:rsidRDefault="006A1398">
      <w:r>
        <w:t>（</w:t>
      </w:r>
      <w:r>
        <w:t>31</w:t>
      </w:r>
      <w:r>
        <w:t>）《国家环保总局关于进一步加强生态保护工作的意见》（环发﹝</w:t>
      </w:r>
      <w:r>
        <w:t>2007</w:t>
      </w:r>
      <w:r>
        <w:t>﹞</w:t>
      </w:r>
      <w:r>
        <w:t>37</w:t>
      </w:r>
      <w:r>
        <w:t>号，</w:t>
      </w:r>
      <w:r>
        <w:t>2007</w:t>
      </w:r>
      <w:r>
        <w:t>年</w:t>
      </w:r>
      <w:r>
        <w:t>3</w:t>
      </w:r>
      <w:r>
        <w:t>月</w:t>
      </w:r>
      <w:r>
        <w:t>15</w:t>
      </w:r>
      <w:r>
        <w:t>日</w:t>
      </w:r>
      <w:r>
        <w:rPr>
          <w:rFonts w:hint="eastAsia"/>
        </w:rPr>
        <w:t>起施行</w:t>
      </w:r>
      <w:r>
        <w:t>）；</w:t>
      </w:r>
    </w:p>
    <w:p w14:paraId="51119A30" w14:textId="77777777" w:rsidR="00E579B9" w:rsidRDefault="006A1398">
      <w:r>
        <w:lastRenderedPageBreak/>
        <w:t>（</w:t>
      </w:r>
      <w:r>
        <w:t>32</w:t>
      </w:r>
      <w:r>
        <w:t>）《部分工业行业淘汰落后生产工艺装备和产品指导目录》（工产业﹝</w:t>
      </w:r>
      <w:r>
        <w:t>2010</w:t>
      </w:r>
      <w:r>
        <w:t>﹞第</w:t>
      </w:r>
      <w:r>
        <w:t>122</w:t>
      </w:r>
      <w:r>
        <w:t>号，</w:t>
      </w:r>
      <w:r>
        <w:t>2010</w:t>
      </w:r>
      <w:r>
        <w:t>年</w:t>
      </w:r>
      <w:r>
        <w:t>10</w:t>
      </w:r>
      <w:r>
        <w:t>月</w:t>
      </w:r>
      <w:r>
        <w:t>13</w:t>
      </w:r>
      <w:r>
        <w:t>日</w:t>
      </w:r>
      <w:r>
        <w:rPr>
          <w:rFonts w:hint="eastAsia"/>
        </w:rPr>
        <w:t>起施行</w:t>
      </w:r>
      <w:r>
        <w:t>）；</w:t>
      </w:r>
    </w:p>
    <w:p w14:paraId="2B550AD7" w14:textId="77777777" w:rsidR="00E579B9" w:rsidRDefault="006A1398">
      <w:r>
        <w:t>（</w:t>
      </w:r>
      <w:r>
        <w:t>33</w:t>
      </w:r>
      <w:r>
        <w:t>）</w:t>
      </w:r>
      <w:r>
        <w:rPr>
          <w:szCs w:val="24"/>
        </w:rPr>
        <w:t>《高耗能落后机电设备（产品）淘汰目录（第一批）》（工节</w:t>
      </w:r>
      <w:r>
        <w:t>﹝</w:t>
      </w:r>
      <w:r>
        <w:t>2009</w:t>
      </w:r>
      <w:r>
        <w:t>﹞</w:t>
      </w:r>
      <w:r>
        <w:t>67</w:t>
      </w:r>
      <w:r>
        <w:t>号，</w:t>
      </w:r>
      <w:r>
        <w:t>2009</w:t>
      </w:r>
      <w:r>
        <w:t>年</w:t>
      </w:r>
      <w:r>
        <w:t>12</w:t>
      </w:r>
      <w:r>
        <w:t>月</w:t>
      </w:r>
      <w:r>
        <w:t>4</w:t>
      </w:r>
      <w:r>
        <w:t>日</w:t>
      </w:r>
      <w:r>
        <w:rPr>
          <w:rFonts w:hint="eastAsia"/>
        </w:rPr>
        <w:t>起施行</w:t>
      </w:r>
      <w:r>
        <w:t>）；</w:t>
      </w:r>
    </w:p>
    <w:p w14:paraId="788DA70E" w14:textId="77777777" w:rsidR="00E579B9" w:rsidRDefault="006A1398">
      <w:r>
        <w:t>（</w:t>
      </w:r>
      <w:r>
        <w:t>34</w:t>
      </w:r>
      <w:r>
        <w:t>）</w:t>
      </w:r>
      <w:r>
        <w:rPr>
          <w:szCs w:val="24"/>
        </w:rPr>
        <w:t>《高耗能落后机电设备（产品）淘汰目录（第二批）》（工节</w:t>
      </w:r>
      <w:r>
        <w:t>﹝</w:t>
      </w:r>
      <w:r>
        <w:t>2012</w:t>
      </w:r>
      <w:r>
        <w:t>﹞</w:t>
      </w:r>
      <w:r>
        <w:t>14</w:t>
      </w:r>
      <w:r>
        <w:t>号，</w:t>
      </w:r>
      <w:r>
        <w:t>2012</w:t>
      </w:r>
      <w:r>
        <w:t>年</w:t>
      </w:r>
      <w:r>
        <w:t>4</w:t>
      </w:r>
      <w:r>
        <w:t>月</w:t>
      </w:r>
      <w:r>
        <w:t>6</w:t>
      </w:r>
      <w:r>
        <w:t>日</w:t>
      </w:r>
      <w:r>
        <w:rPr>
          <w:rFonts w:hint="eastAsia"/>
        </w:rPr>
        <w:t>起施行</w:t>
      </w:r>
      <w:r>
        <w:t>）；</w:t>
      </w:r>
    </w:p>
    <w:p w14:paraId="6D4EB2D4" w14:textId="77777777" w:rsidR="00E579B9" w:rsidRDefault="006A1398">
      <w:r>
        <w:t>（</w:t>
      </w:r>
      <w:r>
        <w:t>35</w:t>
      </w:r>
      <w:r>
        <w:t>）</w:t>
      </w:r>
      <w:r>
        <w:rPr>
          <w:szCs w:val="24"/>
        </w:rPr>
        <w:t>《高耗能落后机电设备（产品）淘汰目录（第三批）》（工节</w:t>
      </w:r>
      <w:r>
        <w:t>﹝</w:t>
      </w:r>
      <w:r>
        <w:t>2014</w:t>
      </w:r>
      <w:r>
        <w:t>﹞</w:t>
      </w:r>
      <w:r>
        <w:t>16</w:t>
      </w:r>
      <w:r>
        <w:t>号，</w:t>
      </w:r>
      <w:r>
        <w:t>2014</w:t>
      </w:r>
      <w:r>
        <w:t>年</w:t>
      </w:r>
      <w:r>
        <w:t>3</w:t>
      </w:r>
      <w:r>
        <w:t>月</w:t>
      </w:r>
      <w:r>
        <w:t>6</w:t>
      </w:r>
      <w:r>
        <w:t>日</w:t>
      </w:r>
      <w:r>
        <w:rPr>
          <w:rFonts w:hint="eastAsia"/>
        </w:rPr>
        <w:t>起施行</w:t>
      </w:r>
      <w:r>
        <w:t>）；</w:t>
      </w:r>
    </w:p>
    <w:p w14:paraId="7F2F5AD5" w14:textId="77777777" w:rsidR="00E579B9" w:rsidRDefault="006A1398">
      <w:r>
        <w:t>（</w:t>
      </w:r>
      <w:r>
        <w:t>36</w:t>
      </w:r>
      <w:r>
        <w:t>）《高耗能落后机电设备（产品）淘汰目录（第四批）》（</w:t>
      </w:r>
      <w:r>
        <w:t>2016</w:t>
      </w:r>
      <w:r>
        <w:t>年</w:t>
      </w:r>
      <w:r>
        <w:t>3</w:t>
      </w:r>
      <w:r>
        <w:t>月</w:t>
      </w:r>
      <w:r>
        <w:t>14</w:t>
      </w:r>
      <w:r>
        <w:t>日</w:t>
      </w:r>
      <w:r>
        <w:rPr>
          <w:rFonts w:hint="eastAsia"/>
        </w:rPr>
        <w:t>起施行</w:t>
      </w:r>
      <w:r>
        <w:t>）；</w:t>
      </w:r>
    </w:p>
    <w:p w14:paraId="56BCAC44" w14:textId="77777777" w:rsidR="00E579B9" w:rsidRDefault="006A1398">
      <w:r>
        <w:t>（</w:t>
      </w:r>
      <w:r>
        <w:t>37</w:t>
      </w:r>
      <w:r>
        <w:t>）《金属非金属矿山禁止使用的设备及工艺目录（第一批）》（安监总管〔</w:t>
      </w:r>
      <w:r>
        <w:t>2013</w:t>
      </w:r>
      <w:r>
        <w:t>〕</w:t>
      </w:r>
      <w:r>
        <w:t>101</w:t>
      </w:r>
      <w:r>
        <w:t>号，</w:t>
      </w:r>
      <w:r>
        <w:t>2013</w:t>
      </w:r>
      <w:r>
        <w:t>年</w:t>
      </w:r>
      <w:r>
        <w:t>9</w:t>
      </w:r>
      <w:r>
        <w:t>月</w:t>
      </w:r>
      <w:r>
        <w:t>6</w:t>
      </w:r>
      <w:r>
        <w:t>日</w:t>
      </w:r>
      <w:r>
        <w:rPr>
          <w:rFonts w:hint="eastAsia"/>
        </w:rPr>
        <w:t>起施行</w:t>
      </w:r>
      <w:r>
        <w:t>）；</w:t>
      </w:r>
    </w:p>
    <w:p w14:paraId="1F299588" w14:textId="77777777" w:rsidR="00E579B9" w:rsidRDefault="006A1398">
      <w:r>
        <w:t>（</w:t>
      </w:r>
      <w:r>
        <w:t>38</w:t>
      </w:r>
      <w:r>
        <w:t>）《金属非金属矿山禁止使用的设备及工艺目录（第二批）》（安监总管〔</w:t>
      </w:r>
      <w:r>
        <w:t>2015</w:t>
      </w:r>
      <w:r>
        <w:t>〕</w:t>
      </w:r>
      <w:r>
        <w:t>13</w:t>
      </w:r>
      <w:r>
        <w:t>号，</w:t>
      </w:r>
      <w:r>
        <w:t>2015</w:t>
      </w:r>
      <w:r>
        <w:t>年</w:t>
      </w:r>
      <w:r>
        <w:t>2</w:t>
      </w:r>
      <w:r>
        <w:t>月</w:t>
      </w:r>
      <w:r>
        <w:t>13</w:t>
      </w:r>
      <w:r>
        <w:t>日</w:t>
      </w:r>
      <w:r>
        <w:rPr>
          <w:rFonts w:hint="eastAsia"/>
        </w:rPr>
        <w:t>起施行</w:t>
      </w:r>
      <w:r>
        <w:t>）。</w:t>
      </w:r>
    </w:p>
    <w:p w14:paraId="195A3A4E" w14:textId="77777777" w:rsidR="00E579B9" w:rsidRDefault="006A1398">
      <w:pPr>
        <w:pStyle w:val="3"/>
        <w:ind w:firstLine="560"/>
      </w:pPr>
      <w:bookmarkStart w:id="26" w:name="_Toc535847412"/>
      <w:r>
        <w:t>2.1.2</w:t>
      </w:r>
      <w:r>
        <w:t>地方环保法律法规、政策</w:t>
      </w:r>
      <w:bookmarkEnd w:id="26"/>
    </w:p>
    <w:p w14:paraId="5F491CDE" w14:textId="77777777" w:rsidR="00E579B9" w:rsidRDefault="006A1398">
      <w:r>
        <w:t>（</w:t>
      </w:r>
      <w:r>
        <w:t>1</w:t>
      </w:r>
      <w:r>
        <w:t>）《河南省建设项目环境保护条例》（</w:t>
      </w:r>
      <w:r>
        <w:t>2016</w:t>
      </w:r>
      <w:r>
        <w:t>年</w:t>
      </w:r>
      <w:r>
        <w:t>3</w:t>
      </w:r>
      <w:r>
        <w:t>月</w:t>
      </w:r>
      <w:r>
        <w:t>29</w:t>
      </w:r>
      <w:r>
        <w:t>日</w:t>
      </w:r>
      <w:r>
        <w:rPr>
          <w:rFonts w:hint="eastAsia"/>
        </w:rPr>
        <w:t>起实施</w:t>
      </w:r>
      <w:r>
        <w:t>）；</w:t>
      </w:r>
    </w:p>
    <w:p w14:paraId="12E554FB" w14:textId="77777777" w:rsidR="00E579B9" w:rsidRDefault="006A1398">
      <w:r>
        <w:t>（</w:t>
      </w:r>
      <w:r>
        <w:t>2</w:t>
      </w:r>
      <w:r>
        <w:t>）《河南省人民政府办公厅关于开展三区两线及特定生态保护区范围内露天矿山开发及生态环境综合整治工作的意见》（豫政办﹝</w:t>
      </w:r>
      <w:r>
        <w:t>2016</w:t>
      </w:r>
      <w:r>
        <w:t>﹞</w:t>
      </w:r>
      <w:r>
        <w:t>199</w:t>
      </w:r>
      <w:r>
        <w:t>号，</w:t>
      </w:r>
      <w:r>
        <w:t>2016</w:t>
      </w:r>
      <w:r>
        <w:t>年</w:t>
      </w:r>
      <w:r>
        <w:t>11</w:t>
      </w:r>
      <w:r>
        <w:t>月</w:t>
      </w:r>
      <w:r>
        <w:t>30</w:t>
      </w:r>
      <w:r>
        <w:t>日</w:t>
      </w:r>
      <w:r>
        <w:rPr>
          <w:rFonts w:hint="eastAsia"/>
        </w:rPr>
        <w:t>起施行</w:t>
      </w:r>
      <w:r>
        <w:t>）；</w:t>
      </w:r>
    </w:p>
    <w:p w14:paraId="02F9DCFB" w14:textId="77777777" w:rsidR="00E579B9" w:rsidRDefault="006A1398">
      <w:r>
        <w:t>（</w:t>
      </w:r>
      <w:r>
        <w:t>3</w:t>
      </w:r>
      <w:r>
        <w:t>）《河南省人民政府关于全面深化矿产资源管理改革的若干意见》（豫政﹝</w:t>
      </w:r>
      <w:r>
        <w:t>2016</w:t>
      </w:r>
      <w:r>
        <w:t>﹞</w:t>
      </w:r>
      <w:r>
        <w:t>27</w:t>
      </w:r>
      <w:r>
        <w:t>号，</w:t>
      </w:r>
      <w:r>
        <w:t>2016</w:t>
      </w:r>
      <w:r>
        <w:t>年</w:t>
      </w:r>
      <w:r>
        <w:t>4</w:t>
      </w:r>
      <w:r>
        <w:t>月</w:t>
      </w:r>
      <w:r>
        <w:t>24</w:t>
      </w:r>
      <w:r>
        <w:t>日</w:t>
      </w:r>
      <w:r>
        <w:rPr>
          <w:rFonts w:hint="eastAsia"/>
        </w:rPr>
        <w:t>发布</w:t>
      </w:r>
      <w:r>
        <w:t>）；</w:t>
      </w:r>
    </w:p>
    <w:p w14:paraId="469F3AB6" w14:textId="77777777" w:rsidR="00E579B9" w:rsidRDefault="006A1398">
      <w:r>
        <w:t>（</w:t>
      </w:r>
      <w:r>
        <w:t>4</w:t>
      </w:r>
      <w:r>
        <w:t>）《省环境污染防治攻坚战领导小组办公室关于印发河南省</w:t>
      </w:r>
      <w:r>
        <w:t>2017</w:t>
      </w:r>
      <w:r>
        <w:t>年大气污染防治攻坚战</w:t>
      </w:r>
      <w:r>
        <w:t>7</w:t>
      </w:r>
      <w:r>
        <w:t>个实施方案及考核奖惩暂行办法的通知》（</w:t>
      </w:r>
      <w:proofErr w:type="gramStart"/>
      <w:r>
        <w:t>豫环攻坚办</w:t>
      </w:r>
      <w:proofErr w:type="gramEnd"/>
      <w:r>
        <w:t>﹝</w:t>
      </w:r>
      <w:r>
        <w:t>2017</w:t>
      </w:r>
      <w:r>
        <w:t>﹞</w:t>
      </w:r>
      <w:r>
        <w:t>71</w:t>
      </w:r>
      <w:r>
        <w:t>号）；</w:t>
      </w:r>
    </w:p>
    <w:p w14:paraId="659C346E" w14:textId="77777777" w:rsidR="00E579B9" w:rsidRDefault="006A1398">
      <w:r>
        <w:t>（</w:t>
      </w:r>
      <w:r>
        <w:t>5</w:t>
      </w:r>
      <w:r>
        <w:t>）</w:t>
      </w:r>
      <w:r>
        <w:rPr>
          <w:bCs/>
        </w:rPr>
        <w:t>《河南省矿产资源勘查开发整合总体方案》</w:t>
      </w:r>
      <w:r>
        <w:t>（豫政﹝</w:t>
      </w:r>
      <w:r>
        <w:t>2010</w:t>
      </w:r>
      <w:r>
        <w:t>﹞</w:t>
      </w:r>
      <w:r>
        <w:t>34</w:t>
      </w:r>
      <w:r>
        <w:t>号，</w:t>
      </w:r>
      <w:r>
        <w:t>2010</w:t>
      </w:r>
      <w:r>
        <w:t>年</w:t>
      </w:r>
      <w:r>
        <w:t>4</w:t>
      </w:r>
      <w:r>
        <w:t>月</w:t>
      </w:r>
      <w:r>
        <w:t>2</w:t>
      </w:r>
      <w:r>
        <w:t>日</w:t>
      </w:r>
      <w:r>
        <w:rPr>
          <w:rFonts w:hint="eastAsia"/>
        </w:rPr>
        <w:t>发布</w:t>
      </w:r>
      <w:r>
        <w:t>）；</w:t>
      </w:r>
    </w:p>
    <w:p w14:paraId="34944869" w14:textId="77777777" w:rsidR="00E579B9" w:rsidRDefault="006A1398">
      <w:r>
        <w:t>（</w:t>
      </w:r>
      <w:r>
        <w:t>6</w:t>
      </w:r>
      <w:r>
        <w:t>）《河南省矿产资源总体规划》（</w:t>
      </w:r>
      <w:r>
        <w:t>2016-2020</w:t>
      </w:r>
      <w:r>
        <w:rPr>
          <w:rFonts w:hint="eastAsia"/>
        </w:rPr>
        <w:t>年</w:t>
      </w:r>
      <w:r>
        <w:t>）</w:t>
      </w:r>
      <w:r>
        <w:rPr>
          <w:rFonts w:hint="eastAsia"/>
        </w:rPr>
        <w:t>（</w:t>
      </w:r>
      <w:r>
        <w:t>2017</w:t>
      </w:r>
      <w:r>
        <w:t>年</w:t>
      </w:r>
      <w:r>
        <w:t>12</w:t>
      </w:r>
      <w:r>
        <w:t>月</w:t>
      </w:r>
      <w:r>
        <w:t>1</w:t>
      </w:r>
      <w:r>
        <w:t>日</w:t>
      </w:r>
      <w:r>
        <w:rPr>
          <w:rFonts w:hint="eastAsia"/>
        </w:rPr>
        <w:t>发布</w:t>
      </w:r>
      <w:r>
        <w:t>）；</w:t>
      </w:r>
    </w:p>
    <w:p w14:paraId="37AAC5ED" w14:textId="77777777" w:rsidR="00E579B9" w:rsidRDefault="006A1398">
      <w:r>
        <w:lastRenderedPageBreak/>
        <w:t>（</w:t>
      </w:r>
      <w:r>
        <w:t>7</w:t>
      </w:r>
      <w:r>
        <w:t>）《河南省固体废物污染环境防治条例》（</w:t>
      </w:r>
      <w:r>
        <w:t>2012</w:t>
      </w:r>
      <w:r>
        <w:t>年</w:t>
      </w:r>
      <w:r>
        <w:t>1</w:t>
      </w:r>
      <w:r>
        <w:t>月</w:t>
      </w:r>
      <w:r>
        <w:t>1</w:t>
      </w:r>
      <w:r>
        <w:t>日</w:t>
      </w:r>
      <w:r>
        <w:rPr>
          <w:rFonts w:hint="eastAsia"/>
        </w:rPr>
        <w:t>起施行</w:t>
      </w:r>
      <w:r>
        <w:t>）；</w:t>
      </w:r>
    </w:p>
    <w:p w14:paraId="2D77F083" w14:textId="77777777" w:rsidR="00E579B9" w:rsidRDefault="006A1398">
      <w:r>
        <w:t>（</w:t>
      </w:r>
      <w:r>
        <w:t>8</w:t>
      </w:r>
      <w:r>
        <w:t>）《河南省环境保护厅关于印发河南省建设项目环境影响评价文件分级审批目录（</w:t>
      </w:r>
      <w:r>
        <w:t>2014</w:t>
      </w:r>
      <w:r>
        <w:t>年本）的通知》（</w:t>
      </w:r>
      <w:proofErr w:type="gramStart"/>
      <w:r>
        <w:t>豫环文</w:t>
      </w:r>
      <w:proofErr w:type="gramEnd"/>
      <w:r>
        <w:t>﹝</w:t>
      </w:r>
      <w:r>
        <w:t>2013</w:t>
      </w:r>
      <w:r>
        <w:t>﹞</w:t>
      </w:r>
      <w:r>
        <w:t>239</w:t>
      </w:r>
      <w:r>
        <w:t>号，</w:t>
      </w:r>
      <w:r>
        <w:t>2014</w:t>
      </w:r>
      <w:r>
        <w:t>年</w:t>
      </w:r>
      <w:r>
        <w:t>1</w:t>
      </w:r>
      <w:r>
        <w:t>月</w:t>
      </w:r>
      <w:r>
        <w:t>1</w:t>
      </w:r>
      <w:r>
        <w:t>日</w:t>
      </w:r>
      <w:r>
        <w:rPr>
          <w:rFonts w:hint="eastAsia"/>
        </w:rPr>
        <w:t>起施行</w:t>
      </w:r>
      <w:r>
        <w:t>）；</w:t>
      </w:r>
    </w:p>
    <w:p w14:paraId="6D529C24" w14:textId="77777777" w:rsidR="00E579B9" w:rsidRDefault="006A1398">
      <w:r>
        <w:rPr>
          <w:rFonts w:hint="eastAsia"/>
        </w:rPr>
        <w:t>（</w:t>
      </w:r>
      <w:r>
        <w:t>9</w:t>
      </w:r>
      <w:r>
        <w:rPr>
          <w:rFonts w:hint="eastAsia"/>
        </w:rPr>
        <w:t>）《河南省主体生态功能区规划》（豫政〔</w:t>
      </w:r>
      <w:r>
        <w:rPr>
          <w:rFonts w:hint="eastAsia"/>
        </w:rPr>
        <w:t>2014</w:t>
      </w:r>
      <w:r>
        <w:rPr>
          <w:rFonts w:hint="eastAsia"/>
        </w:rPr>
        <w:t>〕</w:t>
      </w:r>
      <w:r>
        <w:rPr>
          <w:rFonts w:hint="eastAsia"/>
        </w:rPr>
        <w:t>12</w:t>
      </w:r>
      <w:r>
        <w:rPr>
          <w:rFonts w:hint="eastAsia"/>
        </w:rPr>
        <w:t>号，</w:t>
      </w:r>
      <w:r>
        <w:rPr>
          <w:rFonts w:hint="eastAsia"/>
        </w:rPr>
        <w:t>2</w:t>
      </w:r>
      <w:r>
        <w:t>014</w:t>
      </w:r>
      <w:r>
        <w:rPr>
          <w:rFonts w:hint="eastAsia"/>
        </w:rPr>
        <w:t>年</w:t>
      </w:r>
      <w:r>
        <w:rPr>
          <w:rFonts w:hint="eastAsia"/>
        </w:rPr>
        <w:t>1</w:t>
      </w:r>
      <w:r>
        <w:rPr>
          <w:rFonts w:hint="eastAsia"/>
        </w:rPr>
        <w:t>月</w:t>
      </w:r>
      <w:r>
        <w:rPr>
          <w:rFonts w:hint="eastAsia"/>
        </w:rPr>
        <w:t>2</w:t>
      </w:r>
      <w:r>
        <w:t>1</w:t>
      </w:r>
      <w:r>
        <w:rPr>
          <w:rFonts w:hint="eastAsia"/>
        </w:rPr>
        <w:t>日发布）；</w:t>
      </w:r>
    </w:p>
    <w:p w14:paraId="153D0705" w14:textId="77777777" w:rsidR="00E579B9" w:rsidRDefault="006A1398">
      <w:r>
        <w:t>（</w:t>
      </w:r>
      <w:r>
        <w:t>10</w:t>
      </w:r>
      <w:r>
        <w:rPr>
          <w:rFonts w:hint="eastAsia"/>
        </w:rPr>
        <w:t>）</w:t>
      </w:r>
      <w:r>
        <w:t>《河南省水环境功能区划》（</w:t>
      </w:r>
      <w:r>
        <w:t>2006</w:t>
      </w:r>
      <w:r>
        <w:t>年</w:t>
      </w:r>
      <w:r>
        <w:t>7</w:t>
      </w:r>
      <w:r>
        <w:t>月）；</w:t>
      </w:r>
    </w:p>
    <w:p w14:paraId="6142FAB2" w14:textId="77777777" w:rsidR="00E579B9" w:rsidRDefault="006A1398">
      <w:r>
        <w:t>（</w:t>
      </w:r>
      <w:r>
        <w:t>11</w:t>
      </w:r>
      <w:r>
        <w:t>）《河南省人民政府办公厅关于印发河南省城市集中式饮用水源保护区划的通知》（豫政办〔</w:t>
      </w:r>
      <w:r>
        <w:t>2007</w:t>
      </w:r>
      <w:r>
        <w:t>〕</w:t>
      </w:r>
      <w:r>
        <w:t>125</w:t>
      </w:r>
      <w:r>
        <w:t>号，</w:t>
      </w:r>
      <w:r>
        <w:t>2008</w:t>
      </w:r>
      <w:r>
        <w:t>年</w:t>
      </w:r>
      <w:r>
        <w:t>01</w:t>
      </w:r>
      <w:r>
        <w:t>月</w:t>
      </w:r>
      <w:r>
        <w:t>29</w:t>
      </w:r>
      <w:r>
        <w:t>日</w:t>
      </w:r>
      <w:r>
        <w:rPr>
          <w:rFonts w:hint="eastAsia"/>
        </w:rPr>
        <w:t>发布</w:t>
      </w:r>
      <w:r>
        <w:t>）；</w:t>
      </w:r>
    </w:p>
    <w:p w14:paraId="61985B20" w14:textId="77777777" w:rsidR="00E579B9" w:rsidRDefault="006A1398">
      <w:r>
        <w:t>（</w:t>
      </w:r>
      <w:r>
        <w:t>12</w:t>
      </w:r>
      <w:r>
        <w:t>）《河南省</w:t>
      </w:r>
      <w:r>
        <w:t>“</w:t>
      </w:r>
      <w:r>
        <w:t>十三五</w:t>
      </w:r>
      <w:r>
        <w:t>”</w:t>
      </w:r>
      <w:r>
        <w:t>生态环境保护规划》（</w:t>
      </w:r>
      <w:r>
        <w:rPr>
          <w:rFonts w:hint="eastAsia"/>
        </w:rPr>
        <w:t>豫政办〔</w:t>
      </w:r>
      <w:r>
        <w:rPr>
          <w:rFonts w:hint="eastAsia"/>
        </w:rPr>
        <w:t>2017</w:t>
      </w:r>
      <w:r>
        <w:rPr>
          <w:rFonts w:hint="eastAsia"/>
        </w:rPr>
        <w:t>〕</w:t>
      </w:r>
      <w:r>
        <w:rPr>
          <w:rFonts w:hint="eastAsia"/>
        </w:rPr>
        <w:t>77</w:t>
      </w:r>
      <w:r>
        <w:rPr>
          <w:rFonts w:hint="eastAsia"/>
        </w:rPr>
        <w:t>号，</w:t>
      </w:r>
      <w:bookmarkStart w:id="27" w:name="_Hlk535828743"/>
      <w:r>
        <w:t>2017</w:t>
      </w:r>
      <w:r>
        <w:t>年</w:t>
      </w:r>
      <w:r>
        <w:t>6</w:t>
      </w:r>
      <w:r>
        <w:t>月</w:t>
      </w:r>
      <w:r>
        <w:t>30</w:t>
      </w:r>
      <w:r>
        <w:t>日</w:t>
      </w:r>
      <w:bookmarkEnd w:id="27"/>
      <w:r>
        <w:rPr>
          <w:rFonts w:hint="eastAsia"/>
        </w:rPr>
        <w:t>发布</w:t>
      </w:r>
      <w:r>
        <w:t>）；</w:t>
      </w:r>
    </w:p>
    <w:p w14:paraId="2CECBA03" w14:textId="77777777" w:rsidR="00E579B9" w:rsidRDefault="006A1398">
      <w:r>
        <w:t>（</w:t>
      </w:r>
      <w:r>
        <w:t>13</w:t>
      </w:r>
      <w:r>
        <w:t>）《河南省污染防治攻坚战三年行动计划</w:t>
      </w:r>
      <w:r>
        <w:rPr>
          <w:rFonts w:hint="eastAsia"/>
        </w:rPr>
        <w:t>（</w:t>
      </w:r>
      <w:r>
        <w:t>2018-2020</w:t>
      </w:r>
      <w:r>
        <w:t>年</w:t>
      </w:r>
      <w:r>
        <w:rPr>
          <w:rFonts w:hint="eastAsia"/>
        </w:rPr>
        <w:t>）</w:t>
      </w:r>
      <w:r>
        <w:t>》（豫政﹝</w:t>
      </w:r>
      <w:r>
        <w:t>2018</w:t>
      </w:r>
      <w:r>
        <w:t>﹞</w:t>
      </w:r>
      <w:r>
        <w:t>30</w:t>
      </w:r>
      <w:r>
        <w:t>号，</w:t>
      </w:r>
      <w:r>
        <w:t>2018</w:t>
      </w:r>
      <w:r>
        <w:t>年</w:t>
      </w:r>
      <w:r>
        <w:t>09</w:t>
      </w:r>
      <w:r>
        <w:t>月</w:t>
      </w:r>
      <w:r>
        <w:t>21</w:t>
      </w:r>
      <w:r>
        <w:t>日</w:t>
      </w:r>
      <w:r>
        <w:rPr>
          <w:rFonts w:hint="eastAsia"/>
        </w:rPr>
        <w:t>发布</w:t>
      </w:r>
      <w:r>
        <w:t>）；</w:t>
      </w:r>
    </w:p>
    <w:p w14:paraId="10A8C156" w14:textId="77777777" w:rsidR="00E579B9" w:rsidRDefault="006A1398">
      <w:r>
        <w:t>（</w:t>
      </w:r>
      <w:r>
        <w:t>14</w:t>
      </w:r>
      <w:r>
        <w:t>）《河南省环境保护厅、河南省国土资源厅关于加强矿山采（选）矿扬尘综合治理的通知》（</w:t>
      </w:r>
      <w:proofErr w:type="gramStart"/>
      <w:r>
        <w:t>豫环文</w:t>
      </w:r>
      <w:proofErr w:type="gramEnd"/>
      <w:r>
        <w:t>〔</w:t>
      </w:r>
      <w:r>
        <w:t>2015</w:t>
      </w:r>
      <w:r>
        <w:t>〕</w:t>
      </w:r>
      <w:r>
        <w:t>107</w:t>
      </w:r>
      <w:r>
        <w:t>号，</w:t>
      </w:r>
      <w:r>
        <w:t>2015</w:t>
      </w:r>
      <w:r>
        <w:t>年</w:t>
      </w:r>
      <w:r>
        <w:t>5</w:t>
      </w:r>
      <w:r>
        <w:t>月</w:t>
      </w:r>
      <w:r>
        <w:t>22</w:t>
      </w:r>
      <w:r>
        <w:t>日</w:t>
      </w:r>
      <w:r>
        <w:rPr>
          <w:rFonts w:hint="eastAsia"/>
        </w:rPr>
        <w:t>发布</w:t>
      </w:r>
      <w:r>
        <w:t>）；</w:t>
      </w:r>
    </w:p>
    <w:p w14:paraId="350DB538" w14:textId="77777777" w:rsidR="00E579B9" w:rsidRDefault="006A1398">
      <w:r>
        <w:t>（</w:t>
      </w:r>
      <w:r>
        <w:t>15</w:t>
      </w:r>
      <w:r>
        <w:t>）</w:t>
      </w:r>
      <w:r>
        <w:rPr>
          <w:rFonts w:hint="eastAsia"/>
        </w:rPr>
        <w:t>《河南省矿山采选建设项目环境影响评价文件审批原则（修订）》（</w:t>
      </w:r>
      <w:proofErr w:type="gramStart"/>
      <w:r>
        <w:rPr>
          <w:rFonts w:hint="eastAsia"/>
        </w:rPr>
        <w:t>豫环办</w:t>
      </w:r>
      <w:proofErr w:type="gramEnd"/>
      <w:r>
        <w:rPr>
          <w:rFonts w:hint="eastAsia"/>
        </w:rPr>
        <w:t>〔</w:t>
      </w:r>
      <w:r>
        <w:rPr>
          <w:rFonts w:hint="eastAsia"/>
        </w:rPr>
        <w:t>2018</w:t>
      </w:r>
      <w:r>
        <w:rPr>
          <w:rFonts w:hint="eastAsia"/>
        </w:rPr>
        <w:t>〕</w:t>
      </w:r>
      <w:r>
        <w:rPr>
          <w:rFonts w:hint="eastAsia"/>
        </w:rPr>
        <w:t>209</w:t>
      </w:r>
      <w:r>
        <w:rPr>
          <w:rFonts w:hint="eastAsia"/>
        </w:rPr>
        <w:t>号，</w:t>
      </w:r>
      <w:r>
        <w:rPr>
          <w:rFonts w:hint="eastAsia"/>
        </w:rPr>
        <w:t>2</w:t>
      </w:r>
      <w:r>
        <w:t>018</w:t>
      </w:r>
      <w:r>
        <w:rPr>
          <w:rFonts w:hint="eastAsia"/>
        </w:rPr>
        <w:t>年</w:t>
      </w:r>
      <w:r>
        <w:rPr>
          <w:rFonts w:hint="eastAsia"/>
        </w:rPr>
        <w:t>1</w:t>
      </w:r>
      <w:r>
        <w:t>2</w:t>
      </w:r>
      <w:r>
        <w:rPr>
          <w:rFonts w:hint="eastAsia"/>
        </w:rPr>
        <w:t>月</w:t>
      </w:r>
      <w:r>
        <w:rPr>
          <w:rFonts w:hint="eastAsia"/>
        </w:rPr>
        <w:t>2</w:t>
      </w:r>
      <w:r>
        <w:t>6</w:t>
      </w:r>
      <w:r>
        <w:rPr>
          <w:rFonts w:hint="eastAsia"/>
        </w:rPr>
        <w:t>日发布）</w:t>
      </w:r>
      <w:r>
        <w:t>；</w:t>
      </w:r>
    </w:p>
    <w:p w14:paraId="69EDE8ED" w14:textId="77777777" w:rsidR="00E579B9" w:rsidRDefault="006A1398">
      <w:r>
        <w:rPr>
          <w:rFonts w:hint="eastAsia"/>
        </w:rPr>
        <w:t>（</w:t>
      </w:r>
      <w:r>
        <w:rPr>
          <w:rFonts w:hint="eastAsia"/>
        </w:rPr>
        <w:t>1</w:t>
      </w:r>
      <w:r>
        <w:t>6</w:t>
      </w:r>
      <w:r>
        <w:rPr>
          <w:rFonts w:hint="eastAsia"/>
        </w:rPr>
        <w:t>）《河南省县级集中式饮用水水源保护区划》（豫政办〔</w:t>
      </w:r>
      <w:r>
        <w:rPr>
          <w:rFonts w:hint="eastAsia"/>
        </w:rPr>
        <w:t>2</w:t>
      </w:r>
      <w:r>
        <w:t>013</w:t>
      </w:r>
      <w:r>
        <w:t>〕</w:t>
      </w:r>
      <w:r>
        <w:rPr>
          <w:rFonts w:hint="eastAsia"/>
        </w:rPr>
        <w:t>1</w:t>
      </w:r>
      <w:r>
        <w:t>07</w:t>
      </w:r>
      <w:r>
        <w:rPr>
          <w:rFonts w:hint="eastAsia"/>
        </w:rPr>
        <w:t>号，</w:t>
      </w:r>
      <w:r>
        <w:rPr>
          <w:rFonts w:hint="eastAsia"/>
        </w:rPr>
        <w:t>2</w:t>
      </w:r>
      <w:r>
        <w:t>014</w:t>
      </w:r>
      <w:r>
        <w:rPr>
          <w:rFonts w:hint="eastAsia"/>
        </w:rPr>
        <w:t>年</w:t>
      </w:r>
      <w:r>
        <w:rPr>
          <w:rFonts w:hint="eastAsia"/>
        </w:rPr>
        <w:t>1</w:t>
      </w:r>
      <w:r>
        <w:rPr>
          <w:rFonts w:hint="eastAsia"/>
        </w:rPr>
        <w:t>月</w:t>
      </w:r>
      <w:r>
        <w:rPr>
          <w:rFonts w:hint="eastAsia"/>
        </w:rPr>
        <w:t>7</w:t>
      </w:r>
      <w:r>
        <w:rPr>
          <w:rFonts w:hint="eastAsia"/>
        </w:rPr>
        <w:t>日发布）；</w:t>
      </w:r>
    </w:p>
    <w:p w14:paraId="670DC627" w14:textId="287E78A9" w:rsidR="00E579B9" w:rsidRPr="002B5221" w:rsidRDefault="006A1398">
      <w:r>
        <w:rPr>
          <w:rFonts w:hint="eastAsia"/>
        </w:rPr>
        <w:t>（</w:t>
      </w:r>
      <w:r>
        <w:rPr>
          <w:rFonts w:hint="eastAsia"/>
        </w:rPr>
        <w:t>1</w:t>
      </w:r>
      <w:r>
        <w:t>7</w:t>
      </w:r>
      <w:r>
        <w:rPr>
          <w:rFonts w:hint="eastAsia"/>
        </w:rPr>
        <w:t>）《河南省环境保护厅关于深化建设项目环境影响评价审批制度改革的实施</w:t>
      </w:r>
      <w:r w:rsidRPr="002B5221">
        <w:rPr>
          <w:rFonts w:hint="eastAsia"/>
        </w:rPr>
        <w:t>意见》（</w:t>
      </w:r>
      <w:proofErr w:type="gramStart"/>
      <w:r w:rsidRPr="002B5221">
        <w:rPr>
          <w:rFonts w:hint="eastAsia"/>
        </w:rPr>
        <w:t>豫环文</w:t>
      </w:r>
      <w:proofErr w:type="gramEnd"/>
      <w:r w:rsidRPr="002B5221">
        <w:rPr>
          <w:rFonts w:hint="eastAsia"/>
        </w:rPr>
        <w:t>〔</w:t>
      </w:r>
      <w:r w:rsidRPr="002B5221">
        <w:rPr>
          <w:rFonts w:hint="eastAsia"/>
        </w:rPr>
        <w:t>2015</w:t>
      </w:r>
      <w:r w:rsidRPr="002B5221">
        <w:rPr>
          <w:rFonts w:hint="eastAsia"/>
        </w:rPr>
        <w:t>〕</w:t>
      </w:r>
      <w:r w:rsidRPr="002B5221">
        <w:rPr>
          <w:rFonts w:hint="eastAsia"/>
        </w:rPr>
        <w:t>33</w:t>
      </w:r>
      <w:r w:rsidRPr="002B5221">
        <w:rPr>
          <w:rFonts w:hint="eastAsia"/>
        </w:rPr>
        <w:t>号，</w:t>
      </w:r>
      <w:r w:rsidRPr="002B5221">
        <w:rPr>
          <w:rFonts w:hint="eastAsia"/>
        </w:rPr>
        <w:t>2</w:t>
      </w:r>
      <w:r w:rsidRPr="002B5221">
        <w:t>015</w:t>
      </w:r>
      <w:r w:rsidRPr="002B5221">
        <w:rPr>
          <w:rFonts w:hint="eastAsia"/>
        </w:rPr>
        <w:t>年</w:t>
      </w:r>
      <w:r w:rsidRPr="002B5221">
        <w:rPr>
          <w:rFonts w:hint="eastAsia"/>
        </w:rPr>
        <w:t>1</w:t>
      </w:r>
      <w:r w:rsidRPr="002B5221">
        <w:rPr>
          <w:rFonts w:hint="eastAsia"/>
        </w:rPr>
        <w:t>月</w:t>
      </w:r>
      <w:r w:rsidRPr="002B5221">
        <w:rPr>
          <w:rFonts w:hint="eastAsia"/>
        </w:rPr>
        <w:t>2</w:t>
      </w:r>
      <w:r w:rsidRPr="002B5221">
        <w:t>8</w:t>
      </w:r>
      <w:r w:rsidRPr="002B5221">
        <w:rPr>
          <w:rFonts w:hint="eastAsia"/>
        </w:rPr>
        <w:t>日发布）；</w:t>
      </w:r>
    </w:p>
    <w:p w14:paraId="16E7A0F9" w14:textId="3B947326" w:rsidR="00C74622" w:rsidRPr="002B5221" w:rsidRDefault="00C74622" w:rsidP="00C74622">
      <w:r w:rsidRPr="002B5221">
        <w:rPr>
          <w:rFonts w:hint="eastAsia"/>
        </w:rPr>
        <w:t>（</w:t>
      </w:r>
      <w:r w:rsidRPr="002B5221">
        <w:rPr>
          <w:rFonts w:hint="eastAsia"/>
        </w:rPr>
        <w:t>18</w:t>
      </w:r>
      <w:r w:rsidRPr="002B5221">
        <w:rPr>
          <w:rFonts w:hint="eastAsia"/>
        </w:rPr>
        <w:t>）《河南省水土保持规划》（</w:t>
      </w:r>
      <w:r w:rsidRPr="002B5221">
        <w:rPr>
          <w:rFonts w:hint="eastAsia"/>
        </w:rPr>
        <w:t>2016</w:t>
      </w:r>
      <w:r w:rsidRPr="002B5221">
        <w:rPr>
          <w:rFonts w:hint="eastAsia"/>
        </w:rPr>
        <w:t>－</w:t>
      </w:r>
      <w:r w:rsidRPr="002B5221">
        <w:rPr>
          <w:rFonts w:hint="eastAsia"/>
        </w:rPr>
        <w:t>2030</w:t>
      </w:r>
      <w:r w:rsidRPr="002B5221">
        <w:rPr>
          <w:rFonts w:hint="eastAsia"/>
        </w:rPr>
        <w:t>年）；</w:t>
      </w:r>
    </w:p>
    <w:p w14:paraId="1677C241" w14:textId="60638551" w:rsidR="00E579B9" w:rsidRDefault="006A1398">
      <w:r>
        <w:rPr>
          <w:rFonts w:hint="eastAsia"/>
        </w:rPr>
        <w:t>（</w:t>
      </w:r>
      <w:r>
        <w:rPr>
          <w:rFonts w:hint="eastAsia"/>
        </w:rPr>
        <w:t>1</w:t>
      </w:r>
      <w:r w:rsidR="00C74622">
        <w:rPr>
          <w:rFonts w:hint="eastAsia"/>
        </w:rPr>
        <w:t>9</w:t>
      </w:r>
      <w:r>
        <w:rPr>
          <w:rFonts w:hint="eastAsia"/>
        </w:rPr>
        <w:t>）《驻马店市污染防治攻坚战三年行动计划（</w:t>
      </w:r>
      <w:r>
        <w:rPr>
          <w:rFonts w:hint="eastAsia"/>
        </w:rPr>
        <w:t>2018</w:t>
      </w:r>
      <w:r>
        <w:rPr>
          <w:rFonts w:hint="eastAsia"/>
        </w:rPr>
        <w:t>—</w:t>
      </w:r>
      <w:r>
        <w:rPr>
          <w:rFonts w:hint="eastAsia"/>
        </w:rPr>
        <w:t>2020</w:t>
      </w:r>
      <w:r>
        <w:rPr>
          <w:rFonts w:hint="eastAsia"/>
        </w:rPr>
        <w:t>年）》（驻政办﹝</w:t>
      </w:r>
      <w:r>
        <w:rPr>
          <w:rFonts w:hint="eastAsia"/>
        </w:rPr>
        <w:t>201</w:t>
      </w:r>
      <w:r>
        <w:t>8</w:t>
      </w:r>
      <w:r>
        <w:rPr>
          <w:rFonts w:hint="eastAsia"/>
        </w:rPr>
        <w:t>﹞</w:t>
      </w:r>
      <w:r>
        <w:t>157</w:t>
      </w:r>
      <w:r>
        <w:rPr>
          <w:rFonts w:hint="eastAsia"/>
        </w:rPr>
        <w:t>号，</w:t>
      </w:r>
      <w:r>
        <w:t>2018</w:t>
      </w:r>
      <w:r>
        <w:rPr>
          <w:rFonts w:hint="eastAsia"/>
        </w:rPr>
        <w:t>年</w:t>
      </w:r>
      <w:r>
        <w:rPr>
          <w:rFonts w:hint="eastAsia"/>
        </w:rPr>
        <w:t>1</w:t>
      </w:r>
      <w:r>
        <w:t>0</w:t>
      </w:r>
      <w:r>
        <w:rPr>
          <w:rFonts w:hint="eastAsia"/>
        </w:rPr>
        <w:t>月</w:t>
      </w:r>
      <w:r>
        <w:rPr>
          <w:rFonts w:hint="eastAsia"/>
        </w:rPr>
        <w:t>2</w:t>
      </w:r>
      <w:r>
        <w:t>9</w:t>
      </w:r>
      <w:r>
        <w:rPr>
          <w:rFonts w:hint="eastAsia"/>
        </w:rPr>
        <w:t>日发布）；</w:t>
      </w:r>
    </w:p>
    <w:p w14:paraId="0B63E34D" w14:textId="2B7E91F9" w:rsidR="00E579B9" w:rsidRDefault="006A1398">
      <w:r>
        <w:t>（</w:t>
      </w:r>
      <w:r w:rsidR="00C74622">
        <w:rPr>
          <w:rFonts w:hint="eastAsia"/>
        </w:rPr>
        <w:t>20</w:t>
      </w:r>
      <w:r>
        <w:t>）《驻马店市</w:t>
      </w:r>
      <w:r>
        <w:t>“</w:t>
      </w:r>
      <w:r>
        <w:t>十三五</w:t>
      </w:r>
      <w:r>
        <w:t>”</w:t>
      </w:r>
      <w:r>
        <w:t>生态环境保护规划》（驻政办〔</w:t>
      </w:r>
      <w:r>
        <w:t>2017</w:t>
      </w:r>
      <w:r>
        <w:t>〕</w:t>
      </w:r>
      <w:r>
        <w:t>151</w:t>
      </w:r>
      <w:r>
        <w:t>号，</w:t>
      </w:r>
      <w:r>
        <w:t>2018</w:t>
      </w:r>
      <w:r>
        <w:t>年</w:t>
      </w:r>
      <w:r>
        <w:t>01</w:t>
      </w:r>
      <w:r>
        <w:t>月</w:t>
      </w:r>
      <w:r>
        <w:t>11</w:t>
      </w:r>
      <w:r>
        <w:t>日</w:t>
      </w:r>
      <w:r>
        <w:rPr>
          <w:rFonts w:hint="eastAsia"/>
        </w:rPr>
        <w:t>发布</w:t>
      </w:r>
      <w:r>
        <w:t>）；</w:t>
      </w:r>
    </w:p>
    <w:p w14:paraId="1213B07B" w14:textId="0C6210B9" w:rsidR="00E579B9" w:rsidRDefault="006A1398">
      <w:r>
        <w:t>（</w:t>
      </w:r>
      <w:r w:rsidR="00C74622">
        <w:rPr>
          <w:rFonts w:hint="eastAsia"/>
        </w:rPr>
        <w:t>21</w:t>
      </w:r>
      <w:r>
        <w:t>）《驻马店市矿产资源总体规划》（</w:t>
      </w:r>
      <w:r>
        <w:t>2016-2020</w:t>
      </w:r>
      <w:r>
        <w:t>年）（</w:t>
      </w:r>
      <w:r>
        <w:t>2018</w:t>
      </w:r>
      <w:r>
        <w:t>年</w:t>
      </w:r>
      <w:r>
        <w:t>08</w:t>
      </w:r>
      <w:r>
        <w:t>月</w:t>
      </w:r>
      <w:r>
        <w:t>13</w:t>
      </w:r>
      <w:r>
        <w:t>日</w:t>
      </w:r>
      <w:r>
        <w:rPr>
          <w:rFonts w:hint="eastAsia"/>
        </w:rPr>
        <w:t>发布</w:t>
      </w:r>
      <w:r>
        <w:t>）</w:t>
      </w:r>
      <w:r>
        <w:rPr>
          <w:rFonts w:hint="eastAsia"/>
        </w:rPr>
        <w:t>；</w:t>
      </w:r>
    </w:p>
    <w:p w14:paraId="1866184E" w14:textId="09D79E4A" w:rsidR="00E579B9" w:rsidRDefault="006A1398">
      <w:r>
        <w:rPr>
          <w:rFonts w:hint="eastAsia"/>
        </w:rPr>
        <w:lastRenderedPageBreak/>
        <w:t>（</w:t>
      </w:r>
      <w:r>
        <w:t>2</w:t>
      </w:r>
      <w:r w:rsidR="00C74622">
        <w:rPr>
          <w:rFonts w:hint="eastAsia"/>
        </w:rPr>
        <w:t>2</w:t>
      </w:r>
      <w:r>
        <w:rPr>
          <w:rFonts w:hint="eastAsia"/>
        </w:rPr>
        <w:t>）《驻马店市人民政府办公室关于印发驻马店市露天矿山综合整治三年行动计划（</w:t>
      </w:r>
      <w:r>
        <w:rPr>
          <w:rFonts w:hint="eastAsia"/>
        </w:rPr>
        <w:t>2018</w:t>
      </w:r>
      <w:r>
        <w:rPr>
          <w:rFonts w:hint="eastAsia"/>
        </w:rPr>
        <w:t>—</w:t>
      </w:r>
      <w:r>
        <w:rPr>
          <w:rFonts w:hint="eastAsia"/>
        </w:rPr>
        <w:t>2020</w:t>
      </w:r>
      <w:r>
        <w:rPr>
          <w:rFonts w:hint="eastAsia"/>
        </w:rPr>
        <w:t>年）实施方案的通知》（驻政办</w:t>
      </w:r>
      <w:r>
        <w:rPr>
          <w:rFonts w:hint="eastAsia"/>
        </w:rPr>
        <w:t>[2018]190</w:t>
      </w:r>
      <w:r>
        <w:rPr>
          <w:rFonts w:hint="eastAsia"/>
        </w:rPr>
        <w:t>号）；</w:t>
      </w:r>
    </w:p>
    <w:p w14:paraId="1FBF35F7" w14:textId="48249A27" w:rsidR="00E579B9" w:rsidRDefault="006A1398">
      <w:r>
        <w:rPr>
          <w:rFonts w:hint="eastAsia"/>
        </w:rPr>
        <w:t>（</w:t>
      </w:r>
      <w:r>
        <w:t>2</w:t>
      </w:r>
      <w:r w:rsidR="00C74622">
        <w:rPr>
          <w:rFonts w:hint="eastAsia"/>
        </w:rPr>
        <w:t>3</w:t>
      </w:r>
      <w:r>
        <w:rPr>
          <w:rFonts w:hint="eastAsia"/>
        </w:rPr>
        <w:t>）《关于印发驻马店市矿山企业综合整治专项行动方案的通知》。</w:t>
      </w:r>
    </w:p>
    <w:p w14:paraId="0585FF1A" w14:textId="77777777" w:rsidR="00E579B9" w:rsidRDefault="006A1398">
      <w:pPr>
        <w:pStyle w:val="3"/>
        <w:ind w:firstLine="560"/>
      </w:pPr>
      <w:bookmarkStart w:id="28" w:name="_Toc535847413"/>
      <w:r>
        <w:t>2.1.3</w:t>
      </w:r>
      <w:r>
        <w:t>技术规范</w:t>
      </w:r>
      <w:bookmarkEnd w:id="28"/>
    </w:p>
    <w:p w14:paraId="00984F08" w14:textId="77777777" w:rsidR="00E579B9" w:rsidRDefault="006A1398">
      <w:r>
        <w:t>（</w:t>
      </w:r>
      <w:r>
        <w:t>1</w:t>
      </w:r>
      <w:r>
        <w:t>）《环境影响评价技术导则总则》（</w:t>
      </w:r>
      <w:r>
        <w:t>HJ2.1-2016</w:t>
      </w:r>
      <w:r>
        <w:t>）；</w:t>
      </w:r>
    </w:p>
    <w:p w14:paraId="6E1C9D6D" w14:textId="77777777" w:rsidR="00E579B9" w:rsidRDefault="006A1398">
      <w:r>
        <w:t>（</w:t>
      </w:r>
      <w:r>
        <w:t>2</w:t>
      </w:r>
      <w:r>
        <w:t>）《环境影响评价技术导则大气环境》（</w:t>
      </w:r>
      <w:r>
        <w:t>HJ2.2-2018</w:t>
      </w:r>
      <w:r>
        <w:t>）；</w:t>
      </w:r>
    </w:p>
    <w:p w14:paraId="5AD04F4A" w14:textId="77777777" w:rsidR="00E579B9" w:rsidRDefault="006A1398">
      <w:r>
        <w:t>（</w:t>
      </w:r>
      <w:r>
        <w:t>3</w:t>
      </w:r>
      <w:r>
        <w:t>）《环境影响评价技术导则</w:t>
      </w:r>
      <w:r>
        <w:rPr>
          <w:rFonts w:hint="eastAsia"/>
        </w:rPr>
        <w:t>地表水</w:t>
      </w:r>
      <w:r>
        <w:t>环境》（</w:t>
      </w:r>
      <w:r>
        <w:t>HJ2.3-2018</w:t>
      </w:r>
      <w:r>
        <w:rPr>
          <w:rFonts w:hint="eastAsia"/>
        </w:rPr>
        <w:t>）</w:t>
      </w:r>
      <w:r>
        <w:t>；</w:t>
      </w:r>
    </w:p>
    <w:p w14:paraId="047EB675" w14:textId="77777777" w:rsidR="00E579B9" w:rsidRDefault="006A1398">
      <w:r>
        <w:t>（</w:t>
      </w:r>
      <w:r>
        <w:t>4</w:t>
      </w:r>
      <w:r>
        <w:t>）《环境影响评价技术导则地下水环境》（</w:t>
      </w:r>
      <w:r>
        <w:t>HJ610-2016</w:t>
      </w:r>
      <w:r>
        <w:t>）；</w:t>
      </w:r>
    </w:p>
    <w:p w14:paraId="0C2A618D" w14:textId="77777777" w:rsidR="00E579B9" w:rsidRDefault="006A1398">
      <w:r>
        <w:t>（</w:t>
      </w:r>
      <w:r>
        <w:t>5</w:t>
      </w:r>
      <w:r>
        <w:t>）《环境影响评价技术导则声环境》（</w:t>
      </w:r>
      <w:r>
        <w:t>HJ2.4-2009</w:t>
      </w:r>
      <w:r>
        <w:t>）；</w:t>
      </w:r>
    </w:p>
    <w:p w14:paraId="50ED16CB" w14:textId="77777777" w:rsidR="00E579B9" w:rsidRDefault="006A1398">
      <w:r>
        <w:t>（</w:t>
      </w:r>
      <w:r>
        <w:t>6</w:t>
      </w:r>
      <w:r>
        <w:t>）《环境影响评价技术导则生态影响》（</w:t>
      </w:r>
      <w:r>
        <w:t>HJ19-2011</w:t>
      </w:r>
      <w:r>
        <w:t>）；</w:t>
      </w:r>
    </w:p>
    <w:p w14:paraId="329048E8" w14:textId="77777777" w:rsidR="00E579B9" w:rsidRDefault="006A1398">
      <w:r>
        <w:t>（</w:t>
      </w:r>
      <w:r>
        <w:t>7</w:t>
      </w:r>
      <w:r>
        <w:t>）《建设项目环境风险评价技术导则》（</w:t>
      </w:r>
      <w:r>
        <w:t>HJ/T169-2018</w:t>
      </w:r>
      <w:r>
        <w:t>）；</w:t>
      </w:r>
    </w:p>
    <w:p w14:paraId="6449B9FB" w14:textId="77777777" w:rsidR="00E579B9" w:rsidRDefault="006A1398">
      <w:r>
        <w:t>（</w:t>
      </w:r>
      <w:r>
        <w:t>8</w:t>
      </w:r>
      <w:r>
        <w:t>）《生态环境状况评价技术规范》</w:t>
      </w:r>
      <w:r>
        <w:rPr>
          <w:rFonts w:hint="eastAsia"/>
        </w:rPr>
        <w:t>（</w:t>
      </w:r>
      <w:r>
        <w:t>HJ192-2015</w:t>
      </w:r>
      <w:r>
        <w:rPr>
          <w:rFonts w:hint="eastAsia"/>
        </w:rPr>
        <w:t>）</w:t>
      </w:r>
      <w:r>
        <w:t>；</w:t>
      </w:r>
    </w:p>
    <w:p w14:paraId="7B70B9E2" w14:textId="77777777" w:rsidR="00E579B9" w:rsidRDefault="006A1398">
      <w:r>
        <w:t>（</w:t>
      </w:r>
      <w:r>
        <w:t>9</w:t>
      </w:r>
      <w:r>
        <w:t>）《开发建设项目水土保持方案技术规范》（</w:t>
      </w:r>
      <w:r>
        <w:t>GB50433-2008</w:t>
      </w:r>
      <w:r>
        <w:t>）；</w:t>
      </w:r>
    </w:p>
    <w:p w14:paraId="2E97FBED" w14:textId="77777777" w:rsidR="00E579B9" w:rsidRDefault="006A1398">
      <w:r>
        <w:t>（</w:t>
      </w:r>
      <w:r>
        <w:t>10</w:t>
      </w:r>
      <w:r>
        <w:t>）《危险化学品重大危险源辨识》（</w:t>
      </w:r>
      <w:r>
        <w:t>GB1828-2009</w:t>
      </w:r>
      <w:r>
        <w:t>）；</w:t>
      </w:r>
    </w:p>
    <w:p w14:paraId="17A8916F" w14:textId="77777777" w:rsidR="00E579B9" w:rsidRDefault="006A1398">
      <w:r>
        <w:t>（</w:t>
      </w:r>
      <w:r>
        <w:t>11</w:t>
      </w:r>
      <w:r>
        <w:t>）《矿山生态环境保护与恢复治理技术规范（试行）》</w:t>
      </w:r>
      <w:bookmarkStart w:id="29" w:name="_Hlk535831465"/>
      <w:r>
        <w:t>（</w:t>
      </w:r>
      <w:r>
        <w:t>HJ651-2013</w:t>
      </w:r>
      <w:r>
        <w:t>）</w:t>
      </w:r>
      <w:bookmarkEnd w:id="29"/>
      <w:r>
        <w:t>；</w:t>
      </w:r>
    </w:p>
    <w:p w14:paraId="38E01D1A" w14:textId="77777777" w:rsidR="00E579B9" w:rsidRDefault="006A1398">
      <w:r>
        <w:t>（</w:t>
      </w:r>
      <w:r>
        <w:t>12</w:t>
      </w:r>
      <w:r>
        <w:t>）《环境噪声与振动控制工程技术导则》（</w:t>
      </w:r>
      <w:r>
        <w:t>HJ2034-2013</w:t>
      </w:r>
      <w:r>
        <w:t>）；</w:t>
      </w:r>
    </w:p>
    <w:p w14:paraId="08C936C1" w14:textId="77777777" w:rsidR="00E579B9" w:rsidRDefault="006A1398">
      <w:r>
        <w:t>（</w:t>
      </w:r>
      <w:r>
        <w:t>13</w:t>
      </w:r>
      <w:r>
        <w:t>）《突发环境事件应急监测技术规范》（</w:t>
      </w:r>
      <w:r>
        <w:t>HJ589-2010</w:t>
      </w:r>
      <w:r>
        <w:t>）；</w:t>
      </w:r>
    </w:p>
    <w:p w14:paraId="2A464875" w14:textId="77777777" w:rsidR="00E579B9" w:rsidRDefault="006A1398">
      <w:r>
        <w:t>（</w:t>
      </w:r>
      <w:r>
        <w:t>14</w:t>
      </w:r>
      <w:r>
        <w:t>）《矿山生态环境保护与恢复治理技术规范（试行）》（</w:t>
      </w:r>
      <w:r>
        <w:t>HJ651-2013</w:t>
      </w:r>
      <w:r>
        <w:t>）；</w:t>
      </w:r>
    </w:p>
    <w:p w14:paraId="655668C6" w14:textId="77777777" w:rsidR="00E579B9" w:rsidRDefault="006A1398">
      <w:pPr>
        <w:pStyle w:val="3"/>
        <w:ind w:firstLine="560"/>
      </w:pPr>
      <w:bookmarkStart w:id="30" w:name="_Toc535847414"/>
      <w:r>
        <w:t>2.1.4</w:t>
      </w:r>
      <w:r>
        <w:t>项目依据</w:t>
      </w:r>
      <w:bookmarkEnd w:id="30"/>
    </w:p>
    <w:p w14:paraId="3EFE5D94" w14:textId="77777777" w:rsidR="00E579B9" w:rsidRDefault="006A1398">
      <w:r>
        <w:t>（</w:t>
      </w:r>
      <w:r>
        <w:t>1</w:t>
      </w:r>
      <w:r>
        <w:t>）</w:t>
      </w:r>
      <w:r>
        <w:rPr>
          <w:rFonts w:hint="eastAsia"/>
        </w:rPr>
        <w:t>本项目环境影响评价</w:t>
      </w:r>
      <w:r>
        <w:t>委托书；</w:t>
      </w:r>
      <w:r>
        <w:rPr>
          <w:rFonts w:hint="eastAsia"/>
        </w:rPr>
        <w:t>（附件</w:t>
      </w:r>
      <w:r>
        <w:rPr>
          <w:rFonts w:hint="eastAsia"/>
        </w:rPr>
        <w:t>1</w:t>
      </w:r>
      <w:r>
        <w:rPr>
          <w:rFonts w:hint="eastAsia"/>
        </w:rPr>
        <w:t>）</w:t>
      </w:r>
    </w:p>
    <w:p w14:paraId="3F58D4F3" w14:textId="77777777" w:rsidR="00E579B9" w:rsidRDefault="006A1398">
      <w:r>
        <w:t>（</w:t>
      </w:r>
      <w:r>
        <w:t>2</w:t>
      </w:r>
      <w:r>
        <w:t>）</w:t>
      </w:r>
      <w:r>
        <w:rPr>
          <w:rFonts w:hint="eastAsia"/>
        </w:rPr>
        <w:t>《驻马店市驿城区李尧建筑石料用大理岩矿矿产资源开发利用方案》，河南省博奥矿产资源开发技术服务有限公司，</w:t>
      </w:r>
      <w:r>
        <w:rPr>
          <w:rFonts w:hint="eastAsia"/>
        </w:rPr>
        <w:t>2019</w:t>
      </w:r>
      <w:r>
        <w:rPr>
          <w:rFonts w:hint="eastAsia"/>
        </w:rPr>
        <w:t>年</w:t>
      </w:r>
      <w:r>
        <w:t>12</w:t>
      </w:r>
      <w:r>
        <w:rPr>
          <w:rFonts w:hint="eastAsia"/>
        </w:rPr>
        <w:t>月</w:t>
      </w:r>
      <w:r>
        <w:t>；</w:t>
      </w:r>
    </w:p>
    <w:p w14:paraId="4DEE547B" w14:textId="77777777" w:rsidR="00E579B9" w:rsidRDefault="006A1398">
      <w:r>
        <w:rPr>
          <w:rFonts w:hint="eastAsia"/>
        </w:rPr>
        <w:t>（</w:t>
      </w:r>
      <w:r>
        <w:rPr>
          <w:rFonts w:hint="eastAsia"/>
        </w:rPr>
        <w:t>3</w:t>
      </w:r>
      <w:r>
        <w:rPr>
          <w:rFonts w:hint="eastAsia"/>
        </w:rPr>
        <w:t>）《驻马店市驿城区李尧建筑石料用大理岩矿资源储量报告》，河南省博奥矿产资源开发技术服务有限公司，</w:t>
      </w:r>
      <w:r>
        <w:rPr>
          <w:rFonts w:hint="eastAsia"/>
        </w:rPr>
        <w:t>2019</w:t>
      </w:r>
      <w:r>
        <w:rPr>
          <w:rFonts w:hint="eastAsia"/>
        </w:rPr>
        <w:t>年</w:t>
      </w:r>
      <w:r>
        <w:t>5</w:t>
      </w:r>
      <w:r>
        <w:rPr>
          <w:rFonts w:hint="eastAsia"/>
        </w:rPr>
        <w:t>月</w:t>
      </w:r>
      <w:r>
        <w:t>；</w:t>
      </w:r>
    </w:p>
    <w:p w14:paraId="4B2BC33B" w14:textId="77777777" w:rsidR="00E579B9" w:rsidRDefault="006A1398">
      <w:r>
        <w:rPr>
          <w:rFonts w:hint="eastAsia"/>
        </w:rPr>
        <w:t>（</w:t>
      </w:r>
      <w:r>
        <w:rPr>
          <w:rFonts w:hint="eastAsia"/>
        </w:rPr>
        <w:t>4</w:t>
      </w:r>
      <w:r>
        <w:rPr>
          <w:rFonts w:hint="eastAsia"/>
        </w:rPr>
        <w:t>）关于《驻马店市驿城区李尧建筑石料用大理岩矿资源储量报告》矿产资源储量评审备案证明（驻国土</w:t>
      </w:r>
      <w:r>
        <w:t>资</w:t>
      </w:r>
      <w:r>
        <w:rPr>
          <w:rFonts w:hint="eastAsia"/>
        </w:rPr>
        <w:t>储备</w:t>
      </w:r>
      <w:r>
        <w:t>字（</w:t>
      </w:r>
      <w:r>
        <w:rPr>
          <w:rFonts w:hint="eastAsia"/>
        </w:rPr>
        <w:t>2019</w:t>
      </w:r>
      <w:r>
        <w:t>）</w:t>
      </w:r>
      <w:r>
        <w:rPr>
          <w:rFonts w:hint="eastAsia"/>
        </w:rPr>
        <w:t>第</w:t>
      </w:r>
      <w:r>
        <w:rPr>
          <w:rFonts w:hint="eastAsia"/>
        </w:rPr>
        <w:t>01</w:t>
      </w:r>
      <w:r>
        <w:rPr>
          <w:rFonts w:hint="eastAsia"/>
        </w:rPr>
        <w:t>号）</w:t>
      </w:r>
      <w:r>
        <w:t>；</w:t>
      </w:r>
    </w:p>
    <w:p w14:paraId="68ED9263" w14:textId="77777777" w:rsidR="00E579B9" w:rsidRDefault="006A1398">
      <w:r>
        <w:t>（</w:t>
      </w:r>
      <w:r>
        <w:t>4</w:t>
      </w:r>
      <w:r>
        <w:t>）本项目区环境现状勘探、调查的相关资料；</w:t>
      </w:r>
    </w:p>
    <w:p w14:paraId="7D15C5A4" w14:textId="77777777" w:rsidR="00E579B9" w:rsidRDefault="006A1398">
      <w:r>
        <w:t>（</w:t>
      </w:r>
      <w:r>
        <w:t>5</w:t>
      </w:r>
      <w:r>
        <w:t>）建设单位提供的其他相关技术资料。</w:t>
      </w:r>
    </w:p>
    <w:p w14:paraId="474C1113" w14:textId="77777777" w:rsidR="00E579B9" w:rsidRDefault="006A1398">
      <w:pPr>
        <w:pStyle w:val="2"/>
        <w:ind w:firstLine="560"/>
      </w:pPr>
      <w:bookmarkStart w:id="31" w:name="_Toc535847420"/>
      <w:bookmarkStart w:id="32" w:name="_Toc33021781"/>
      <w:bookmarkStart w:id="33" w:name="_Toc535847415"/>
      <w:r>
        <w:rPr>
          <w:rFonts w:hint="eastAsia"/>
        </w:rPr>
        <w:lastRenderedPageBreak/>
        <w:t>2.</w:t>
      </w:r>
      <w:r>
        <w:t>2</w:t>
      </w:r>
      <w:r>
        <w:rPr>
          <w:rFonts w:hint="eastAsia"/>
        </w:rPr>
        <w:t>评价对象</w:t>
      </w:r>
      <w:bookmarkEnd w:id="31"/>
      <w:bookmarkEnd w:id="32"/>
    </w:p>
    <w:p w14:paraId="4C37E057" w14:textId="77777777" w:rsidR="00E579B9" w:rsidRDefault="006A1398">
      <w:r>
        <w:rPr>
          <w:rFonts w:hint="eastAsia"/>
        </w:rPr>
        <w:t>本次环境影响评价对象为</w:t>
      </w:r>
      <w:r>
        <w:t>驻马店市</w:t>
      </w:r>
      <w:proofErr w:type="gramStart"/>
      <w:r>
        <w:t>驿</w:t>
      </w:r>
      <w:proofErr w:type="gramEnd"/>
      <w:r>
        <w:t>城区李</w:t>
      </w:r>
      <w:proofErr w:type="gramStart"/>
      <w:r>
        <w:t>尧建筑</w:t>
      </w:r>
      <w:proofErr w:type="gramEnd"/>
      <w:r>
        <w:t>石料用大理岩矿露天开采</w:t>
      </w:r>
      <w:r>
        <w:rPr>
          <w:rFonts w:hint="eastAsia"/>
        </w:rPr>
        <w:t>和</w:t>
      </w:r>
      <w:r>
        <w:t>破碎、筛分，</w:t>
      </w:r>
      <w:r>
        <w:rPr>
          <w:rFonts w:hint="eastAsia"/>
        </w:rPr>
        <w:t>年开采、</w:t>
      </w:r>
      <w:r>
        <w:t>破碎、筛分</w:t>
      </w:r>
      <w:r>
        <w:rPr>
          <w:rFonts w:hint="eastAsia"/>
        </w:rPr>
        <w:t>规模</w:t>
      </w:r>
      <w:r>
        <w:t>230</w:t>
      </w:r>
      <w:r>
        <w:rPr>
          <w:rFonts w:hint="eastAsia"/>
        </w:rPr>
        <w:t>万吨。</w:t>
      </w:r>
    </w:p>
    <w:p w14:paraId="16A64CAA" w14:textId="77777777" w:rsidR="00E579B9" w:rsidRDefault="006A1398">
      <w:pPr>
        <w:pStyle w:val="2"/>
        <w:ind w:firstLine="560"/>
      </w:pPr>
      <w:bookmarkStart w:id="34" w:name="_Toc535847419"/>
      <w:bookmarkStart w:id="35" w:name="_Toc33021782"/>
      <w:bookmarkEnd w:id="33"/>
      <w:r>
        <w:t>2.3</w:t>
      </w:r>
      <w:r>
        <w:rPr>
          <w:rFonts w:hint="eastAsia"/>
        </w:rPr>
        <w:t>环境功能区划</w:t>
      </w:r>
      <w:bookmarkEnd w:id="34"/>
      <w:bookmarkEnd w:id="35"/>
    </w:p>
    <w:p w14:paraId="04D7CE2F" w14:textId="77777777" w:rsidR="00E579B9" w:rsidRDefault="006A1398">
      <w:r>
        <w:t>（</w:t>
      </w:r>
      <w:r>
        <w:t>1</w:t>
      </w:r>
      <w:r>
        <w:t>）环境空气</w:t>
      </w:r>
    </w:p>
    <w:p w14:paraId="660D8BEE" w14:textId="77777777" w:rsidR="00E579B9" w:rsidRDefault="006A1398">
      <w:r>
        <w:t>根据《环境空气质量标准》（</w:t>
      </w:r>
      <w:r>
        <w:t>GB3095-2012</w:t>
      </w:r>
      <w:r>
        <w:t>）中功能区的划分要求，环境空气功能区分为二类：一类区为自然保护区、风景名胜区和其他需要特殊保护的区域；二类区为居住区、商业交通居民混合区、文化区、工业区和农村地区。本项目所在区域为</w:t>
      </w:r>
      <w:r>
        <w:rPr>
          <w:rFonts w:hint="eastAsia"/>
        </w:rPr>
        <w:t>驻马店市</w:t>
      </w:r>
      <w:proofErr w:type="gramStart"/>
      <w:r>
        <w:rPr>
          <w:rFonts w:hint="eastAsia"/>
        </w:rPr>
        <w:t>驿</w:t>
      </w:r>
      <w:proofErr w:type="gramEnd"/>
      <w:r>
        <w:rPr>
          <w:rFonts w:hint="eastAsia"/>
        </w:rPr>
        <w:t>城区沙河店</w:t>
      </w:r>
      <w:proofErr w:type="gramStart"/>
      <w:r>
        <w:rPr>
          <w:rFonts w:hint="eastAsia"/>
        </w:rPr>
        <w:t>镇赵尧村</w:t>
      </w:r>
      <w:proofErr w:type="gramEnd"/>
      <w:r>
        <w:rPr>
          <w:rFonts w:hint="eastAsia"/>
        </w:rPr>
        <w:t>李庄组</w:t>
      </w:r>
      <w:r>
        <w:t>，区域环境空气功能规划为二类环境空气功能区。</w:t>
      </w:r>
    </w:p>
    <w:p w14:paraId="30BE25C5" w14:textId="77777777" w:rsidR="00E579B9" w:rsidRDefault="006A1398">
      <w:r>
        <w:t>（</w:t>
      </w:r>
      <w:r>
        <w:t>2</w:t>
      </w:r>
      <w:r>
        <w:t>）地表水环境</w:t>
      </w:r>
    </w:p>
    <w:p w14:paraId="09BBB729" w14:textId="77777777" w:rsidR="00E579B9" w:rsidRDefault="006A1398">
      <w:r>
        <w:t>根据《地表水环境质量标准》（</w:t>
      </w:r>
      <w:r>
        <w:t>GB3838-2002</w:t>
      </w:r>
      <w:r>
        <w:t>）和《河南省水环境功能区划》（河南省环境保护局</w:t>
      </w:r>
      <w:r>
        <w:t>2006</w:t>
      </w:r>
      <w:r>
        <w:t>年</w:t>
      </w:r>
      <w:r>
        <w:t>7</w:t>
      </w:r>
      <w:r>
        <w:t>月），本项目所处区域属于《地表水环境质量标准》（</w:t>
      </w:r>
      <w:r>
        <w:t>GB3838-2002</w:t>
      </w:r>
      <w:r>
        <w:t>）中的</w:t>
      </w:r>
      <w:r>
        <w:fldChar w:fldCharType="begin"/>
      </w:r>
      <w:r>
        <w:instrText xml:space="preserve"> </w:instrText>
      </w:r>
      <w:r>
        <w:rPr>
          <w:rFonts w:hint="eastAsia"/>
        </w:rPr>
        <w:instrText>= 3 \* ROMAN</w:instrText>
      </w:r>
      <w:r>
        <w:instrText xml:space="preserve"> </w:instrText>
      </w:r>
      <w:r>
        <w:fldChar w:fldCharType="separate"/>
      </w:r>
      <w:r>
        <w:t>III</w:t>
      </w:r>
      <w:r>
        <w:fldChar w:fldCharType="end"/>
      </w:r>
      <w:r>
        <w:t>类标准。</w:t>
      </w:r>
    </w:p>
    <w:p w14:paraId="016E430A" w14:textId="77777777" w:rsidR="00E579B9" w:rsidRDefault="006A1398">
      <w:r>
        <w:t>（</w:t>
      </w:r>
      <w:r>
        <w:t>3</w:t>
      </w:r>
      <w:r>
        <w:t>）地下水环境</w:t>
      </w:r>
    </w:p>
    <w:p w14:paraId="7E0E9160" w14:textId="77777777" w:rsidR="00E579B9" w:rsidRDefault="006A1398">
      <w:r>
        <w:t>项目评价区域内无饮用</w:t>
      </w:r>
      <w:r>
        <w:rPr>
          <w:rFonts w:hint="eastAsia"/>
        </w:rPr>
        <w:t>“</w:t>
      </w:r>
      <w:r>
        <w:t>省级、市级、县级</w:t>
      </w:r>
      <w:r>
        <w:rPr>
          <w:rFonts w:hint="eastAsia"/>
        </w:rPr>
        <w:t>”</w:t>
      </w:r>
      <w:r>
        <w:t>划定的饮用水水源地保护区，区域地下水水质以人体健康基准值为依据，主要为农业用水，根据《地下水质量标准》（</w:t>
      </w:r>
      <w:r>
        <w:t>GB14848-2017</w:t>
      </w:r>
      <w:r>
        <w:t>），评价域属于</w:t>
      </w:r>
      <w:r>
        <w:rPr>
          <w:rFonts w:hint="eastAsia"/>
        </w:rPr>
        <w:t>“</w:t>
      </w:r>
      <w:r>
        <w:t>III</w:t>
      </w:r>
      <w:r>
        <w:t>类以人体健康基准值为依据，主要适用于集中式生活饮用水水源及工、农业用水</w:t>
      </w:r>
      <w:r>
        <w:rPr>
          <w:rFonts w:hint="eastAsia"/>
        </w:rPr>
        <w:t>”</w:t>
      </w:r>
      <w:r>
        <w:t>。</w:t>
      </w:r>
    </w:p>
    <w:p w14:paraId="0FEBF94E" w14:textId="77777777" w:rsidR="00E579B9" w:rsidRDefault="006A1398">
      <w:r>
        <w:t>（</w:t>
      </w:r>
      <w:r>
        <w:t>4</w:t>
      </w:r>
      <w:r>
        <w:t>）声环境</w:t>
      </w:r>
    </w:p>
    <w:p w14:paraId="6AC7D3DD" w14:textId="77777777" w:rsidR="00E579B9" w:rsidRDefault="006A1398">
      <w:r>
        <w:t>根据《声环境质量标准》（</w:t>
      </w:r>
      <w:r>
        <w:t>GB3096-2008</w:t>
      </w:r>
      <w:r>
        <w:t>），本项目所处声环境功能区属于</w:t>
      </w:r>
      <w:r>
        <w:rPr>
          <w:rFonts w:hint="eastAsia"/>
        </w:rPr>
        <w:t>“</w:t>
      </w:r>
      <w:r>
        <w:t>2</w:t>
      </w:r>
      <w:r>
        <w:t>类声环境功能区：指以工业生产、农村地区的混合区域，需要防止工业噪声对周围环境产生严重影响的区域</w:t>
      </w:r>
      <w:r>
        <w:rPr>
          <w:rFonts w:hint="eastAsia"/>
        </w:rPr>
        <w:t>”</w:t>
      </w:r>
      <w:r>
        <w:t>。</w:t>
      </w:r>
    </w:p>
    <w:p w14:paraId="0F17BDC6" w14:textId="77777777" w:rsidR="00E579B9" w:rsidRDefault="006A1398">
      <w:r>
        <w:t>（</w:t>
      </w:r>
      <w:r>
        <w:t>5</w:t>
      </w:r>
      <w:r>
        <w:t>）生态环境</w:t>
      </w:r>
    </w:p>
    <w:p w14:paraId="1CD80B68" w14:textId="5D3174DE" w:rsidR="00E579B9" w:rsidRPr="002B5221" w:rsidRDefault="006A1398">
      <w:r>
        <w:t>根据《环境影响评价技术导则生态影响》（</w:t>
      </w:r>
      <w:r>
        <w:t>HJ19-2011</w:t>
      </w:r>
      <w:r>
        <w:t>），生态环境可分为特殊生态敏感区、重要生态敏感区和一般区域。</w:t>
      </w:r>
      <w:r>
        <w:rPr>
          <w:rFonts w:hint="eastAsia"/>
        </w:rPr>
        <w:t>根据《建设项目环境影响评价分类管理名录》，本项目不属于生态敏感及脆弱区，</w:t>
      </w:r>
      <w:r>
        <w:t>项目占地及影响不涉及特殊和重要生</w:t>
      </w:r>
      <w:r>
        <w:lastRenderedPageBreak/>
        <w:t>态敏感区，</w:t>
      </w:r>
      <w:r w:rsidR="00EA71D4" w:rsidRPr="002B5221">
        <w:rPr>
          <w:rFonts w:hint="eastAsia"/>
        </w:rPr>
        <w:t>本项目位于伏牛山山地丘陵保土水源涵养区，为省级水土流失重点治理区</w:t>
      </w:r>
      <w:r w:rsidRPr="002B5221">
        <w:t>。</w:t>
      </w:r>
    </w:p>
    <w:p w14:paraId="02407A29" w14:textId="77777777" w:rsidR="00E579B9" w:rsidRDefault="006A1398">
      <w:r>
        <w:t>特殊生态敏感区：指具有极重要的生态服务功能，生态系统极为脆弱或已有较为严重的生态问题，如遭到占用、损失或破坏后所造成的生态影响后果严重且难以预防、生态功能难以恢复和替代的区域，包括自然保护区、世界文化和自然遗产地等。</w:t>
      </w:r>
    </w:p>
    <w:p w14:paraId="7E9B2DBD" w14:textId="77777777" w:rsidR="00E579B9" w:rsidRDefault="006A1398">
      <w:r>
        <w:t>重要生态敏感区：具有相对重要的生态服务功能或生态系统较为脆弱，如遭到占用、损失或破坏后所造成的生态影响后果较严重，但可以通过一定措施加以预防、恢复和替代的区域，包括风景名胜区、森林公园、地质公园、重要湿地、原始天然林、珍稀濒危野生动植物天然集中分布区、重要水生生物的自然产卵场及索饵场、越冬场和洄游通道、天然渔场等。</w:t>
      </w:r>
    </w:p>
    <w:p w14:paraId="2236AA5E" w14:textId="77777777" w:rsidR="00E579B9" w:rsidRDefault="006A1398">
      <w:r>
        <w:t>一般区域：除特殊生态敏感区和重要生态敏感区以外的其他区域。</w:t>
      </w:r>
    </w:p>
    <w:p w14:paraId="2632A88C" w14:textId="77777777" w:rsidR="00E579B9" w:rsidRDefault="006A1398">
      <w:r>
        <w:rPr>
          <w:rFonts w:hint="eastAsia"/>
        </w:rPr>
        <w:t>因此本项目环境</w:t>
      </w:r>
      <w:r>
        <w:t>功能区划情况见表</w:t>
      </w:r>
      <w:r>
        <w:t>2.3-1</w:t>
      </w:r>
      <w:r>
        <w:t>。</w:t>
      </w:r>
    </w:p>
    <w:p w14:paraId="0078D8E2" w14:textId="77777777" w:rsidR="00E579B9" w:rsidRDefault="006A1398">
      <w:pPr>
        <w:pStyle w:val="21"/>
      </w:pPr>
      <w:r>
        <w:t>表</w:t>
      </w:r>
      <w:r>
        <w:t>2.3-1</w:t>
      </w:r>
      <w:r>
        <w:t>项目功能区划情况一览表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461"/>
        <w:gridCol w:w="1228"/>
        <w:gridCol w:w="1559"/>
        <w:gridCol w:w="1276"/>
        <w:gridCol w:w="1134"/>
        <w:gridCol w:w="2835"/>
      </w:tblGrid>
      <w:tr w:rsidR="00E579B9" w14:paraId="3676C98B" w14:textId="77777777" w:rsidTr="00EA71D4">
        <w:trPr>
          <w:trHeight w:val="257"/>
          <w:jc w:val="center"/>
        </w:trPr>
        <w:tc>
          <w:tcPr>
            <w:tcW w:w="1461" w:type="dxa"/>
            <w:vAlign w:val="center"/>
          </w:tcPr>
          <w:p w14:paraId="3724F74C" w14:textId="77777777" w:rsidR="00E579B9" w:rsidRDefault="006A1398">
            <w:pPr>
              <w:pStyle w:val="aa"/>
            </w:pPr>
            <w:r>
              <w:t>环境类别</w:t>
            </w:r>
          </w:p>
        </w:tc>
        <w:tc>
          <w:tcPr>
            <w:tcW w:w="1228" w:type="dxa"/>
            <w:vAlign w:val="center"/>
          </w:tcPr>
          <w:p w14:paraId="202FE3FF" w14:textId="77777777" w:rsidR="00E579B9" w:rsidRDefault="006A1398">
            <w:pPr>
              <w:pStyle w:val="aa"/>
            </w:pPr>
            <w:r>
              <w:t>环境空气</w:t>
            </w:r>
          </w:p>
        </w:tc>
        <w:tc>
          <w:tcPr>
            <w:tcW w:w="1559" w:type="dxa"/>
            <w:vAlign w:val="center"/>
          </w:tcPr>
          <w:p w14:paraId="684A7438" w14:textId="77777777" w:rsidR="00E579B9" w:rsidRDefault="006A1398">
            <w:pPr>
              <w:pStyle w:val="aa"/>
            </w:pPr>
            <w:r>
              <w:t>地表水环境</w:t>
            </w:r>
          </w:p>
        </w:tc>
        <w:tc>
          <w:tcPr>
            <w:tcW w:w="1276" w:type="dxa"/>
            <w:vAlign w:val="center"/>
          </w:tcPr>
          <w:p w14:paraId="0B59663C" w14:textId="77777777" w:rsidR="00E579B9" w:rsidRDefault="006A1398">
            <w:pPr>
              <w:pStyle w:val="aa"/>
            </w:pPr>
            <w:r>
              <w:t>地下水</w:t>
            </w:r>
          </w:p>
        </w:tc>
        <w:tc>
          <w:tcPr>
            <w:tcW w:w="1134" w:type="dxa"/>
            <w:vAlign w:val="center"/>
          </w:tcPr>
          <w:p w14:paraId="7FB3AFC2" w14:textId="77777777" w:rsidR="00E579B9" w:rsidRDefault="006A1398">
            <w:pPr>
              <w:pStyle w:val="aa"/>
            </w:pPr>
            <w:r>
              <w:t>声环境</w:t>
            </w:r>
          </w:p>
        </w:tc>
        <w:tc>
          <w:tcPr>
            <w:tcW w:w="2835" w:type="dxa"/>
            <w:vAlign w:val="center"/>
          </w:tcPr>
          <w:p w14:paraId="2B6AACE0" w14:textId="77777777" w:rsidR="00E579B9" w:rsidRDefault="006A1398">
            <w:pPr>
              <w:pStyle w:val="aa"/>
            </w:pPr>
            <w:r>
              <w:t>生态环境</w:t>
            </w:r>
          </w:p>
        </w:tc>
      </w:tr>
      <w:tr w:rsidR="00E579B9" w14:paraId="5D541E13" w14:textId="77777777" w:rsidTr="00EA71D4">
        <w:trPr>
          <w:trHeight w:val="118"/>
          <w:jc w:val="center"/>
        </w:trPr>
        <w:tc>
          <w:tcPr>
            <w:tcW w:w="1461" w:type="dxa"/>
            <w:vAlign w:val="center"/>
          </w:tcPr>
          <w:p w14:paraId="061EADDF" w14:textId="77777777" w:rsidR="00E579B9" w:rsidRDefault="006A1398">
            <w:pPr>
              <w:pStyle w:val="aa"/>
            </w:pPr>
            <w:r>
              <w:t>功能区划</w:t>
            </w:r>
          </w:p>
        </w:tc>
        <w:tc>
          <w:tcPr>
            <w:tcW w:w="1228" w:type="dxa"/>
            <w:vAlign w:val="center"/>
          </w:tcPr>
          <w:p w14:paraId="6200E55A" w14:textId="77777777" w:rsidR="00E579B9" w:rsidRDefault="006A1398">
            <w:pPr>
              <w:pStyle w:val="aa"/>
            </w:pPr>
            <w:r>
              <w:t>二类</w:t>
            </w:r>
          </w:p>
        </w:tc>
        <w:tc>
          <w:tcPr>
            <w:tcW w:w="1559" w:type="dxa"/>
            <w:vAlign w:val="center"/>
          </w:tcPr>
          <w:p w14:paraId="576BA761" w14:textId="77777777" w:rsidR="00E579B9" w:rsidRDefault="006A1398">
            <w:pPr>
              <w:pStyle w:val="aa"/>
            </w:pPr>
            <w:r>
              <w:fldChar w:fldCharType="begin"/>
            </w:r>
            <w:r>
              <w:instrText xml:space="preserve"> </w:instrText>
            </w:r>
            <w:r>
              <w:rPr>
                <w:rFonts w:hint="eastAsia"/>
              </w:rPr>
              <w:instrText>= 3 \* ROMAN</w:instrText>
            </w:r>
            <w:r>
              <w:instrText xml:space="preserve"> </w:instrText>
            </w:r>
            <w:r>
              <w:fldChar w:fldCharType="separate"/>
            </w:r>
            <w:r>
              <w:t>III</w:t>
            </w:r>
            <w:r>
              <w:fldChar w:fldCharType="end"/>
            </w:r>
            <w:r>
              <w:t>类</w:t>
            </w:r>
          </w:p>
        </w:tc>
        <w:tc>
          <w:tcPr>
            <w:tcW w:w="1276" w:type="dxa"/>
            <w:vAlign w:val="center"/>
          </w:tcPr>
          <w:p w14:paraId="58010D7A" w14:textId="77777777" w:rsidR="00E579B9" w:rsidRDefault="006A1398">
            <w:pPr>
              <w:pStyle w:val="aa"/>
            </w:pPr>
            <w:r>
              <w:rPr>
                <w:rFonts w:hint="eastAsia"/>
              </w:rPr>
              <w:t>Ⅲ</w:t>
            </w:r>
            <w:r>
              <w:t>类</w:t>
            </w:r>
          </w:p>
        </w:tc>
        <w:tc>
          <w:tcPr>
            <w:tcW w:w="1134" w:type="dxa"/>
            <w:vAlign w:val="center"/>
          </w:tcPr>
          <w:p w14:paraId="3B6EE7F9" w14:textId="77777777" w:rsidR="00E579B9" w:rsidRDefault="006A1398">
            <w:pPr>
              <w:pStyle w:val="aa"/>
            </w:pPr>
            <w:r>
              <w:t>2</w:t>
            </w:r>
            <w:r>
              <w:t>类</w:t>
            </w:r>
          </w:p>
        </w:tc>
        <w:tc>
          <w:tcPr>
            <w:tcW w:w="2835" w:type="dxa"/>
            <w:vAlign w:val="center"/>
          </w:tcPr>
          <w:p w14:paraId="28C60F74" w14:textId="2A90D4D9" w:rsidR="00E579B9" w:rsidRPr="00C74622" w:rsidRDefault="00C74622">
            <w:pPr>
              <w:pStyle w:val="aa"/>
              <w:rPr>
                <w:color w:val="FF0000"/>
              </w:rPr>
            </w:pPr>
            <w:r w:rsidRPr="002B5221">
              <w:rPr>
                <w:rFonts w:hint="eastAsia"/>
              </w:rPr>
              <w:t>省级水土流失重点治理区</w:t>
            </w:r>
          </w:p>
        </w:tc>
      </w:tr>
    </w:tbl>
    <w:p w14:paraId="7F129644" w14:textId="77777777" w:rsidR="00E579B9" w:rsidRDefault="006A1398">
      <w:pPr>
        <w:pStyle w:val="2"/>
        <w:ind w:firstLine="560"/>
      </w:pPr>
      <w:bookmarkStart w:id="36" w:name="_Toc535847421"/>
      <w:bookmarkStart w:id="37" w:name="_Toc33021783"/>
      <w:r>
        <w:rPr>
          <w:rFonts w:hint="eastAsia"/>
        </w:rPr>
        <w:t>2.</w:t>
      </w:r>
      <w:r>
        <w:t>4</w:t>
      </w:r>
      <w:r>
        <w:rPr>
          <w:rFonts w:hint="eastAsia"/>
        </w:rPr>
        <w:t>评价目的和思路</w:t>
      </w:r>
      <w:bookmarkEnd w:id="36"/>
      <w:bookmarkEnd w:id="37"/>
    </w:p>
    <w:p w14:paraId="071BA6F8" w14:textId="77777777" w:rsidR="00E579B9" w:rsidRDefault="006A1398">
      <w:pPr>
        <w:pStyle w:val="3"/>
        <w:ind w:firstLine="560"/>
      </w:pPr>
      <w:bookmarkStart w:id="38" w:name="_Toc535847422"/>
      <w:r>
        <w:t>2.4.1</w:t>
      </w:r>
      <w:r>
        <w:t>评价目的</w:t>
      </w:r>
      <w:bookmarkEnd w:id="38"/>
    </w:p>
    <w:p w14:paraId="4AE119BC" w14:textId="77777777" w:rsidR="00E579B9" w:rsidRDefault="006A1398">
      <w:r>
        <w:t>（</w:t>
      </w:r>
      <w:r>
        <w:t>1</w:t>
      </w:r>
      <w:r>
        <w:t>）贯彻执行国家有关环保法规，遵照</w:t>
      </w:r>
      <w:r>
        <w:t>“</w:t>
      </w:r>
      <w:r>
        <w:t>客观公正、内容全面、重点突出</w:t>
      </w:r>
      <w:r>
        <w:t>”</w:t>
      </w:r>
      <w:r>
        <w:t>的原则，突出工程作为工业污染与非污染生态建设项目的双重特点，从环保角度分析论证项目建设的环境可行性，为领导决策、工程环保设计方案实施、施工及运行管理提供科学依据；</w:t>
      </w:r>
    </w:p>
    <w:p w14:paraId="38A5307E" w14:textId="77777777" w:rsidR="00E579B9" w:rsidRDefault="006A1398">
      <w:r>
        <w:t>（</w:t>
      </w:r>
      <w:r>
        <w:t>2</w:t>
      </w:r>
      <w:r>
        <w:t>）在现场监测、调查辅以资料收集的基础上，查清区域环境质量及生态环境现状，明确环境保护目标；</w:t>
      </w:r>
    </w:p>
    <w:p w14:paraId="34421A88" w14:textId="77777777" w:rsidR="00E579B9" w:rsidRDefault="006A1398">
      <w:r>
        <w:t>（</w:t>
      </w:r>
      <w:r>
        <w:t>3</w:t>
      </w:r>
      <w:r>
        <w:t>）结合本项目工程分析，预测评价项目基建期、运营期与闭矿期对区域环境质量的影响，对生态环境质量的影响单独设置章节进行重点分析；</w:t>
      </w:r>
    </w:p>
    <w:p w14:paraId="67009531" w14:textId="77777777" w:rsidR="00E579B9" w:rsidRDefault="006A1398">
      <w:r>
        <w:t>（</w:t>
      </w:r>
      <w:r>
        <w:t>4</w:t>
      </w:r>
      <w:r>
        <w:t>）从</w:t>
      </w:r>
      <w:r>
        <w:t>“</w:t>
      </w:r>
      <w:r>
        <w:t>清洁生产、达标排放和总量控制</w:t>
      </w:r>
      <w:r>
        <w:t>”</w:t>
      </w:r>
      <w:r>
        <w:t>等方面对设计工艺进行分析；</w:t>
      </w:r>
    </w:p>
    <w:p w14:paraId="1C686513" w14:textId="77777777" w:rsidR="00E579B9" w:rsidRDefault="006A1398">
      <w:r>
        <w:lastRenderedPageBreak/>
        <w:t>（</w:t>
      </w:r>
      <w:r>
        <w:t>5</w:t>
      </w:r>
      <w:r>
        <w:t>）通过对各环境要素的评价，提出有针对性的预防、减缓生态影响与恢复措施以及环境污染防治措施；</w:t>
      </w:r>
    </w:p>
    <w:p w14:paraId="6BFA4F6F" w14:textId="77777777" w:rsidR="00E579B9" w:rsidRDefault="006A1398">
      <w:r>
        <w:t>（</w:t>
      </w:r>
      <w:r>
        <w:t>6</w:t>
      </w:r>
      <w:r>
        <w:t>）结合国家及地方环保政策的要求，从环保角度对工业场地的选址、项目开采规模、设备水平、污染防治措施及生态恢复措施的可行性给出明确结论，为项目设计、环境保护、监督管理等提供科学依据。</w:t>
      </w:r>
    </w:p>
    <w:p w14:paraId="7CC644BD" w14:textId="77777777" w:rsidR="00E579B9" w:rsidRDefault="006A1398">
      <w:pPr>
        <w:pStyle w:val="3"/>
        <w:ind w:firstLine="560"/>
      </w:pPr>
      <w:bookmarkStart w:id="39" w:name="_Toc535847423"/>
      <w:r>
        <w:t>2.4.2</w:t>
      </w:r>
      <w:r>
        <w:t>总体思路</w:t>
      </w:r>
      <w:bookmarkEnd w:id="39"/>
    </w:p>
    <w:p w14:paraId="5D480AC2" w14:textId="77777777" w:rsidR="00E579B9" w:rsidRDefault="006A1398">
      <w:r>
        <w:t>（</w:t>
      </w:r>
      <w:r>
        <w:t>1</w:t>
      </w:r>
      <w:r>
        <w:t>）按照</w:t>
      </w:r>
      <w:r>
        <w:t>“</w:t>
      </w:r>
      <w:r>
        <w:t>保护优先、预防为主、防治结合</w:t>
      </w:r>
      <w:r>
        <w:t>”</w:t>
      </w:r>
      <w:r>
        <w:t>的原则，通过对评价区域生态环境调查和监测，查清评价区域环境背景，结合工程分析，分析预测项目建设对周围生态环境的影响程度和范围，提出切实可行的生态环境保护方案及环境管理建议，把项目建设对生态环境的不利影响控制在最小的程度和范围。</w:t>
      </w:r>
    </w:p>
    <w:p w14:paraId="2FD1974F" w14:textId="77777777" w:rsidR="00E579B9" w:rsidRDefault="006A1398">
      <w:r>
        <w:t>（</w:t>
      </w:r>
      <w:r>
        <w:t>2</w:t>
      </w:r>
      <w:r>
        <w:t>）评价工作以工程分析为龙头，以控制污染物排放和保护生态环境为重点，以清洁生产、总量控制为关注点。最大限度地减少工程污染物的排放量，尽可能减少工程对周围环境的影响。分析预测项目在建设期、运营期、</w:t>
      </w:r>
      <w:r>
        <w:rPr>
          <w:rFonts w:hint="eastAsia"/>
        </w:rPr>
        <w:t>闭矿期</w:t>
      </w:r>
      <w:r>
        <w:t>对各环境要素的影响，并提出相应的防治措施。</w:t>
      </w:r>
    </w:p>
    <w:p w14:paraId="16A67B95" w14:textId="77777777" w:rsidR="00E579B9" w:rsidRDefault="006A1398">
      <w:r>
        <w:t>（</w:t>
      </w:r>
      <w:r>
        <w:t>3</w:t>
      </w:r>
      <w:r>
        <w:t>）通过对环境现状进行实际监测及调查，了解评价区域的环境质量现状及存在的主要环境问题。</w:t>
      </w:r>
    </w:p>
    <w:p w14:paraId="0BDFBA5B" w14:textId="77777777" w:rsidR="00E579B9" w:rsidRDefault="006A1398">
      <w:r>
        <w:t>（</w:t>
      </w:r>
      <w:r>
        <w:t>4</w:t>
      </w:r>
      <w:r>
        <w:t>）根据工程及环境特点，采用预测模式预测及定性分析等手段，分析预测项目对环境质量和生态环境可能造成的不良影响，分析环境的可承受性。</w:t>
      </w:r>
    </w:p>
    <w:p w14:paraId="20FCE384" w14:textId="77777777" w:rsidR="00E579B9" w:rsidRDefault="006A1398">
      <w:r>
        <w:t>（</w:t>
      </w:r>
      <w:r>
        <w:t>5</w:t>
      </w:r>
      <w:r>
        <w:t>）通过对项目所采用的采掘工艺设备分析，提出有针对性的清洁生产措施及持续清洁生产方案。</w:t>
      </w:r>
    </w:p>
    <w:p w14:paraId="20B10A1C" w14:textId="77777777" w:rsidR="00E579B9" w:rsidRDefault="006A1398">
      <w:r>
        <w:t>（</w:t>
      </w:r>
      <w:r>
        <w:t>6</w:t>
      </w:r>
      <w:r>
        <w:t>）结合项目建设环境经济效益分析，从环保角度出发，分析论证工业场地、弃土废石堆场选址的可行性、场地平面布置的合理性，对项目建设的环境可行性给出明确结论。</w:t>
      </w:r>
    </w:p>
    <w:p w14:paraId="42DD8EC4" w14:textId="77777777" w:rsidR="00E579B9" w:rsidRDefault="006A1398">
      <w:pPr>
        <w:pStyle w:val="2"/>
        <w:ind w:firstLine="560"/>
      </w:pPr>
      <w:bookmarkStart w:id="40" w:name="_Toc535847424"/>
      <w:bookmarkStart w:id="41" w:name="_Toc33021784"/>
      <w:r>
        <w:rPr>
          <w:rFonts w:hint="eastAsia"/>
        </w:rPr>
        <w:t>2.</w:t>
      </w:r>
      <w:r>
        <w:t>5</w:t>
      </w:r>
      <w:r>
        <w:rPr>
          <w:rFonts w:hint="eastAsia"/>
        </w:rPr>
        <w:t>环境影响因素识别</w:t>
      </w:r>
      <w:bookmarkEnd w:id="40"/>
      <w:bookmarkEnd w:id="41"/>
    </w:p>
    <w:p w14:paraId="48BAD0B1" w14:textId="77777777" w:rsidR="00E579B9" w:rsidRDefault="006A1398">
      <w:r>
        <w:t>根据本项目拟采取的生产工艺和排污特征以及项目位置、项目周围环境敏感点的分布情况、项目对环境可能造成的影响因素及特点，对项目的环境影响因素进行了识别，对可能受本项目影响的环境要素与污染因子进行识别，结果详见表</w:t>
      </w:r>
      <w:r>
        <w:t>2.5-1</w:t>
      </w:r>
      <w:r>
        <w:t>。</w:t>
      </w:r>
    </w:p>
    <w:p w14:paraId="41E4E7D3" w14:textId="77777777" w:rsidR="00E579B9" w:rsidRDefault="006A1398">
      <w:pPr>
        <w:pStyle w:val="21"/>
      </w:pPr>
      <w:r>
        <w:lastRenderedPageBreak/>
        <w:t>表</w:t>
      </w:r>
      <w:r>
        <w:t>2.5-1</w:t>
      </w:r>
      <w:r>
        <w:t>环境影响因素识别表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163"/>
        <w:gridCol w:w="698"/>
        <w:gridCol w:w="814"/>
        <w:gridCol w:w="814"/>
        <w:gridCol w:w="814"/>
        <w:gridCol w:w="814"/>
        <w:gridCol w:w="814"/>
        <w:gridCol w:w="814"/>
        <w:gridCol w:w="814"/>
        <w:gridCol w:w="811"/>
      </w:tblGrid>
      <w:tr w:rsidR="00E579B9" w14:paraId="33006A9E" w14:textId="77777777">
        <w:trPr>
          <w:jc w:val="center"/>
        </w:trPr>
        <w:tc>
          <w:tcPr>
            <w:tcW w:w="576" w:type="dxa"/>
            <w:vMerge w:val="restart"/>
            <w:vAlign w:val="center"/>
          </w:tcPr>
          <w:p w14:paraId="059E551C" w14:textId="77777777" w:rsidR="00E579B9" w:rsidRDefault="006A1398">
            <w:pPr>
              <w:pStyle w:val="aa"/>
            </w:pPr>
            <w:r>
              <w:rPr>
                <w:rFonts w:hint="eastAsia"/>
              </w:rPr>
              <w:t>项目阶段</w:t>
            </w:r>
          </w:p>
        </w:tc>
        <w:tc>
          <w:tcPr>
            <w:tcW w:w="1163" w:type="dxa"/>
            <w:vMerge w:val="restart"/>
            <w:vAlign w:val="center"/>
          </w:tcPr>
          <w:p w14:paraId="2633C347" w14:textId="77777777" w:rsidR="00E579B9" w:rsidRDefault="006A1398">
            <w:pPr>
              <w:pStyle w:val="aa"/>
            </w:pPr>
            <w:r>
              <w:rPr>
                <w:rFonts w:hint="eastAsia"/>
              </w:rPr>
              <w:t>类别</w:t>
            </w:r>
          </w:p>
        </w:tc>
        <w:tc>
          <w:tcPr>
            <w:tcW w:w="3140" w:type="dxa"/>
            <w:gridSpan w:val="4"/>
            <w:vAlign w:val="center"/>
          </w:tcPr>
          <w:p w14:paraId="2AD745CC" w14:textId="77777777" w:rsidR="00E579B9" w:rsidRDefault="006A1398">
            <w:pPr>
              <w:pStyle w:val="aa"/>
            </w:pPr>
            <w:r>
              <w:rPr>
                <w:rFonts w:hint="eastAsia"/>
              </w:rPr>
              <w:t>自然环境</w:t>
            </w:r>
          </w:p>
        </w:tc>
        <w:tc>
          <w:tcPr>
            <w:tcW w:w="1628" w:type="dxa"/>
            <w:gridSpan w:val="2"/>
            <w:vAlign w:val="center"/>
          </w:tcPr>
          <w:p w14:paraId="1F9D7622" w14:textId="77777777" w:rsidR="00E579B9" w:rsidRDefault="006A1398">
            <w:pPr>
              <w:pStyle w:val="aa"/>
            </w:pPr>
            <w:r>
              <w:rPr>
                <w:rFonts w:hint="eastAsia"/>
              </w:rPr>
              <w:t>生态环境</w:t>
            </w:r>
          </w:p>
        </w:tc>
        <w:tc>
          <w:tcPr>
            <w:tcW w:w="2439" w:type="dxa"/>
            <w:gridSpan w:val="3"/>
            <w:vAlign w:val="center"/>
          </w:tcPr>
          <w:p w14:paraId="76C9B3B7" w14:textId="77777777" w:rsidR="00E579B9" w:rsidRDefault="006A1398">
            <w:pPr>
              <w:pStyle w:val="aa"/>
            </w:pPr>
            <w:r>
              <w:rPr>
                <w:rFonts w:hint="eastAsia"/>
              </w:rPr>
              <w:t>社会环境</w:t>
            </w:r>
          </w:p>
        </w:tc>
      </w:tr>
      <w:tr w:rsidR="00E579B9" w14:paraId="3D8F3914" w14:textId="77777777">
        <w:trPr>
          <w:jc w:val="center"/>
        </w:trPr>
        <w:tc>
          <w:tcPr>
            <w:tcW w:w="576" w:type="dxa"/>
            <w:vMerge/>
            <w:vAlign w:val="center"/>
          </w:tcPr>
          <w:p w14:paraId="3207020C" w14:textId="77777777" w:rsidR="00E579B9" w:rsidRDefault="00E579B9">
            <w:pPr>
              <w:pStyle w:val="aa"/>
            </w:pPr>
          </w:p>
        </w:tc>
        <w:tc>
          <w:tcPr>
            <w:tcW w:w="1163" w:type="dxa"/>
            <w:vMerge/>
            <w:vAlign w:val="center"/>
          </w:tcPr>
          <w:p w14:paraId="51E6473F" w14:textId="77777777" w:rsidR="00E579B9" w:rsidRDefault="00E579B9">
            <w:pPr>
              <w:pStyle w:val="aa"/>
            </w:pPr>
          </w:p>
        </w:tc>
        <w:tc>
          <w:tcPr>
            <w:tcW w:w="698" w:type="dxa"/>
            <w:vAlign w:val="center"/>
          </w:tcPr>
          <w:p w14:paraId="0A482145" w14:textId="77777777" w:rsidR="00E579B9" w:rsidRDefault="006A1398">
            <w:pPr>
              <w:pStyle w:val="aa"/>
            </w:pPr>
            <w:r>
              <w:rPr>
                <w:rFonts w:hint="eastAsia"/>
              </w:rPr>
              <w:t>环境空气</w:t>
            </w:r>
          </w:p>
        </w:tc>
        <w:tc>
          <w:tcPr>
            <w:tcW w:w="814" w:type="dxa"/>
            <w:vAlign w:val="center"/>
          </w:tcPr>
          <w:p w14:paraId="0C30FE54" w14:textId="77777777" w:rsidR="00E579B9" w:rsidRDefault="006A1398">
            <w:pPr>
              <w:pStyle w:val="aa"/>
            </w:pPr>
            <w:r>
              <w:rPr>
                <w:rFonts w:hint="eastAsia"/>
              </w:rPr>
              <w:t>地表水</w:t>
            </w:r>
          </w:p>
        </w:tc>
        <w:tc>
          <w:tcPr>
            <w:tcW w:w="814" w:type="dxa"/>
            <w:vAlign w:val="center"/>
          </w:tcPr>
          <w:p w14:paraId="4E99A113" w14:textId="77777777" w:rsidR="00E579B9" w:rsidRDefault="006A1398">
            <w:pPr>
              <w:pStyle w:val="aa"/>
            </w:pPr>
            <w:r>
              <w:rPr>
                <w:rFonts w:hint="eastAsia"/>
              </w:rPr>
              <w:t>地下水</w:t>
            </w:r>
          </w:p>
        </w:tc>
        <w:tc>
          <w:tcPr>
            <w:tcW w:w="814" w:type="dxa"/>
            <w:vAlign w:val="center"/>
          </w:tcPr>
          <w:p w14:paraId="76C53775" w14:textId="77777777" w:rsidR="00E579B9" w:rsidRDefault="006A1398">
            <w:pPr>
              <w:pStyle w:val="aa"/>
            </w:pPr>
            <w:r>
              <w:rPr>
                <w:rFonts w:hint="eastAsia"/>
              </w:rPr>
              <w:t>声环境</w:t>
            </w:r>
          </w:p>
        </w:tc>
        <w:tc>
          <w:tcPr>
            <w:tcW w:w="814" w:type="dxa"/>
            <w:vAlign w:val="center"/>
          </w:tcPr>
          <w:p w14:paraId="06ED7061" w14:textId="77777777" w:rsidR="00E579B9" w:rsidRDefault="006A1398">
            <w:pPr>
              <w:pStyle w:val="aa"/>
            </w:pPr>
            <w:r>
              <w:rPr>
                <w:rFonts w:hint="eastAsia"/>
              </w:rPr>
              <w:t>地表植被</w:t>
            </w:r>
          </w:p>
        </w:tc>
        <w:tc>
          <w:tcPr>
            <w:tcW w:w="814" w:type="dxa"/>
            <w:vAlign w:val="center"/>
          </w:tcPr>
          <w:p w14:paraId="5DFCE9DE" w14:textId="77777777" w:rsidR="00E579B9" w:rsidRDefault="006A1398">
            <w:pPr>
              <w:pStyle w:val="aa"/>
            </w:pPr>
            <w:r>
              <w:rPr>
                <w:rFonts w:hint="eastAsia"/>
              </w:rPr>
              <w:t>水土流失</w:t>
            </w:r>
          </w:p>
        </w:tc>
        <w:tc>
          <w:tcPr>
            <w:tcW w:w="814" w:type="dxa"/>
            <w:vAlign w:val="center"/>
          </w:tcPr>
          <w:p w14:paraId="4AA4BF11" w14:textId="77777777" w:rsidR="00E579B9" w:rsidRDefault="006A1398">
            <w:pPr>
              <w:pStyle w:val="aa"/>
            </w:pPr>
            <w:r>
              <w:rPr>
                <w:rFonts w:hint="eastAsia"/>
              </w:rPr>
              <w:t>社会经济</w:t>
            </w:r>
          </w:p>
        </w:tc>
        <w:tc>
          <w:tcPr>
            <w:tcW w:w="814" w:type="dxa"/>
            <w:vAlign w:val="center"/>
          </w:tcPr>
          <w:p w14:paraId="2D42CBB7" w14:textId="77777777" w:rsidR="00E579B9" w:rsidRDefault="006A1398">
            <w:pPr>
              <w:pStyle w:val="aa"/>
            </w:pPr>
            <w:r>
              <w:rPr>
                <w:rFonts w:hint="eastAsia"/>
              </w:rPr>
              <w:t>土地利用</w:t>
            </w:r>
          </w:p>
        </w:tc>
        <w:tc>
          <w:tcPr>
            <w:tcW w:w="811" w:type="dxa"/>
            <w:vAlign w:val="center"/>
          </w:tcPr>
          <w:p w14:paraId="768DEB77" w14:textId="77777777" w:rsidR="00E579B9" w:rsidRDefault="006A1398">
            <w:pPr>
              <w:pStyle w:val="aa"/>
            </w:pPr>
            <w:r>
              <w:rPr>
                <w:rFonts w:hint="eastAsia"/>
              </w:rPr>
              <w:t>交通</w:t>
            </w:r>
          </w:p>
        </w:tc>
      </w:tr>
      <w:tr w:rsidR="00E579B9" w14:paraId="1DE17081" w14:textId="77777777">
        <w:trPr>
          <w:trHeight w:val="310"/>
          <w:jc w:val="center"/>
        </w:trPr>
        <w:tc>
          <w:tcPr>
            <w:tcW w:w="576" w:type="dxa"/>
            <w:vMerge w:val="restart"/>
            <w:vAlign w:val="center"/>
          </w:tcPr>
          <w:p w14:paraId="3A8D900E" w14:textId="77777777" w:rsidR="00E579B9" w:rsidRDefault="006A1398">
            <w:pPr>
              <w:pStyle w:val="aa"/>
            </w:pPr>
            <w:r>
              <w:t>施工期</w:t>
            </w:r>
          </w:p>
        </w:tc>
        <w:tc>
          <w:tcPr>
            <w:tcW w:w="1163" w:type="dxa"/>
            <w:vAlign w:val="center"/>
          </w:tcPr>
          <w:p w14:paraId="63DC301E" w14:textId="77777777" w:rsidR="00E579B9" w:rsidRDefault="006A1398">
            <w:pPr>
              <w:pStyle w:val="aa"/>
            </w:pPr>
            <w:r>
              <w:t>露天剥离</w:t>
            </w:r>
          </w:p>
        </w:tc>
        <w:tc>
          <w:tcPr>
            <w:tcW w:w="698" w:type="dxa"/>
            <w:vAlign w:val="center"/>
          </w:tcPr>
          <w:p w14:paraId="112ED03C" w14:textId="77777777" w:rsidR="00E579B9" w:rsidRDefault="006A1398">
            <w:pPr>
              <w:pStyle w:val="aa"/>
            </w:pPr>
            <w:r>
              <w:t>-1SP</w:t>
            </w:r>
          </w:p>
        </w:tc>
        <w:tc>
          <w:tcPr>
            <w:tcW w:w="814" w:type="dxa"/>
            <w:vAlign w:val="center"/>
          </w:tcPr>
          <w:p w14:paraId="4BF73F66" w14:textId="77777777" w:rsidR="00E579B9" w:rsidRDefault="00E579B9">
            <w:pPr>
              <w:pStyle w:val="aa"/>
            </w:pPr>
          </w:p>
        </w:tc>
        <w:tc>
          <w:tcPr>
            <w:tcW w:w="814" w:type="dxa"/>
            <w:vAlign w:val="center"/>
          </w:tcPr>
          <w:p w14:paraId="67480F55" w14:textId="77777777" w:rsidR="00E579B9" w:rsidRDefault="006A1398">
            <w:pPr>
              <w:pStyle w:val="aa"/>
            </w:pPr>
            <w:r>
              <w:t>-1SP</w:t>
            </w:r>
          </w:p>
        </w:tc>
        <w:tc>
          <w:tcPr>
            <w:tcW w:w="814" w:type="dxa"/>
            <w:vAlign w:val="center"/>
          </w:tcPr>
          <w:p w14:paraId="52812391" w14:textId="77777777" w:rsidR="00E579B9" w:rsidRDefault="006A1398">
            <w:pPr>
              <w:pStyle w:val="aa"/>
            </w:pPr>
            <w:r>
              <w:t>-1SP</w:t>
            </w:r>
          </w:p>
        </w:tc>
        <w:tc>
          <w:tcPr>
            <w:tcW w:w="814" w:type="dxa"/>
            <w:vAlign w:val="center"/>
          </w:tcPr>
          <w:p w14:paraId="3F3E5CE6" w14:textId="77777777" w:rsidR="00E579B9" w:rsidRDefault="006A1398">
            <w:pPr>
              <w:pStyle w:val="aa"/>
            </w:pPr>
            <w:r>
              <w:t>-2</w:t>
            </w:r>
            <w:r>
              <w:rPr>
                <w:rFonts w:hint="eastAsia"/>
              </w:rPr>
              <w:t>S</w:t>
            </w:r>
            <w:r>
              <w:t>P</w:t>
            </w:r>
          </w:p>
        </w:tc>
        <w:tc>
          <w:tcPr>
            <w:tcW w:w="814" w:type="dxa"/>
            <w:vAlign w:val="center"/>
          </w:tcPr>
          <w:p w14:paraId="567EBA9F" w14:textId="77777777" w:rsidR="00E579B9" w:rsidRDefault="006A1398">
            <w:pPr>
              <w:pStyle w:val="aa"/>
            </w:pPr>
            <w:r>
              <w:t>-2</w:t>
            </w:r>
            <w:r>
              <w:rPr>
                <w:rFonts w:hint="eastAsia"/>
              </w:rPr>
              <w:t>S</w:t>
            </w:r>
            <w:r>
              <w:t>P</w:t>
            </w:r>
          </w:p>
        </w:tc>
        <w:tc>
          <w:tcPr>
            <w:tcW w:w="814" w:type="dxa"/>
            <w:vAlign w:val="center"/>
          </w:tcPr>
          <w:p w14:paraId="56CA4226"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c>
          <w:tcPr>
            <w:tcW w:w="814" w:type="dxa"/>
            <w:vAlign w:val="center"/>
          </w:tcPr>
          <w:p w14:paraId="28588439"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c>
          <w:tcPr>
            <w:tcW w:w="811" w:type="dxa"/>
            <w:vAlign w:val="center"/>
          </w:tcPr>
          <w:p w14:paraId="66D53F12"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r>
      <w:tr w:rsidR="00E579B9" w14:paraId="0C70D675" w14:textId="77777777">
        <w:trPr>
          <w:trHeight w:val="260"/>
          <w:jc w:val="center"/>
        </w:trPr>
        <w:tc>
          <w:tcPr>
            <w:tcW w:w="576" w:type="dxa"/>
            <w:vMerge/>
            <w:vAlign w:val="center"/>
          </w:tcPr>
          <w:p w14:paraId="6CA5CBF8" w14:textId="77777777" w:rsidR="00E579B9" w:rsidRDefault="00E579B9">
            <w:pPr>
              <w:pStyle w:val="aa"/>
            </w:pPr>
          </w:p>
        </w:tc>
        <w:tc>
          <w:tcPr>
            <w:tcW w:w="1163" w:type="dxa"/>
            <w:vAlign w:val="center"/>
          </w:tcPr>
          <w:p w14:paraId="2F8ED165" w14:textId="77777777" w:rsidR="00E579B9" w:rsidRDefault="006A1398">
            <w:pPr>
              <w:pStyle w:val="aa"/>
            </w:pPr>
            <w:r>
              <w:t>土建施工</w:t>
            </w:r>
          </w:p>
        </w:tc>
        <w:tc>
          <w:tcPr>
            <w:tcW w:w="698" w:type="dxa"/>
            <w:vAlign w:val="center"/>
          </w:tcPr>
          <w:p w14:paraId="1503E38A" w14:textId="77777777" w:rsidR="00E579B9" w:rsidRDefault="006A1398">
            <w:pPr>
              <w:pStyle w:val="aa"/>
            </w:pPr>
            <w:r>
              <w:t>-1SP</w:t>
            </w:r>
          </w:p>
        </w:tc>
        <w:tc>
          <w:tcPr>
            <w:tcW w:w="814" w:type="dxa"/>
            <w:vAlign w:val="center"/>
          </w:tcPr>
          <w:p w14:paraId="513CE26C" w14:textId="77777777" w:rsidR="00E579B9" w:rsidRDefault="006A1398">
            <w:pPr>
              <w:pStyle w:val="aa"/>
            </w:pPr>
            <w:r>
              <w:t>-1SP</w:t>
            </w:r>
          </w:p>
        </w:tc>
        <w:tc>
          <w:tcPr>
            <w:tcW w:w="814" w:type="dxa"/>
            <w:vAlign w:val="center"/>
          </w:tcPr>
          <w:p w14:paraId="27C73967"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c>
          <w:tcPr>
            <w:tcW w:w="814" w:type="dxa"/>
            <w:vAlign w:val="center"/>
          </w:tcPr>
          <w:p w14:paraId="20F1FB0A" w14:textId="77777777" w:rsidR="00E579B9" w:rsidRDefault="006A1398">
            <w:pPr>
              <w:pStyle w:val="aa"/>
            </w:pPr>
            <w:r>
              <w:t>-1SP</w:t>
            </w:r>
          </w:p>
        </w:tc>
        <w:tc>
          <w:tcPr>
            <w:tcW w:w="814" w:type="dxa"/>
            <w:vAlign w:val="center"/>
          </w:tcPr>
          <w:p w14:paraId="7E386135" w14:textId="77777777" w:rsidR="00E579B9" w:rsidRDefault="006A1398">
            <w:pPr>
              <w:pStyle w:val="aa"/>
            </w:pPr>
            <w:r>
              <w:t>-2</w:t>
            </w:r>
            <w:r>
              <w:rPr>
                <w:rFonts w:hint="eastAsia"/>
              </w:rPr>
              <w:t>S</w:t>
            </w:r>
            <w:r>
              <w:t>P</w:t>
            </w:r>
          </w:p>
        </w:tc>
        <w:tc>
          <w:tcPr>
            <w:tcW w:w="814" w:type="dxa"/>
            <w:vAlign w:val="center"/>
          </w:tcPr>
          <w:p w14:paraId="53F61F65" w14:textId="77777777" w:rsidR="00E579B9" w:rsidRDefault="006A1398">
            <w:pPr>
              <w:pStyle w:val="aa"/>
            </w:pPr>
            <w:r>
              <w:t>-2</w:t>
            </w:r>
            <w:r>
              <w:rPr>
                <w:rFonts w:hint="eastAsia"/>
              </w:rPr>
              <w:t>S</w:t>
            </w:r>
            <w:r>
              <w:t>P</w:t>
            </w:r>
          </w:p>
        </w:tc>
        <w:tc>
          <w:tcPr>
            <w:tcW w:w="814" w:type="dxa"/>
            <w:vAlign w:val="center"/>
          </w:tcPr>
          <w:p w14:paraId="241F4A52"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c>
          <w:tcPr>
            <w:tcW w:w="814" w:type="dxa"/>
            <w:vAlign w:val="center"/>
          </w:tcPr>
          <w:p w14:paraId="5F730374"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1" w:type="dxa"/>
            <w:vAlign w:val="center"/>
          </w:tcPr>
          <w:p w14:paraId="5A5866E9"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r>
      <w:tr w:rsidR="00E579B9" w14:paraId="34CA3CE4" w14:textId="77777777">
        <w:trPr>
          <w:trHeight w:val="337"/>
          <w:jc w:val="center"/>
        </w:trPr>
        <w:tc>
          <w:tcPr>
            <w:tcW w:w="576" w:type="dxa"/>
            <w:vMerge/>
            <w:vAlign w:val="center"/>
          </w:tcPr>
          <w:p w14:paraId="5FE009DD" w14:textId="77777777" w:rsidR="00E579B9" w:rsidRDefault="00E579B9">
            <w:pPr>
              <w:pStyle w:val="aa"/>
            </w:pPr>
          </w:p>
        </w:tc>
        <w:tc>
          <w:tcPr>
            <w:tcW w:w="1163" w:type="dxa"/>
            <w:vAlign w:val="center"/>
          </w:tcPr>
          <w:p w14:paraId="30E74871" w14:textId="77777777" w:rsidR="00E579B9" w:rsidRDefault="006A1398">
            <w:pPr>
              <w:pStyle w:val="aa"/>
            </w:pPr>
            <w:r>
              <w:t>道路建设</w:t>
            </w:r>
          </w:p>
        </w:tc>
        <w:tc>
          <w:tcPr>
            <w:tcW w:w="698" w:type="dxa"/>
            <w:vAlign w:val="center"/>
          </w:tcPr>
          <w:p w14:paraId="33D2D2C5" w14:textId="77777777" w:rsidR="00E579B9" w:rsidRDefault="006A1398">
            <w:pPr>
              <w:pStyle w:val="aa"/>
            </w:pPr>
            <w:r>
              <w:t>-1SP</w:t>
            </w:r>
          </w:p>
        </w:tc>
        <w:tc>
          <w:tcPr>
            <w:tcW w:w="814" w:type="dxa"/>
            <w:vAlign w:val="center"/>
          </w:tcPr>
          <w:p w14:paraId="39ECA07D" w14:textId="77777777" w:rsidR="00E579B9" w:rsidRDefault="00E579B9">
            <w:pPr>
              <w:pStyle w:val="aa"/>
            </w:pPr>
          </w:p>
        </w:tc>
        <w:tc>
          <w:tcPr>
            <w:tcW w:w="814" w:type="dxa"/>
            <w:vAlign w:val="center"/>
          </w:tcPr>
          <w:p w14:paraId="45D5BBD8"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4" w:type="dxa"/>
            <w:vAlign w:val="center"/>
          </w:tcPr>
          <w:p w14:paraId="33941E8B" w14:textId="77777777" w:rsidR="00E579B9" w:rsidRDefault="006A1398">
            <w:pPr>
              <w:pStyle w:val="aa"/>
            </w:pPr>
            <w:r>
              <w:t>-1SP</w:t>
            </w:r>
          </w:p>
        </w:tc>
        <w:tc>
          <w:tcPr>
            <w:tcW w:w="814" w:type="dxa"/>
            <w:vAlign w:val="center"/>
          </w:tcPr>
          <w:p w14:paraId="54648280" w14:textId="77777777" w:rsidR="00E579B9" w:rsidRDefault="006A1398">
            <w:pPr>
              <w:pStyle w:val="aa"/>
            </w:pPr>
            <w:r>
              <w:t>-1</w:t>
            </w:r>
            <w:r>
              <w:rPr>
                <w:rFonts w:hint="eastAsia"/>
              </w:rPr>
              <w:t>S</w:t>
            </w:r>
            <w:r>
              <w:t>P</w:t>
            </w:r>
          </w:p>
        </w:tc>
        <w:tc>
          <w:tcPr>
            <w:tcW w:w="814" w:type="dxa"/>
            <w:vAlign w:val="center"/>
          </w:tcPr>
          <w:p w14:paraId="2EEF57B2" w14:textId="77777777" w:rsidR="00E579B9" w:rsidRDefault="006A1398">
            <w:pPr>
              <w:pStyle w:val="aa"/>
            </w:pPr>
            <w:r>
              <w:t>-1</w:t>
            </w:r>
            <w:r>
              <w:rPr>
                <w:rFonts w:hint="eastAsia"/>
              </w:rPr>
              <w:t>S</w:t>
            </w:r>
            <w:r>
              <w:t>P</w:t>
            </w:r>
          </w:p>
        </w:tc>
        <w:tc>
          <w:tcPr>
            <w:tcW w:w="814" w:type="dxa"/>
            <w:vAlign w:val="center"/>
          </w:tcPr>
          <w:p w14:paraId="2F04106C"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4" w:type="dxa"/>
            <w:vAlign w:val="center"/>
          </w:tcPr>
          <w:p w14:paraId="49F6C105"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c>
          <w:tcPr>
            <w:tcW w:w="811" w:type="dxa"/>
            <w:vAlign w:val="center"/>
          </w:tcPr>
          <w:p w14:paraId="1A57C917"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r>
      <w:tr w:rsidR="00E579B9" w14:paraId="70F79BBD" w14:textId="77777777">
        <w:trPr>
          <w:trHeight w:val="117"/>
          <w:jc w:val="center"/>
        </w:trPr>
        <w:tc>
          <w:tcPr>
            <w:tcW w:w="576" w:type="dxa"/>
            <w:vMerge w:val="restart"/>
            <w:vAlign w:val="center"/>
          </w:tcPr>
          <w:p w14:paraId="4D8EBFE2" w14:textId="77777777" w:rsidR="00E579B9" w:rsidRDefault="006A1398">
            <w:pPr>
              <w:pStyle w:val="aa"/>
            </w:pPr>
            <w:r>
              <w:rPr>
                <w:rFonts w:hint="eastAsia"/>
              </w:rPr>
              <w:t>营运期</w:t>
            </w:r>
          </w:p>
        </w:tc>
        <w:tc>
          <w:tcPr>
            <w:tcW w:w="1163" w:type="dxa"/>
            <w:vAlign w:val="center"/>
          </w:tcPr>
          <w:p w14:paraId="78641EC2" w14:textId="77777777" w:rsidR="00E579B9" w:rsidRDefault="006A1398">
            <w:pPr>
              <w:pStyle w:val="aa"/>
            </w:pPr>
            <w:r>
              <w:t>露天采剥</w:t>
            </w:r>
          </w:p>
        </w:tc>
        <w:tc>
          <w:tcPr>
            <w:tcW w:w="698" w:type="dxa"/>
            <w:vAlign w:val="center"/>
          </w:tcPr>
          <w:p w14:paraId="33FCFAA1" w14:textId="77777777" w:rsidR="00E579B9" w:rsidRDefault="006A1398">
            <w:pPr>
              <w:pStyle w:val="aa"/>
            </w:pPr>
            <w:r>
              <w:t>-1SP</w:t>
            </w:r>
          </w:p>
        </w:tc>
        <w:tc>
          <w:tcPr>
            <w:tcW w:w="814" w:type="dxa"/>
            <w:vAlign w:val="center"/>
          </w:tcPr>
          <w:p w14:paraId="0B27B999" w14:textId="77777777" w:rsidR="00E579B9" w:rsidRDefault="006A1398">
            <w:pPr>
              <w:pStyle w:val="aa"/>
            </w:pPr>
            <w:r>
              <w:t>-1SP</w:t>
            </w:r>
          </w:p>
        </w:tc>
        <w:tc>
          <w:tcPr>
            <w:tcW w:w="814" w:type="dxa"/>
            <w:vAlign w:val="center"/>
          </w:tcPr>
          <w:p w14:paraId="0E07E486"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c>
          <w:tcPr>
            <w:tcW w:w="814" w:type="dxa"/>
            <w:vAlign w:val="center"/>
          </w:tcPr>
          <w:p w14:paraId="5FD69629" w14:textId="77777777" w:rsidR="00E579B9" w:rsidRDefault="006A1398">
            <w:pPr>
              <w:pStyle w:val="aa"/>
            </w:pPr>
            <w:r>
              <w:t>-1SP</w:t>
            </w:r>
          </w:p>
        </w:tc>
        <w:tc>
          <w:tcPr>
            <w:tcW w:w="814" w:type="dxa"/>
            <w:vAlign w:val="center"/>
          </w:tcPr>
          <w:p w14:paraId="464B868D" w14:textId="77777777" w:rsidR="00E579B9" w:rsidRDefault="006A1398">
            <w:pPr>
              <w:pStyle w:val="aa"/>
            </w:pPr>
            <w:r>
              <w:t>-2</w:t>
            </w:r>
            <w:r>
              <w:rPr>
                <w:rFonts w:hint="eastAsia"/>
              </w:rPr>
              <w:t>S</w:t>
            </w:r>
            <w:r>
              <w:t>P</w:t>
            </w:r>
          </w:p>
        </w:tc>
        <w:tc>
          <w:tcPr>
            <w:tcW w:w="814" w:type="dxa"/>
            <w:vAlign w:val="center"/>
          </w:tcPr>
          <w:p w14:paraId="5A759907" w14:textId="77777777" w:rsidR="00E579B9" w:rsidRDefault="006A1398">
            <w:pPr>
              <w:pStyle w:val="aa"/>
            </w:pPr>
            <w:r>
              <w:t>-1</w:t>
            </w:r>
            <w:r>
              <w:rPr>
                <w:rFonts w:hint="eastAsia"/>
              </w:rPr>
              <w:t>S</w:t>
            </w:r>
            <w:r>
              <w:t>P</w:t>
            </w:r>
          </w:p>
        </w:tc>
        <w:tc>
          <w:tcPr>
            <w:tcW w:w="814" w:type="dxa"/>
            <w:vAlign w:val="center"/>
          </w:tcPr>
          <w:p w14:paraId="6C7C7828" w14:textId="77777777" w:rsidR="00E579B9" w:rsidRDefault="006A1398">
            <w:pPr>
              <w:pStyle w:val="aa"/>
            </w:pPr>
            <w:r>
              <w:t>+1</w:t>
            </w:r>
            <w:r>
              <w:rPr>
                <w:rFonts w:hint="eastAsia"/>
              </w:rPr>
              <w:t>S</w:t>
            </w:r>
            <w:r>
              <w:t>P</w:t>
            </w:r>
          </w:p>
        </w:tc>
        <w:tc>
          <w:tcPr>
            <w:tcW w:w="814" w:type="dxa"/>
            <w:vAlign w:val="center"/>
          </w:tcPr>
          <w:p w14:paraId="7E1A95D5"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c>
          <w:tcPr>
            <w:tcW w:w="811" w:type="dxa"/>
            <w:vAlign w:val="center"/>
          </w:tcPr>
          <w:p w14:paraId="5CF2FD98"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r>
      <w:tr w:rsidR="00E579B9" w14:paraId="1BBCB526" w14:textId="77777777">
        <w:trPr>
          <w:trHeight w:val="209"/>
          <w:jc w:val="center"/>
        </w:trPr>
        <w:tc>
          <w:tcPr>
            <w:tcW w:w="576" w:type="dxa"/>
            <w:vMerge/>
            <w:vAlign w:val="center"/>
          </w:tcPr>
          <w:p w14:paraId="661E9499" w14:textId="77777777" w:rsidR="00E579B9" w:rsidRDefault="00E579B9">
            <w:pPr>
              <w:pStyle w:val="aa"/>
            </w:pPr>
          </w:p>
        </w:tc>
        <w:tc>
          <w:tcPr>
            <w:tcW w:w="1163" w:type="dxa"/>
            <w:vAlign w:val="center"/>
          </w:tcPr>
          <w:p w14:paraId="3E37A3FF" w14:textId="77777777" w:rsidR="00E579B9" w:rsidRDefault="006A1398">
            <w:pPr>
              <w:pStyle w:val="aa"/>
            </w:pPr>
            <w:r>
              <w:rPr>
                <w:rFonts w:hint="eastAsia"/>
              </w:rPr>
              <w:t>破碎筛分</w:t>
            </w:r>
            <w:r>
              <w:t>车间</w:t>
            </w:r>
          </w:p>
        </w:tc>
        <w:tc>
          <w:tcPr>
            <w:tcW w:w="698" w:type="dxa"/>
            <w:vAlign w:val="center"/>
          </w:tcPr>
          <w:p w14:paraId="779B557C" w14:textId="77777777" w:rsidR="00E579B9" w:rsidRDefault="006A1398">
            <w:pPr>
              <w:pStyle w:val="aa"/>
            </w:pPr>
            <w:r>
              <w:t>-1SP</w:t>
            </w:r>
          </w:p>
        </w:tc>
        <w:tc>
          <w:tcPr>
            <w:tcW w:w="814" w:type="dxa"/>
            <w:vAlign w:val="center"/>
          </w:tcPr>
          <w:p w14:paraId="1D2B6CD0" w14:textId="77777777" w:rsidR="00E579B9" w:rsidRDefault="006A1398">
            <w:pPr>
              <w:pStyle w:val="aa"/>
            </w:pPr>
            <w:r>
              <w:t>-1SP</w:t>
            </w:r>
          </w:p>
        </w:tc>
        <w:tc>
          <w:tcPr>
            <w:tcW w:w="814" w:type="dxa"/>
            <w:vAlign w:val="center"/>
          </w:tcPr>
          <w:p w14:paraId="25FA174B"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4" w:type="dxa"/>
            <w:vAlign w:val="center"/>
          </w:tcPr>
          <w:p w14:paraId="065C66C6" w14:textId="77777777" w:rsidR="00E579B9" w:rsidRDefault="006A1398">
            <w:pPr>
              <w:pStyle w:val="aa"/>
            </w:pPr>
            <w:r>
              <w:t>-1SP</w:t>
            </w:r>
          </w:p>
        </w:tc>
        <w:tc>
          <w:tcPr>
            <w:tcW w:w="814" w:type="dxa"/>
            <w:vAlign w:val="center"/>
          </w:tcPr>
          <w:p w14:paraId="21DF7B32" w14:textId="77777777" w:rsidR="00E579B9" w:rsidRDefault="006A1398">
            <w:pPr>
              <w:pStyle w:val="aa"/>
            </w:pPr>
            <w:r>
              <w:t>-2</w:t>
            </w:r>
            <w:r>
              <w:rPr>
                <w:rFonts w:hint="eastAsia"/>
              </w:rPr>
              <w:t>S</w:t>
            </w:r>
            <w:r>
              <w:t>P</w:t>
            </w:r>
          </w:p>
        </w:tc>
        <w:tc>
          <w:tcPr>
            <w:tcW w:w="814" w:type="dxa"/>
            <w:vAlign w:val="center"/>
          </w:tcPr>
          <w:p w14:paraId="1585E8A9" w14:textId="77777777" w:rsidR="00E579B9" w:rsidRDefault="006A1398">
            <w:pPr>
              <w:pStyle w:val="aa"/>
            </w:pPr>
            <w:r>
              <w:t>-1</w:t>
            </w:r>
            <w:r>
              <w:rPr>
                <w:rFonts w:hint="eastAsia"/>
              </w:rPr>
              <w:t>S</w:t>
            </w:r>
            <w:r>
              <w:t>P</w:t>
            </w:r>
          </w:p>
        </w:tc>
        <w:tc>
          <w:tcPr>
            <w:tcW w:w="814" w:type="dxa"/>
            <w:vAlign w:val="center"/>
          </w:tcPr>
          <w:p w14:paraId="4D3B5769" w14:textId="77777777" w:rsidR="00E579B9" w:rsidRDefault="006A1398">
            <w:pPr>
              <w:pStyle w:val="aa"/>
            </w:pPr>
            <w:r>
              <w:t>+1</w:t>
            </w:r>
            <w:r>
              <w:rPr>
                <w:rFonts w:hint="eastAsia"/>
              </w:rPr>
              <w:t>S</w:t>
            </w:r>
            <w:r>
              <w:t>P</w:t>
            </w:r>
          </w:p>
        </w:tc>
        <w:tc>
          <w:tcPr>
            <w:tcW w:w="814" w:type="dxa"/>
            <w:vAlign w:val="center"/>
          </w:tcPr>
          <w:p w14:paraId="789543F0"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1" w:type="dxa"/>
            <w:vAlign w:val="center"/>
          </w:tcPr>
          <w:p w14:paraId="115C4481"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r>
      <w:tr w:rsidR="00E579B9" w14:paraId="3AB2A354" w14:textId="77777777">
        <w:trPr>
          <w:trHeight w:val="209"/>
          <w:jc w:val="center"/>
        </w:trPr>
        <w:tc>
          <w:tcPr>
            <w:tcW w:w="576" w:type="dxa"/>
            <w:vMerge/>
            <w:vAlign w:val="center"/>
          </w:tcPr>
          <w:p w14:paraId="317E33B2" w14:textId="77777777" w:rsidR="00E579B9" w:rsidRDefault="00E579B9">
            <w:pPr>
              <w:pStyle w:val="aa"/>
            </w:pPr>
          </w:p>
        </w:tc>
        <w:tc>
          <w:tcPr>
            <w:tcW w:w="1163" w:type="dxa"/>
            <w:vAlign w:val="center"/>
          </w:tcPr>
          <w:p w14:paraId="5191F2AE" w14:textId="77777777" w:rsidR="00E579B9" w:rsidRDefault="006A1398">
            <w:pPr>
              <w:pStyle w:val="aa"/>
            </w:pPr>
            <w:r>
              <w:t>道路运输</w:t>
            </w:r>
          </w:p>
        </w:tc>
        <w:tc>
          <w:tcPr>
            <w:tcW w:w="698" w:type="dxa"/>
            <w:vAlign w:val="center"/>
          </w:tcPr>
          <w:p w14:paraId="6717CDD5" w14:textId="77777777" w:rsidR="00E579B9" w:rsidRDefault="006A1398">
            <w:pPr>
              <w:pStyle w:val="aa"/>
            </w:pPr>
            <w:r>
              <w:t>-1SP</w:t>
            </w:r>
          </w:p>
        </w:tc>
        <w:tc>
          <w:tcPr>
            <w:tcW w:w="814" w:type="dxa"/>
            <w:vAlign w:val="center"/>
          </w:tcPr>
          <w:p w14:paraId="17404F4E"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4" w:type="dxa"/>
            <w:vAlign w:val="center"/>
          </w:tcPr>
          <w:p w14:paraId="192F1E88"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4" w:type="dxa"/>
            <w:vAlign w:val="center"/>
          </w:tcPr>
          <w:p w14:paraId="3FB30DEA" w14:textId="77777777" w:rsidR="00E579B9" w:rsidRDefault="006A1398">
            <w:pPr>
              <w:pStyle w:val="aa"/>
            </w:pPr>
            <w:r>
              <w:t>-1SP</w:t>
            </w:r>
          </w:p>
        </w:tc>
        <w:tc>
          <w:tcPr>
            <w:tcW w:w="814" w:type="dxa"/>
            <w:vAlign w:val="center"/>
          </w:tcPr>
          <w:p w14:paraId="5329A0EC" w14:textId="77777777" w:rsidR="00E579B9" w:rsidRDefault="006A1398">
            <w:pPr>
              <w:pStyle w:val="aa"/>
            </w:pPr>
            <w:r>
              <w:t>-1SP</w:t>
            </w:r>
          </w:p>
        </w:tc>
        <w:tc>
          <w:tcPr>
            <w:tcW w:w="814" w:type="dxa"/>
            <w:vAlign w:val="center"/>
          </w:tcPr>
          <w:p w14:paraId="7F0F728B" w14:textId="77777777" w:rsidR="00E579B9" w:rsidRDefault="006A1398">
            <w:pPr>
              <w:pStyle w:val="aa"/>
            </w:pPr>
            <w:r>
              <w:t>-1SP</w:t>
            </w:r>
          </w:p>
        </w:tc>
        <w:tc>
          <w:tcPr>
            <w:tcW w:w="814" w:type="dxa"/>
            <w:vAlign w:val="center"/>
          </w:tcPr>
          <w:p w14:paraId="0EAA4585" w14:textId="77777777" w:rsidR="00E579B9" w:rsidRDefault="006A1398">
            <w:pPr>
              <w:pStyle w:val="aa"/>
            </w:pPr>
            <w:r>
              <w:t>+1SP</w:t>
            </w:r>
          </w:p>
        </w:tc>
        <w:tc>
          <w:tcPr>
            <w:tcW w:w="814" w:type="dxa"/>
            <w:vAlign w:val="center"/>
          </w:tcPr>
          <w:p w14:paraId="3539BF15" w14:textId="77777777" w:rsidR="00E579B9" w:rsidRDefault="006A1398">
            <w:pPr>
              <w:pStyle w:val="aa"/>
            </w:pPr>
            <w:r>
              <w:t>+1SP</w:t>
            </w:r>
          </w:p>
        </w:tc>
        <w:tc>
          <w:tcPr>
            <w:tcW w:w="811" w:type="dxa"/>
            <w:vAlign w:val="center"/>
          </w:tcPr>
          <w:p w14:paraId="03645236" w14:textId="77777777" w:rsidR="00E579B9" w:rsidRDefault="006A1398">
            <w:pPr>
              <w:pStyle w:val="aa"/>
            </w:pPr>
            <w:r>
              <w:t>+1SP</w:t>
            </w:r>
          </w:p>
        </w:tc>
      </w:tr>
      <w:tr w:rsidR="00E579B9" w14:paraId="0396516C" w14:textId="77777777">
        <w:trPr>
          <w:jc w:val="center"/>
        </w:trPr>
        <w:tc>
          <w:tcPr>
            <w:tcW w:w="576" w:type="dxa"/>
            <w:vMerge/>
            <w:vAlign w:val="center"/>
          </w:tcPr>
          <w:p w14:paraId="7230B2D1" w14:textId="77777777" w:rsidR="00E579B9" w:rsidRDefault="00E579B9">
            <w:pPr>
              <w:pStyle w:val="aa"/>
            </w:pPr>
          </w:p>
        </w:tc>
        <w:tc>
          <w:tcPr>
            <w:tcW w:w="1163" w:type="dxa"/>
            <w:vAlign w:val="center"/>
          </w:tcPr>
          <w:p w14:paraId="5148EBF1" w14:textId="77777777" w:rsidR="00E579B9" w:rsidRDefault="006A1398">
            <w:pPr>
              <w:pStyle w:val="aa"/>
            </w:pPr>
            <w:proofErr w:type="gramStart"/>
            <w:r>
              <w:rPr>
                <w:rFonts w:hint="eastAsia"/>
              </w:rPr>
              <w:t>表土场</w:t>
            </w:r>
            <w:proofErr w:type="gramEnd"/>
          </w:p>
        </w:tc>
        <w:tc>
          <w:tcPr>
            <w:tcW w:w="698" w:type="dxa"/>
            <w:vAlign w:val="center"/>
          </w:tcPr>
          <w:p w14:paraId="75906BAB" w14:textId="77777777" w:rsidR="00E579B9" w:rsidRDefault="006A1398">
            <w:pPr>
              <w:pStyle w:val="aa"/>
            </w:pPr>
            <w:r>
              <w:t>-1SP</w:t>
            </w:r>
          </w:p>
        </w:tc>
        <w:tc>
          <w:tcPr>
            <w:tcW w:w="814" w:type="dxa"/>
            <w:vAlign w:val="center"/>
          </w:tcPr>
          <w:p w14:paraId="407F6746" w14:textId="77777777" w:rsidR="00E579B9" w:rsidRDefault="006A1398">
            <w:pPr>
              <w:pStyle w:val="aa"/>
            </w:pPr>
            <w:r>
              <w:t>-1SP</w:t>
            </w:r>
          </w:p>
        </w:tc>
        <w:tc>
          <w:tcPr>
            <w:tcW w:w="814" w:type="dxa"/>
            <w:vAlign w:val="center"/>
          </w:tcPr>
          <w:p w14:paraId="72A9AE7C" w14:textId="77777777" w:rsidR="00E579B9" w:rsidRDefault="006A1398">
            <w:pPr>
              <w:pStyle w:val="aa"/>
            </w:pPr>
            <w:r>
              <w:t>-1SP</w:t>
            </w:r>
          </w:p>
        </w:tc>
        <w:tc>
          <w:tcPr>
            <w:tcW w:w="814" w:type="dxa"/>
            <w:vAlign w:val="center"/>
          </w:tcPr>
          <w:p w14:paraId="7297C4E1"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c>
          <w:tcPr>
            <w:tcW w:w="814" w:type="dxa"/>
            <w:vAlign w:val="center"/>
          </w:tcPr>
          <w:p w14:paraId="4368D311" w14:textId="77777777" w:rsidR="00E579B9" w:rsidRDefault="006A1398">
            <w:pPr>
              <w:pStyle w:val="aa"/>
            </w:pPr>
            <w:r>
              <w:t>-2SP</w:t>
            </w:r>
          </w:p>
        </w:tc>
        <w:tc>
          <w:tcPr>
            <w:tcW w:w="814" w:type="dxa"/>
            <w:vAlign w:val="center"/>
          </w:tcPr>
          <w:p w14:paraId="2775F93C" w14:textId="77777777" w:rsidR="00E579B9" w:rsidRDefault="006A1398">
            <w:pPr>
              <w:pStyle w:val="aa"/>
            </w:pPr>
            <w:r>
              <w:t>-2SP</w:t>
            </w:r>
          </w:p>
        </w:tc>
        <w:tc>
          <w:tcPr>
            <w:tcW w:w="814" w:type="dxa"/>
            <w:vAlign w:val="center"/>
          </w:tcPr>
          <w:p w14:paraId="73E74644"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c>
          <w:tcPr>
            <w:tcW w:w="814" w:type="dxa"/>
            <w:vAlign w:val="center"/>
          </w:tcPr>
          <w:p w14:paraId="0A7F85E2"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1" w:type="dxa"/>
            <w:vAlign w:val="center"/>
          </w:tcPr>
          <w:p w14:paraId="593FE739"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r>
      <w:tr w:rsidR="00E579B9" w14:paraId="757D6C7D" w14:textId="77777777">
        <w:trPr>
          <w:jc w:val="center"/>
        </w:trPr>
        <w:tc>
          <w:tcPr>
            <w:tcW w:w="576" w:type="dxa"/>
            <w:vAlign w:val="center"/>
          </w:tcPr>
          <w:p w14:paraId="38BE5C4D" w14:textId="77777777" w:rsidR="00E579B9" w:rsidRDefault="006A1398">
            <w:pPr>
              <w:pStyle w:val="aa"/>
            </w:pPr>
            <w:r>
              <w:t>闭矿期</w:t>
            </w:r>
          </w:p>
        </w:tc>
        <w:tc>
          <w:tcPr>
            <w:tcW w:w="1163" w:type="dxa"/>
            <w:vAlign w:val="center"/>
          </w:tcPr>
          <w:p w14:paraId="79E7B50F" w14:textId="77777777" w:rsidR="00E579B9" w:rsidRDefault="006A1398">
            <w:pPr>
              <w:pStyle w:val="aa"/>
            </w:pPr>
            <w:r>
              <w:t>生态恢复</w:t>
            </w:r>
          </w:p>
        </w:tc>
        <w:tc>
          <w:tcPr>
            <w:tcW w:w="698" w:type="dxa"/>
            <w:vAlign w:val="center"/>
          </w:tcPr>
          <w:p w14:paraId="4919FE67"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c>
          <w:tcPr>
            <w:tcW w:w="814" w:type="dxa"/>
            <w:vAlign w:val="center"/>
          </w:tcPr>
          <w:p w14:paraId="05419C4C"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4" w:type="dxa"/>
            <w:vAlign w:val="center"/>
          </w:tcPr>
          <w:p w14:paraId="4115D225"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4" w:type="dxa"/>
            <w:vAlign w:val="center"/>
          </w:tcPr>
          <w:p w14:paraId="7D2BBAAB"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4" w:type="dxa"/>
            <w:vAlign w:val="center"/>
          </w:tcPr>
          <w:p w14:paraId="11A51B2C" w14:textId="77777777" w:rsidR="00E579B9" w:rsidRDefault="006A1398">
            <w:pPr>
              <w:pStyle w:val="aa"/>
            </w:pPr>
            <w:r>
              <w:t>+2SP</w:t>
            </w:r>
          </w:p>
        </w:tc>
        <w:tc>
          <w:tcPr>
            <w:tcW w:w="814" w:type="dxa"/>
            <w:vAlign w:val="center"/>
          </w:tcPr>
          <w:p w14:paraId="061033F1" w14:textId="77777777" w:rsidR="00E579B9" w:rsidRDefault="006A1398">
            <w:pPr>
              <w:pStyle w:val="aa"/>
            </w:pPr>
            <w:r>
              <w:t>+2SP</w:t>
            </w:r>
          </w:p>
        </w:tc>
        <w:tc>
          <w:tcPr>
            <w:tcW w:w="814" w:type="dxa"/>
            <w:vAlign w:val="center"/>
          </w:tcPr>
          <w:p w14:paraId="36A54692" w14:textId="77777777" w:rsidR="00E579B9" w:rsidRDefault="006A1398">
            <w:pPr>
              <w:spacing w:line="360" w:lineRule="exact"/>
              <w:ind w:firstLineChars="0" w:firstLine="0"/>
              <w:jc w:val="center"/>
              <w:rPr>
                <w:rFonts w:cs="Times New Roman"/>
                <w:kern w:val="0"/>
                <w:sz w:val="21"/>
                <w:szCs w:val="21"/>
              </w:rPr>
            </w:pPr>
            <w:r>
              <w:rPr>
                <w:rFonts w:hint="eastAsia"/>
                <w:kern w:val="0"/>
                <w:sz w:val="21"/>
                <w:szCs w:val="21"/>
              </w:rPr>
              <w:t>-</w:t>
            </w:r>
          </w:p>
        </w:tc>
        <w:tc>
          <w:tcPr>
            <w:tcW w:w="814" w:type="dxa"/>
            <w:vAlign w:val="center"/>
          </w:tcPr>
          <w:p w14:paraId="7D911458"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811" w:type="dxa"/>
            <w:vAlign w:val="center"/>
          </w:tcPr>
          <w:p w14:paraId="41C674D8"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r>
    </w:tbl>
    <w:p w14:paraId="67B7F86F" w14:textId="77777777" w:rsidR="00E579B9" w:rsidRDefault="006A1398">
      <w:r>
        <w:t>注：影响程度：</w:t>
      </w:r>
      <w:r>
        <w:t>-</w:t>
      </w:r>
      <w:r>
        <w:rPr>
          <w:rFonts w:hint="eastAsia"/>
        </w:rPr>
        <w:t>—不利影响；</w:t>
      </w:r>
      <w:r>
        <w:rPr>
          <w:rFonts w:hint="eastAsia"/>
        </w:rPr>
        <w:t>+</w:t>
      </w:r>
      <w:proofErr w:type="gramStart"/>
      <w:r>
        <w:rPr>
          <w:rFonts w:hint="eastAsia"/>
        </w:rPr>
        <w:t>—有利</w:t>
      </w:r>
      <w:proofErr w:type="gramEnd"/>
      <w:r>
        <w:rPr>
          <w:rFonts w:hint="eastAsia"/>
        </w:rPr>
        <w:t>影响；</w:t>
      </w:r>
      <w:r>
        <w:rPr>
          <w:rFonts w:hint="eastAsia"/>
        </w:rPr>
        <w:t>3</w:t>
      </w:r>
      <w:proofErr w:type="gramStart"/>
      <w:r>
        <w:rPr>
          <w:rFonts w:hint="eastAsia"/>
        </w:rPr>
        <w:t>—重大</w:t>
      </w:r>
      <w:proofErr w:type="gramEnd"/>
      <w:r>
        <w:rPr>
          <w:rFonts w:hint="eastAsia"/>
        </w:rPr>
        <w:t>影响；</w:t>
      </w:r>
      <w:r>
        <w:rPr>
          <w:rFonts w:hint="eastAsia"/>
        </w:rPr>
        <w:t>2</w:t>
      </w:r>
      <w:r>
        <w:rPr>
          <w:rFonts w:hint="eastAsia"/>
        </w:rPr>
        <w:t>—中等影响；</w:t>
      </w:r>
      <w:r>
        <w:t>1</w:t>
      </w:r>
      <w:r>
        <w:rPr>
          <w:rFonts w:hint="eastAsia"/>
        </w:rPr>
        <w:t>—轻度影响；</w:t>
      </w:r>
      <w:r>
        <w:rPr>
          <w:rFonts w:hint="eastAsia"/>
        </w:rPr>
        <w:t>S-</w:t>
      </w:r>
      <w:r>
        <w:rPr>
          <w:rFonts w:hint="eastAsia"/>
        </w:rPr>
        <w:t>短期；</w:t>
      </w:r>
      <w:r>
        <w:rPr>
          <w:rFonts w:hint="eastAsia"/>
        </w:rPr>
        <w:t>L-</w:t>
      </w:r>
      <w:r>
        <w:rPr>
          <w:rFonts w:hint="eastAsia"/>
        </w:rPr>
        <w:t>长期；影响范围：</w:t>
      </w:r>
      <w:r>
        <w:rPr>
          <w:rFonts w:hint="eastAsia"/>
        </w:rPr>
        <w:t>P-</w:t>
      </w:r>
      <w:r>
        <w:rPr>
          <w:rFonts w:hint="eastAsia"/>
        </w:rPr>
        <w:t>局部；</w:t>
      </w:r>
      <w:r>
        <w:rPr>
          <w:rFonts w:hint="eastAsia"/>
        </w:rPr>
        <w:t>W-</w:t>
      </w:r>
      <w:r>
        <w:rPr>
          <w:rFonts w:hint="eastAsia"/>
        </w:rPr>
        <w:t>大范围。</w:t>
      </w:r>
    </w:p>
    <w:p w14:paraId="17C2B270" w14:textId="77777777" w:rsidR="00E579B9" w:rsidRDefault="006A1398">
      <w:r>
        <w:t>由上表可以看出：</w:t>
      </w:r>
    </w:p>
    <w:p w14:paraId="23442CAF" w14:textId="77777777" w:rsidR="00E579B9" w:rsidRDefault="006A1398">
      <w:r>
        <w:t>（</w:t>
      </w:r>
      <w:r>
        <w:t>1</w:t>
      </w:r>
      <w:r>
        <w:t>）该</w:t>
      </w:r>
      <w:r>
        <w:rPr>
          <w:rFonts w:hint="eastAsia"/>
        </w:rPr>
        <w:t>项目</w:t>
      </w:r>
      <w:r>
        <w:t>将在基建期、运营期、闭矿期对周围</w:t>
      </w:r>
      <w:r>
        <w:rPr>
          <w:rFonts w:hint="eastAsia"/>
        </w:rPr>
        <w:t>大</w:t>
      </w:r>
      <w:r>
        <w:t>气</w:t>
      </w:r>
      <w:r>
        <w:rPr>
          <w:rFonts w:hint="eastAsia"/>
        </w:rPr>
        <w:t>环境</w:t>
      </w:r>
      <w:r>
        <w:t>、水环境、声环境与生态环境产生短期局部的轻微不利影响；</w:t>
      </w:r>
    </w:p>
    <w:p w14:paraId="0972FFAF" w14:textId="77777777" w:rsidR="00E579B9" w:rsidRDefault="006A1398">
      <w:r>
        <w:t>（</w:t>
      </w:r>
      <w:r>
        <w:t>2</w:t>
      </w:r>
      <w:r>
        <w:t>）</w:t>
      </w:r>
      <w:r>
        <w:rPr>
          <w:rFonts w:hint="eastAsia"/>
        </w:rPr>
        <w:t>项目</w:t>
      </w:r>
      <w:r>
        <w:t>的主要环境影响因素是废气、废水、噪声和固体废物；主要特征污染因子为</w:t>
      </w:r>
      <w:r>
        <w:rPr>
          <w:rFonts w:hint="eastAsia"/>
        </w:rPr>
        <w:t>破碎</w:t>
      </w:r>
      <w:r>
        <w:t>筛分粉尘、爆破废气、生活废水、扬尘、等效</w:t>
      </w:r>
      <w:r>
        <w:t>A</w:t>
      </w:r>
      <w:r>
        <w:t>声级、表土、风化层；</w:t>
      </w:r>
    </w:p>
    <w:p w14:paraId="1BC78257" w14:textId="77777777" w:rsidR="00E579B9" w:rsidRDefault="006A1398">
      <w:r>
        <w:t>（</w:t>
      </w:r>
      <w:r>
        <w:t>3</w:t>
      </w:r>
      <w:r>
        <w:t>）采矿工程导致</w:t>
      </w:r>
      <w:r>
        <w:rPr>
          <w:rFonts w:hint="eastAsia"/>
        </w:rPr>
        <w:t>矿区</w:t>
      </w:r>
      <w:r>
        <w:t>生态环境的变化。</w:t>
      </w:r>
    </w:p>
    <w:p w14:paraId="4FE00C0F" w14:textId="77777777" w:rsidR="00E579B9" w:rsidRDefault="006A1398">
      <w:pPr>
        <w:pStyle w:val="2"/>
        <w:ind w:firstLine="560"/>
        <w:rPr>
          <w:rFonts w:eastAsia="楷体_GB2312"/>
        </w:rPr>
      </w:pPr>
      <w:bookmarkStart w:id="42" w:name="_Toc535847426"/>
      <w:bookmarkStart w:id="43" w:name="_Toc33021785"/>
      <w:r>
        <w:t>2.6</w:t>
      </w:r>
      <w:r>
        <w:t>评价因子筛选</w:t>
      </w:r>
      <w:bookmarkEnd w:id="42"/>
      <w:bookmarkEnd w:id="43"/>
    </w:p>
    <w:p w14:paraId="613B8E16" w14:textId="77777777" w:rsidR="00E579B9" w:rsidRDefault="006A1398">
      <w:r>
        <w:t>根据环境影响要素识别结果，结合建设项目工程特征、排污种类、排污去向及周围地区环境质量状况，确定本次评价因子见表</w:t>
      </w:r>
      <w:r>
        <w:t>2.6-1</w:t>
      </w:r>
      <w:r>
        <w:t>。</w:t>
      </w:r>
    </w:p>
    <w:p w14:paraId="44C6DEBF" w14:textId="77777777" w:rsidR="00E579B9" w:rsidRDefault="006A1398">
      <w:pPr>
        <w:pStyle w:val="21"/>
      </w:pPr>
      <w:r>
        <w:t>表</w:t>
      </w:r>
      <w:r>
        <w:t>2.6-1</w:t>
      </w:r>
      <w:r>
        <w:t>评价因子筛选</w:t>
      </w:r>
    </w:p>
    <w:tbl>
      <w:tblPr>
        <w:tblW w:w="8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1267"/>
        <w:gridCol w:w="4029"/>
        <w:gridCol w:w="2410"/>
        <w:gridCol w:w="1128"/>
      </w:tblGrid>
      <w:tr w:rsidR="00E579B9" w14:paraId="05340F9A" w14:textId="77777777">
        <w:tc>
          <w:tcPr>
            <w:tcW w:w="1267" w:type="dxa"/>
            <w:vAlign w:val="center"/>
          </w:tcPr>
          <w:p w14:paraId="1C5C2FCA" w14:textId="77777777" w:rsidR="00E579B9" w:rsidRDefault="006A1398">
            <w:pPr>
              <w:pStyle w:val="aa"/>
            </w:pPr>
            <w:r>
              <w:t>环境要素</w:t>
            </w:r>
          </w:p>
        </w:tc>
        <w:tc>
          <w:tcPr>
            <w:tcW w:w="4029" w:type="dxa"/>
            <w:vAlign w:val="center"/>
          </w:tcPr>
          <w:p w14:paraId="17A2092A" w14:textId="77777777" w:rsidR="00E579B9" w:rsidRDefault="006A1398">
            <w:pPr>
              <w:pStyle w:val="aa"/>
            </w:pPr>
            <w:r>
              <w:t>现状评价因子</w:t>
            </w:r>
          </w:p>
        </w:tc>
        <w:tc>
          <w:tcPr>
            <w:tcW w:w="2410" w:type="dxa"/>
            <w:vAlign w:val="center"/>
          </w:tcPr>
          <w:p w14:paraId="3E464D40" w14:textId="77777777" w:rsidR="00E579B9" w:rsidRDefault="006A1398">
            <w:pPr>
              <w:pStyle w:val="aa"/>
            </w:pPr>
            <w:r>
              <w:t>影响评价因子</w:t>
            </w:r>
          </w:p>
        </w:tc>
        <w:tc>
          <w:tcPr>
            <w:tcW w:w="1128" w:type="dxa"/>
            <w:vAlign w:val="center"/>
          </w:tcPr>
          <w:p w14:paraId="2A0E648C" w14:textId="77777777" w:rsidR="00E579B9" w:rsidRDefault="006A1398">
            <w:pPr>
              <w:pStyle w:val="aa"/>
            </w:pPr>
            <w:r>
              <w:t>总量控制因子</w:t>
            </w:r>
          </w:p>
        </w:tc>
      </w:tr>
      <w:tr w:rsidR="00E579B9" w14:paraId="5B6468EE" w14:textId="77777777">
        <w:tc>
          <w:tcPr>
            <w:tcW w:w="1267" w:type="dxa"/>
            <w:vAlign w:val="center"/>
          </w:tcPr>
          <w:p w14:paraId="39473806" w14:textId="77777777" w:rsidR="00E579B9" w:rsidRDefault="006A1398">
            <w:pPr>
              <w:pStyle w:val="aa"/>
            </w:pPr>
            <w:r>
              <w:t>大气环境</w:t>
            </w:r>
          </w:p>
        </w:tc>
        <w:tc>
          <w:tcPr>
            <w:tcW w:w="4029" w:type="dxa"/>
            <w:vAlign w:val="center"/>
          </w:tcPr>
          <w:p w14:paraId="7C3D170B" w14:textId="77777777" w:rsidR="00E579B9" w:rsidRDefault="006A1398">
            <w:pPr>
              <w:pStyle w:val="aa"/>
            </w:pPr>
            <w:r>
              <w:t>SO</w:t>
            </w:r>
            <w:r>
              <w:rPr>
                <w:vertAlign w:val="subscript"/>
              </w:rPr>
              <w:t>2</w:t>
            </w:r>
            <w:r>
              <w:t>、</w:t>
            </w:r>
            <w:r>
              <w:t>NO</w:t>
            </w:r>
            <w:r>
              <w:rPr>
                <w:vertAlign w:val="subscript"/>
              </w:rPr>
              <w:t>2</w:t>
            </w:r>
            <w:r>
              <w:t>、</w:t>
            </w:r>
            <w:r>
              <w:t>PM</w:t>
            </w:r>
            <w:r>
              <w:rPr>
                <w:vertAlign w:val="subscript"/>
              </w:rPr>
              <w:t>10</w:t>
            </w:r>
            <w:r>
              <w:t>、</w:t>
            </w:r>
            <w:r>
              <w:t>PM</w:t>
            </w:r>
            <w:r>
              <w:rPr>
                <w:vertAlign w:val="subscript"/>
              </w:rPr>
              <w:t>2.5</w:t>
            </w:r>
            <w:r>
              <w:t>、</w:t>
            </w:r>
            <w:r>
              <w:t>TSP</w:t>
            </w:r>
          </w:p>
        </w:tc>
        <w:tc>
          <w:tcPr>
            <w:tcW w:w="2410" w:type="dxa"/>
            <w:vAlign w:val="center"/>
          </w:tcPr>
          <w:p w14:paraId="4EA9EB2B" w14:textId="77777777" w:rsidR="00E579B9" w:rsidRDefault="006A1398">
            <w:pPr>
              <w:pStyle w:val="aa"/>
            </w:pPr>
            <w:r>
              <w:t>颗粒物</w:t>
            </w:r>
          </w:p>
        </w:tc>
        <w:tc>
          <w:tcPr>
            <w:tcW w:w="1128" w:type="dxa"/>
            <w:vAlign w:val="center"/>
          </w:tcPr>
          <w:p w14:paraId="67AFB94B" w14:textId="77777777" w:rsidR="00E579B9" w:rsidRDefault="006A1398">
            <w:pPr>
              <w:pStyle w:val="aa"/>
            </w:pPr>
            <w:r>
              <w:rPr>
                <w:rFonts w:hint="eastAsia"/>
              </w:rPr>
              <w:t>-</w:t>
            </w:r>
          </w:p>
        </w:tc>
      </w:tr>
      <w:tr w:rsidR="00E579B9" w14:paraId="4FD52C5A" w14:textId="77777777">
        <w:tc>
          <w:tcPr>
            <w:tcW w:w="1267" w:type="dxa"/>
            <w:vAlign w:val="center"/>
          </w:tcPr>
          <w:p w14:paraId="361A67E0" w14:textId="77777777" w:rsidR="00E579B9" w:rsidRDefault="006A1398">
            <w:pPr>
              <w:pStyle w:val="aa"/>
            </w:pPr>
            <w:r>
              <w:lastRenderedPageBreak/>
              <w:t>地表水环境</w:t>
            </w:r>
          </w:p>
        </w:tc>
        <w:tc>
          <w:tcPr>
            <w:tcW w:w="4029" w:type="dxa"/>
            <w:vAlign w:val="center"/>
          </w:tcPr>
          <w:p w14:paraId="2E0FC80E" w14:textId="77777777" w:rsidR="00E579B9" w:rsidRDefault="006A1398">
            <w:pPr>
              <w:pStyle w:val="aa"/>
            </w:pPr>
            <w:r>
              <w:t>pH</w:t>
            </w:r>
            <w:r>
              <w:rPr>
                <w:rFonts w:ascii="宋体" w:hAnsi="宋体"/>
              </w:rPr>
              <w:t>、</w:t>
            </w:r>
            <w:r>
              <w:t>COD</w:t>
            </w:r>
            <w:r>
              <w:rPr>
                <w:rFonts w:ascii="宋体" w:hAnsi="宋体"/>
              </w:rPr>
              <w:t>、</w:t>
            </w:r>
            <w:r>
              <w:t>氨氮、</w:t>
            </w:r>
            <w:r>
              <w:rPr>
                <w:rFonts w:hint="eastAsia"/>
              </w:rPr>
              <w:t>总磷</w:t>
            </w:r>
          </w:p>
        </w:tc>
        <w:tc>
          <w:tcPr>
            <w:tcW w:w="2410" w:type="dxa"/>
            <w:vAlign w:val="center"/>
          </w:tcPr>
          <w:p w14:paraId="2E7A8619" w14:textId="77777777" w:rsidR="00E579B9" w:rsidRDefault="006A1398">
            <w:pPr>
              <w:pStyle w:val="aa"/>
            </w:pPr>
            <w:r>
              <w:t>pH</w:t>
            </w:r>
            <w:r>
              <w:rPr>
                <w:rFonts w:ascii="宋体" w:hAnsi="宋体"/>
              </w:rPr>
              <w:t>、</w:t>
            </w:r>
            <w:r>
              <w:t>COD</w:t>
            </w:r>
            <w:r>
              <w:rPr>
                <w:rFonts w:ascii="宋体" w:hAnsi="宋体"/>
              </w:rPr>
              <w:t>、</w:t>
            </w:r>
            <w:r>
              <w:t>BOD</w:t>
            </w:r>
            <w:r>
              <w:rPr>
                <w:vertAlign w:val="subscript"/>
              </w:rPr>
              <w:t>5</w:t>
            </w:r>
            <w:r>
              <w:t>、氨氮</w:t>
            </w:r>
          </w:p>
        </w:tc>
        <w:tc>
          <w:tcPr>
            <w:tcW w:w="1128" w:type="dxa"/>
            <w:vAlign w:val="center"/>
          </w:tcPr>
          <w:p w14:paraId="2D772BB9" w14:textId="77777777" w:rsidR="00E579B9" w:rsidRDefault="006A1398">
            <w:pPr>
              <w:pStyle w:val="aa"/>
            </w:pPr>
            <w:r>
              <w:t>COD</w:t>
            </w:r>
            <w:r>
              <w:rPr>
                <w:rFonts w:ascii="宋体" w:hAnsi="宋体"/>
              </w:rPr>
              <w:t>、氨氮</w:t>
            </w:r>
          </w:p>
        </w:tc>
      </w:tr>
      <w:tr w:rsidR="00E579B9" w14:paraId="36619FAE" w14:textId="77777777">
        <w:trPr>
          <w:trHeight w:val="934"/>
        </w:trPr>
        <w:tc>
          <w:tcPr>
            <w:tcW w:w="1267" w:type="dxa"/>
            <w:vAlign w:val="center"/>
          </w:tcPr>
          <w:p w14:paraId="401351DC" w14:textId="77777777" w:rsidR="00E579B9" w:rsidRDefault="006A1398">
            <w:pPr>
              <w:pStyle w:val="aa"/>
            </w:pPr>
            <w:r>
              <w:t>地下水环境</w:t>
            </w:r>
          </w:p>
        </w:tc>
        <w:tc>
          <w:tcPr>
            <w:tcW w:w="4029" w:type="dxa"/>
            <w:vAlign w:val="center"/>
          </w:tcPr>
          <w:p w14:paraId="4038449B" w14:textId="77777777" w:rsidR="00E579B9" w:rsidRDefault="006A1398">
            <w:pPr>
              <w:pStyle w:val="aa"/>
            </w:pPr>
            <w:r>
              <w:t>pH</w:t>
            </w:r>
            <w:r>
              <w:rPr>
                <w:rFonts w:ascii="宋体" w:hAnsi="宋体"/>
              </w:rPr>
              <w:t>、总硬度、</w:t>
            </w:r>
            <w:r>
              <w:rPr>
                <w:rFonts w:hint="eastAsia"/>
              </w:rPr>
              <w:t>耗氧量</w:t>
            </w:r>
            <w:r>
              <w:t>、溶解性总固体、</w:t>
            </w:r>
            <w:r>
              <w:rPr>
                <w:rFonts w:hint="eastAsia"/>
              </w:rPr>
              <w:t>氨氮、亚硝酸盐、</w:t>
            </w:r>
            <w:r>
              <w:t>总大肠菌群</w:t>
            </w:r>
            <w:r>
              <w:rPr>
                <w:rFonts w:hint="eastAsia"/>
              </w:rPr>
              <w:t>；</w:t>
            </w:r>
          </w:p>
          <w:p w14:paraId="49ACC66D" w14:textId="77777777" w:rsidR="00E579B9" w:rsidRDefault="006A1398">
            <w:pPr>
              <w:pStyle w:val="aa"/>
            </w:pPr>
            <w:r>
              <w:t>K+</w:t>
            </w:r>
            <w:r>
              <w:rPr>
                <w:rFonts w:ascii="宋体" w:hAnsi="宋体"/>
              </w:rPr>
              <w:t>、</w:t>
            </w:r>
            <w:r>
              <w:t>Na+</w:t>
            </w:r>
            <w:r>
              <w:rPr>
                <w:rFonts w:ascii="宋体" w:hAnsi="宋体"/>
              </w:rPr>
              <w:t>、</w:t>
            </w:r>
            <w:r>
              <w:t>Ca</w:t>
            </w:r>
            <w:r>
              <w:rPr>
                <w:vertAlign w:val="superscript"/>
              </w:rPr>
              <w:t>+</w:t>
            </w:r>
            <w:r>
              <w:t>、</w:t>
            </w:r>
            <w:r>
              <w:t>Mg</w:t>
            </w:r>
            <w:r>
              <w:rPr>
                <w:vertAlign w:val="superscript"/>
              </w:rPr>
              <w:t>+</w:t>
            </w:r>
            <w:r>
              <w:t>、</w:t>
            </w:r>
            <w:r>
              <w:t>CO</w:t>
            </w:r>
            <w:r>
              <w:rPr>
                <w:vertAlign w:val="superscript"/>
              </w:rPr>
              <w:t>3-</w:t>
            </w:r>
            <w:r>
              <w:t>、</w:t>
            </w:r>
            <w:r>
              <w:t>HCO</w:t>
            </w:r>
            <w:r>
              <w:rPr>
                <w:vertAlign w:val="superscript"/>
              </w:rPr>
              <w:t>3-</w:t>
            </w:r>
            <w:r>
              <w:t>、</w:t>
            </w:r>
            <w:r>
              <w:t>Cl</w:t>
            </w:r>
            <w:r>
              <w:rPr>
                <w:vertAlign w:val="superscript"/>
              </w:rPr>
              <w:t>-</w:t>
            </w:r>
            <w:r>
              <w:t>、</w:t>
            </w:r>
            <w:r>
              <w:t>SO</w:t>
            </w:r>
            <w:r>
              <w:rPr>
                <w:vertAlign w:val="subscript"/>
              </w:rPr>
              <w:t>4</w:t>
            </w:r>
            <w:r>
              <w:rPr>
                <w:vertAlign w:val="superscript"/>
              </w:rPr>
              <w:t>2-</w:t>
            </w:r>
          </w:p>
        </w:tc>
        <w:tc>
          <w:tcPr>
            <w:tcW w:w="2410" w:type="dxa"/>
            <w:vAlign w:val="center"/>
          </w:tcPr>
          <w:p w14:paraId="04450E74" w14:textId="77777777" w:rsidR="00E579B9" w:rsidRDefault="006A1398">
            <w:pPr>
              <w:pStyle w:val="aa"/>
            </w:pPr>
            <w:r>
              <w:rPr>
                <w:rFonts w:hint="eastAsia"/>
              </w:rPr>
              <w:t>/</w:t>
            </w:r>
          </w:p>
        </w:tc>
        <w:tc>
          <w:tcPr>
            <w:tcW w:w="1128" w:type="dxa"/>
            <w:vAlign w:val="center"/>
          </w:tcPr>
          <w:p w14:paraId="68483D39" w14:textId="77777777" w:rsidR="00E579B9" w:rsidRDefault="006A1398">
            <w:pPr>
              <w:pStyle w:val="aa"/>
            </w:pPr>
            <w:r>
              <w:t>/</w:t>
            </w:r>
          </w:p>
        </w:tc>
      </w:tr>
      <w:tr w:rsidR="00E579B9" w14:paraId="0B720F0D" w14:textId="77777777">
        <w:trPr>
          <w:trHeight w:val="46"/>
        </w:trPr>
        <w:tc>
          <w:tcPr>
            <w:tcW w:w="1267" w:type="dxa"/>
            <w:vAlign w:val="center"/>
          </w:tcPr>
          <w:p w14:paraId="5A37A63C" w14:textId="77777777" w:rsidR="00E579B9" w:rsidRDefault="006A1398">
            <w:pPr>
              <w:pStyle w:val="aa"/>
            </w:pPr>
            <w:r>
              <w:t>声环境</w:t>
            </w:r>
          </w:p>
        </w:tc>
        <w:tc>
          <w:tcPr>
            <w:tcW w:w="4029" w:type="dxa"/>
            <w:vAlign w:val="center"/>
          </w:tcPr>
          <w:p w14:paraId="23F12557" w14:textId="77777777" w:rsidR="00E579B9" w:rsidRDefault="006A1398">
            <w:pPr>
              <w:pStyle w:val="aa"/>
            </w:pPr>
            <w:proofErr w:type="spellStart"/>
            <w:r>
              <w:t>LAeq</w:t>
            </w:r>
            <w:proofErr w:type="spellEnd"/>
          </w:p>
        </w:tc>
        <w:tc>
          <w:tcPr>
            <w:tcW w:w="2410" w:type="dxa"/>
            <w:vAlign w:val="center"/>
          </w:tcPr>
          <w:p w14:paraId="75323067" w14:textId="77777777" w:rsidR="00E579B9" w:rsidRDefault="006A1398">
            <w:pPr>
              <w:pStyle w:val="aa"/>
            </w:pPr>
            <w:proofErr w:type="spellStart"/>
            <w:r>
              <w:t>LAeq</w:t>
            </w:r>
            <w:proofErr w:type="spellEnd"/>
          </w:p>
        </w:tc>
        <w:tc>
          <w:tcPr>
            <w:tcW w:w="1128" w:type="dxa"/>
            <w:vAlign w:val="center"/>
          </w:tcPr>
          <w:p w14:paraId="2177C94B" w14:textId="77777777" w:rsidR="00E579B9" w:rsidRDefault="006A1398">
            <w:pPr>
              <w:pStyle w:val="aa"/>
            </w:pPr>
            <w:r>
              <w:t>/</w:t>
            </w:r>
          </w:p>
        </w:tc>
      </w:tr>
      <w:tr w:rsidR="00E579B9" w14:paraId="3A186365" w14:textId="77777777">
        <w:trPr>
          <w:trHeight w:val="158"/>
        </w:trPr>
        <w:tc>
          <w:tcPr>
            <w:tcW w:w="1267" w:type="dxa"/>
            <w:vAlign w:val="center"/>
          </w:tcPr>
          <w:p w14:paraId="31B8202B" w14:textId="77777777" w:rsidR="00E579B9" w:rsidRDefault="006A1398">
            <w:pPr>
              <w:pStyle w:val="aa"/>
            </w:pPr>
            <w:r>
              <w:rPr>
                <w:rFonts w:hint="eastAsia"/>
              </w:rPr>
              <w:t>土壤环境</w:t>
            </w:r>
          </w:p>
        </w:tc>
        <w:tc>
          <w:tcPr>
            <w:tcW w:w="4029" w:type="dxa"/>
            <w:vAlign w:val="center"/>
          </w:tcPr>
          <w:p w14:paraId="7FB6DF2B" w14:textId="77777777" w:rsidR="00E579B9" w:rsidRDefault="006A1398">
            <w:pPr>
              <w:pStyle w:val="aa"/>
            </w:pPr>
            <w:r>
              <w:rPr>
                <w:rFonts w:hint="eastAsia"/>
              </w:rPr>
              <w:t>pH</w:t>
            </w:r>
            <w:r>
              <w:rPr>
                <w:rFonts w:ascii="宋体" w:hAnsi="宋体" w:hint="eastAsia"/>
              </w:rPr>
              <w:t>、锌、</w:t>
            </w:r>
            <w:r>
              <w:t>砷、镉、铬（六价）、铜、铅、汞、镍、四氯化碳、氯仿、氯甲烷、</w:t>
            </w:r>
            <w:r>
              <w:t>1,1-</w:t>
            </w:r>
            <w:r>
              <w:rPr>
                <w:rFonts w:ascii="宋体" w:hAnsi="宋体"/>
              </w:rPr>
              <w:t>二氯乙烷、</w:t>
            </w:r>
            <w:r>
              <w:t>1,2-</w:t>
            </w:r>
            <w:r>
              <w:rPr>
                <w:rFonts w:ascii="宋体" w:hAnsi="宋体"/>
              </w:rPr>
              <w:t>二氯乙烷、</w:t>
            </w:r>
            <w:r>
              <w:t>1,1-</w:t>
            </w:r>
            <w:r>
              <w:rPr>
                <w:rFonts w:ascii="宋体" w:hAnsi="宋体"/>
              </w:rPr>
              <w:t>二氯乙烯、顺</w:t>
            </w:r>
            <w:r>
              <w:t>-1,2-</w:t>
            </w:r>
            <w:r>
              <w:rPr>
                <w:rFonts w:ascii="宋体" w:hAnsi="宋体"/>
              </w:rPr>
              <w:t>二氯乙烯、反</w:t>
            </w:r>
            <w:r>
              <w:t>-1,2-</w:t>
            </w:r>
            <w:r>
              <w:rPr>
                <w:rFonts w:ascii="宋体" w:hAnsi="宋体"/>
              </w:rPr>
              <w:t>二氯乙烯、二氯甲烷、</w:t>
            </w:r>
            <w:r>
              <w:t>1,2-</w:t>
            </w:r>
            <w:r>
              <w:rPr>
                <w:rFonts w:ascii="宋体" w:hAnsi="宋体"/>
              </w:rPr>
              <w:t>二氯丙烷、</w:t>
            </w:r>
            <w:r>
              <w:t>1,1,1,2-</w:t>
            </w:r>
            <w:r>
              <w:rPr>
                <w:rFonts w:ascii="宋体" w:hAnsi="宋体"/>
              </w:rPr>
              <w:t>四氯乙烷、</w:t>
            </w:r>
            <w:r>
              <w:t>1,1,2,2-</w:t>
            </w:r>
            <w:r>
              <w:rPr>
                <w:rFonts w:ascii="宋体" w:hAnsi="宋体"/>
              </w:rPr>
              <w:t>四氯乙烷、四氯乙烯、</w:t>
            </w:r>
            <w:bookmarkStart w:id="44" w:name="OLE_LINK1"/>
            <w:r>
              <w:t>1,1,1-</w:t>
            </w:r>
            <w:r>
              <w:rPr>
                <w:rFonts w:ascii="宋体" w:hAnsi="宋体"/>
              </w:rPr>
              <w:t>三氯乙烷、</w:t>
            </w:r>
            <w:bookmarkEnd w:id="44"/>
            <w:r>
              <w:t>1,1,2-</w:t>
            </w:r>
            <w:r>
              <w:rPr>
                <w:rFonts w:ascii="宋体" w:hAnsi="宋体"/>
              </w:rPr>
              <w:t>三氯乙烷、三氯乙烯、</w:t>
            </w:r>
            <w:r>
              <w:t>1,2,3-</w:t>
            </w:r>
            <w:r>
              <w:rPr>
                <w:rFonts w:ascii="宋体" w:hAnsi="宋体"/>
              </w:rPr>
              <w:t>三氯丙烷、氯乙烯、苯、氯苯、</w:t>
            </w:r>
            <w:r>
              <w:t>1,2-</w:t>
            </w:r>
            <w:r>
              <w:rPr>
                <w:rFonts w:ascii="宋体" w:hAnsi="宋体"/>
              </w:rPr>
              <w:t>二氯苯、</w:t>
            </w:r>
            <w:r>
              <w:t>1,4-</w:t>
            </w:r>
            <w:r>
              <w:rPr>
                <w:rFonts w:ascii="宋体" w:hAnsi="宋体"/>
              </w:rPr>
              <w:t>二氯苯、乙苯、苯乙烯、甲苯、间二甲苯</w:t>
            </w:r>
            <w:r>
              <w:t>+</w:t>
            </w:r>
            <w:r>
              <w:rPr>
                <w:rFonts w:ascii="宋体" w:hAnsi="宋体"/>
              </w:rPr>
              <w:t>对二甲苯、邻二甲苯、硝基苯、苯胺、</w:t>
            </w:r>
            <w:r>
              <w:t>2-</w:t>
            </w:r>
            <w:r>
              <w:rPr>
                <w:rFonts w:ascii="宋体" w:hAnsi="宋体"/>
              </w:rPr>
              <w:t>氯酚、苯并</w:t>
            </w:r>
            <w:r>
              <w:t>[a]</w:t>
            </w:r>
            <w:proofErr w:type="gramStart"/>
            <w:r>
              <w:rPr>
                <w:rFonts w:ascii="宋体" w:hAnsi="宋体"/>
              </w:rPr>
              <w:t>蒽</w:t>
            </w:r>
            <w:proofErr w:type="gramEnd"/>
            <w:r>
              <w:rPr>
                <w:rFonts w:ascii="宋体" w:hAnsi="宋体"/>
              </w:rPr>
              <w:t>、苯并</w:t>
            </w:r>
            <w:r>
              <w:t>[a]</w:t>
            </w:r>
            <w:proofErr w:type="gramStart"/>
            <w:r>
              <w:rPr>
                <w:rFonts w:ascii="宋体" w:hAnsi="宋体"/>
              </w:rPr>
              <w:t>芘</w:t>
            </w:r>
            <w:proofErr w:type="gramEnd"/>
            <w:r>
              <w:rPr>
                <w:rFonts w:ascii="宋体" w:hAnsi="宋体"/>
              </w:rPr>
              <w:t>、、苯并</w:t>
            </w:r>
            <w:r>
              <w:t>[b]</w:t>
            </w:r>
            <w:proofErr w:type="gramStart"/>
            <w:r>
              <w:rPr>
                <w:rFonts w:ascii="宋体" w:hAnsi="宋体"/>
              </w:rPr>
              <w:t>荧蒽</w:t>
            </w:r>
            <w:proofErr w:type="gramEnd"/>
            <w:r>
              <w:rPr>
                <w:rFonts w:ascii="宋体" w:hAnsi="宋体"/>
              </w:rPr>
              <w:t>、苯并</w:t>
            </w:r>
            <w:r>
              <w:t>[k]</w:t>
            </w:r>
            <w:proofErr w:type="gramStart"/>
            <w:r>
              <w:rPr>
                <w:rFonts w:ascii="宋体" w:hAnsi="宋体"/>
              </w:rPr>
              <w:t>荧蒽</w:t>
            </w:r>
            <w:proofErr w:type="gramEnd"/>
            <w:r>
              <w:rPr>
                <w:rFonts w:ascii="宋体" w:hAnsi="宋体"/>
              </w:rPr>
              <w:t>、</w:t>
            </w:r>
            <w:r>
              <w:rPr>
                <w:rFonts w:eastAsia="微软雅黑"/>
              </w:rPr>
              <w:t>䓛</w:t>
            </w:r>
            <w:r>
              <w:t>、二苯并</w:t>
            </w:r>
            <w:r>
              <w:t>[a</w:t>
            </w:r>
            <w:r>
              <w:rPr>
                <w:rFonts w:ascii="宋体" w:hAnsi="宋体"/>
              </w:rPr>
              <w:t>、</w:t>
            </w:r>
            <w:r>
              <w:t>h]</w:t>
            </w:r>
            <w:proofErr w:type="gramStart"/>
            <w:r>
              <w:rPr>
                <w:rFonts w:ascii="宋体" w:hAnsi="宋体"/>
              </w:rPr>
              <w:t>蒽</w:t>
            </w:r>
            <w:proofErr w:type="gramEnd"/>
            <w:r>
              <w:rPr>
                <w:rFonts w:ascii="宋体" w:hAnsi="宋体"/>
              </w:rPr>
              <w:t>、</w:t>
            </w:r>
            <w:proofErr w:type="gramStart"/>
            <w:r>
              <w:rPr>
                <w:rFonts w:ascii="宋体" w:hAnsi="宋体"/>
              </w:rPr>
              <w:t>茚</w:t>
            </w:r>
            <w:proofErr w:type="gramEnd"/>
            <w:r>
              <w:rPr>
                <w:rFonts w:ascii="宋体" w:hAnsi="宋体"/>
              </w:rPr>
              <w:t>并</w:t>
            </w:r>
            <w:r>
              <w:t>[1,2,3-cd]</w:t>
            </w:r>
            <w:proofErr w:type="gramStart"/>
            <w:r>
              <w:rPr>
                <w:rFonts w:ascii="宋体" w:hAnsi="宋体"/>
              </w:rPr>
              <w:t>芘</w:t>
            </w:r>
            <w:proofErr w:type="gramEnd"/>
            <w:r>
              <w:rPr>
                <w:rFonts w:ascii="宋体" w:hAnsi="宋体"/>
              </w:rPr>
              <w:t>、</w:t>
            </w:r>
            <w:proofErr w:type="gramStart"/>
            <w:r>
              <w:rPr>
                <w:rFonts w:ascii="宋体" w:hAnsi="宋体"/>
              </w:rPr>
              <w:t>萘</w:t>
            </w:r>
            <w:proofErr w:type="gramEnd"/>
          </w:p>
        </w:tc>
        <w:tc>
          <w:tcPr>
            <w:tcW w:w="2410" w:type="dxa"/>
            <w:vAlign w:val="center"/>
          </w:tcPr>
          <w:p w14:paraId="259C74C0" w14:textId="77777777" w:rsidR="00E579B9" w:rsidRDefault="006A1398">
            <w:pPr>
              <w:pStyle w:val="aa"/>
            </w:pPr>
            <w:r>
              <w:rPr>
                <w:rFonts w:hint="eastAsia"/>
              </w:rPr>
              <w:t>/</w:t>
            </w:r>
          </w:p>
        </w:tc>
        <w:tc>
          <w:tcPr>
            <w:tcW w:w="1128" w:type="dxa"/>
            <w:vAlign w:val="center"/>
          </w:tcPr>
          <w:p w14:paraId="7E37B49A" w14:textId="77777777" w:rsidR="00E579B9" w:rsidRDefault="006A1398">
            <w:pPr>
              <w:pStyle w:val="aa"/>
            </w:pPr>
            <w:r>
              <w:rPr>
                <w:rFonts w:hint="eastAsia"/>
              </w:rPr>
              <w:t>/</w:t>
            </w:r>
          </w:p>
        </w:tc>
      </w:tr>
      <w:tr w:rsidR="00E579B9" w14:paraId="24AE61D7" w14:textId="77777777">
        <w:tc>
          <w:tcPr>
            <w:tcW w:w="1267" w:type="dxa"/>
            <w:vAlign w:val="center"/>
          </w:tcPr>
          <w:p w14:paraId="54A9DF73" w14:textId="77777777" w:rsidR="00E579B9" w:rsidRDefault="006A1398">
            <w:pPr>
              <w:pStyle w:val="aa"/>
            </w:pPr>
            <w:r>
              <w:t>固体废物</w:t>
            </w:r>
          </w:p>
        </w:tc>
        <w:tc>
          <w:tcPr>
            <w:tcW w:w="4029" w:type="dxa"/>
            <w:vAlign w:val="center"/>
          </w:tcPr>
          <w:p w14:paraId="13EE1CBE" w14:textId="77777777" w:rsidR="00E579B9" w:rsidRDefault="006A1398">
            <w:pPr>
              <w:pStyle w:val="aa"/>
            </w:pPr>
            <w:r>
              <w:t>/</w:t>
            </w:r>
          </w:p>
        </w:tc>
        <w:tc>
          <w:tcPr>
            <w:tcW w:w="2410" w:type="dxa"/>
            <w:vAlign w:val="center"/>
          </w:tcPr>
          <w:p w14:paraId="30D14FF5" w14:textId="77777777" w:rsidR="00E579B9" w:rsidRDefault="006A1398">
            <w:pPr>
              <w:pStyle w:val="aa"/>
            </w:pPr>
            <w:r>
              <w:t>生活垃圾、</w:t>
            </w:r>
            <w:r>
              <w:rPr>
                <w:rFonts w:hint="eastAsia"/>
              </w:rPr>
              <w:t>收集粉尘</w:t>
            </w:r>
          </w:p>
        </w:tc>
        <w:tc>
          <w:tcPr>
            <w:tcW w:w="1128" w:type="dxa"/>
            <w:vAlign w:val="center"/>
          </w:tcPr>
          <w:p w14:paraId="68F546EA" w14:textId="77777777" w:rsidR="00E579B9" w:rsidRDefault="006A1398">
            <w:pPr>
              <w:pStyle w:val="aa"/>
            </w:pPr>
            <w:r>
              <w:t>/</w:t>
            </w:r>
          </w:p>
        </w:tc>
      </w:tr>
      <w:tr w:rsidR="00E579B9" w14:paraId="4870EEAC" w14:textId="77777777">
        <w:tc>
          <w:tcPr>
            <w:tcW w:w="1267" w:type="dxa"/>
            <w:vAlign w:val="center"/>
          </w:tcPr>
          <w:p w14:paraId="50EC3EFC" w14:textId="77777777" w:rsidR="00E579B9" w:rsidRDefault="006A1398">
            <w:pPr>
              <w:pStyle w:val="aa"/>
            </w:pPr>
            <w:r>
              <w:rPr>
                <w:rFonts w:hint="eastAsia"/>
              </w:rPr>
              <w:t>生态环境</w:t>
            </w:r>
          </w:p>
        </w:tc>
        <w:tc>
          <w:tcPr>
            <w:tcW w:w="4029" w:type="dxa"/>
            <w:vAlign w:val="center"/>
          </w:tcPr>
          <w:p w14:paraId="12392723" w14:textId="77777777" w:rsidR="00E579B9" w:rsidRDefault="006A1398">
            <w:pPr>
              <w:pStyle w:val="aa"/>
            </w:pPr>
            <w:r>
              <w:t>土地利用现状、生物多样性、植被覆盖率</w:t>
            </w:r>
            <w:r>
              <w:rPr>
                <w:rFonts w:hint="eastAsia"/>
              </w:rPr>
              <w:t>、动植物、水土流失</w:t>
            </w:r>
          </w:p>
        </w:tc>
        <w:tc>
          <w:tcPr>
            <w:tcW w:w="2410" w:type="dxa"/>
            <w:vAlign w:val="center"/>
          </w:tcPr>
          <w:p w14:paraId="359F182C" w14:textId="77777777" w:rsidR="00E579B9" w:rsidRDefault="006A1398">
            <w:pPr>
              <w:pStyle w:val="aa"/>
            </w:pPr>
            <w:r>
              <w:rPr>
                <w:rFonts w:hint="eastAsia"/>
              </w:rPr>
              <w:t>新增水土流失量，土地与植被结构变化，生物多样性变化</w:t>
            </w:r>
          </w:p>
        </w:tc>
        <w:tc>
          <w:tcPr>
            <w:tcW w:w="1128" w:type="dxa"/>
            <w:vAlign w:val="center"/>
          </w:tcPr>
          <w:p w14:paraId="336F1B23" w14:textId="77777777" w:rsidR="00E579B9" w:rsidRDefault="006A1398">
            <w:pPr>
              <w:pStyle w:val="aa"/>
            </w:pPr>
            <w:r>
              <w:rPr>
                <w:rFonts w:hint="eastAsia"/>
              </w:rPr>
              <w:t>/</w:t>
            </w:r>
          </w:p>
        </w:tc>
      </w:tr>
    </w:tbl>
    <w:p w14:paraId="2F8117F9" w14:textId="77777777" w:rsidR="00E579B9" w:rsidRDefault="006A1398">
      <w:pPr>
        <w:pStyle w:val="2"/>
        <w:ind w:firstLine="560"/>
      </w:pPr>
      <w:bookmarkStart w:id="45" w:name="_Toc535847427"/>
      <w:bookmarkStart w:id="46" w:name="_Toc33021786"/>
      <w:r>
        <w:rPr>
          <w:rFonts w:hint="eastAsia"/>
        </w:rPr>
        <w:t>2.</w:t>
      </w:r>
      <w:r>
        <w:t>7</w:t>
      </w:r>
      <w:r>
        <w:rPr>
          <w:rFonts w:hint="eastAsia"/>
        </w:rPr>
        <w:t>评价标准</w:t>
      </w:r>
      <w:bookmarkEnd w:id="45"/>
      <w:bookmarkEnd w:id="46"/>
    </w:p>
    <w:p w14:paraId="30A474A3" w14:textId="77777777" w:rsidR="00E579B9" w:rsidRDefault="006A1398">
      <w:pPr>
        <w:pStyle w:val="3"/>
        <w:ind w:firstLine="560"/>
      </w:pPr>
      <w:bookmarkStart w:id="47" w:name="_Toc535847428"/>
      <w:bookmarkStart w:id="48" w:name="_Toc535847429"/>
      <w:r>
        <w:t>2.7.1</w:t>
      </w:r>
      <w:r>
        <w:t>环境质量标准</w:t>
      </w:r>
      <w:bookmarkEnd w:id="47"/>
    </w:p>
    <w:p w14:paraId="301B67AF" w14:textId="77777777" w:rsidR="00E579B9" w:rsidRDefault="006A1398">
      <w:pPr>
        <w:pStyle w:val="21"/>
      </w:pPr>
      <w:r>
        <w:t>表</w:t>
      </w:r>
      <w:r>
        <w:t>2.7-1</w:t>
      </w:r>
      <w:r>
        <w:t>环境质量标准一览表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2810"/>
        <w:gridCol w:w="2203"/>
        <w:gridCol w:w="2909"/>
      </w:tblGrid>
      <w:tr w:rsidR="00E579B9" w14:paraId="20E6962E" w14:textId="77777777">
        <w:trPr>
          <w:trHeight w:val="625"/>
          <w:jc w:val="center"/>
        </w:trPr>
        <w:tc>
          <w:tcPr>
            <w:tcW w:w="798" w:type="dxa"/>
            <w:tcBorders>
              <w:top w:val="single" w:sz="4" w:space="0" w:color="auto"/>
              <w:left w:val="single" w:sz="4" w:space="0" w:color="auto"/>
              <w:bottom w:val="single" w:sz="4" w:space="0" w:color="auto"/>
              <w:right w:val="single" w:sz="4" w:space="0" w:color="auto"/>
            </w:tcBorders>
            <w:vAlign w:val="center"/>
          </w:tcPr>
          <w:p w14:paraId="26656F94" w14:textId="77777777" w:rsidR="00E579B9" w:rsidRDefault="006A1398">
            <w:pPr>
              <w:pStyle w:val="aa"/>
            </w:pPr>
            <w:r>
              <w:t>环境要素</w:t>
            </w:r>
          </w:p>
        </w:tc>
        <w:tc>
          <w:tcPr>
            <w:tcW w:w="2810" w:type="dxa"/>
            <w:tcBorders>
              <w:top w:val="single" w:sz="4" w:space="0" w:color="auto"/>
              <w:left w:val="nil"/>
              <w:bottom w:val="single" w:sz="4" w:space="0" w:color="auto"/>
              <w:right w:val="single" w:sz="4" w:space="0" w:color="auto"/>
            </w:tcBorders>
            <w:vAlign w:val="center"/>
          </w:tcPr>
          <w:p w14:paraId="1C7653CA" w14:textId="77777777" w:rsidR="00E579B9" w:rsidRDefault="006A1398">
            <w:pPr>
              <w:pStyle w:val="aa"/>
            </w:pPr>
            <w:r>
              <w:t>标准名称及级（类）别</w:t>
            </w:r>
          </w:p>
        </w:tc>
        <w:tc>
          <w:tcPr>
            <w:tcW w:w="2203" w:type="dxa"/>
            <w:tcBorders>
              <w:top w:val="single" w:sz="4" w:space="0" w:color="auto"/>
              <w:left w:val="nil"/>
              <w:bottom w:val="single" w:sz="4" w:space="0" w:color="auto"/>
              <w:right w:val="single" w:sz="4" w:space="0" w:color="auto"/>
            </w:tcBorders>
            <w:vAlign w:val="center"/>
          </w:tcPr>
          <w:p w14:paraId="027929C1" w14:textId="77777777" w:rsidR="00E579B9" w:rsidRDefault="006A1398">
            <w:pPr>
              <w:pStyle w:val="aa"/>
            </w:pPr>
            <w:r>
              <w:t>项目</w:t>
            </w:r>
          </w:p>
        </w:tc>
        <w:tc>
          <w:tcPr>
            <w:tcW w:w="2909" w:type="dxa"/>
            <w:tcBorders>
              <w:top w:val="single" w:sz="4" w:space="0" w:color="auto"/>
              <w:left w:val="nil"/>
              <w:bottom w:val="single" w:sz="4" w:space="0" w:color="auto"/>
              <w:right w:val="single" w:sz="4" w:space="0" w:color="auto"/>
            </w:tcBorders>
            <w:vAlign w:val="center"/>
          </w:tcPr>
          <w:p w14:paraId="7D437B85" w14:textId="77777777" w:rsidR="00E579B9" w:rsidRDefault="006A1398">
            <w:pPr>
              <w:pStyle w:val="aa"/>
            </w:pPr>
            <w:r>
              <w:t>标准限值</w:t>
            </w:r>
          </w:p>
        </w:tc>
      </w:tr>
      <w:tr w:rsidR="00E579B9" w14:paraId="3FAC1E96" w14:textId="77777777">
        <w:trPr>
          <w:trHeight w:val="50"/>
          <w:jc w:val="center"/>
        </w:trPr>
        <w:tc>
          <w:tcPr>
            <w:tcW w:w="798" w:type="dxa"/>
            <w:vMerge w:val="restart"/>
            <w:tcBorders>
              <w:top w:val="nil"/>
              <w:left w:val="single" w:sz="4" w:space="0" w:color="auto"/>
              <w:bottom w:val="single" w:sz="4" w:space="0" w:color="auto"/>
              <w:right w:val="single" w:sz="4" w:space="0" w:color="auto"/>
            </w:tcBorders>
            <w:vAlign w:val="center"/>
          </w:tcPr>
          <w:p w14:paraId="491C2CAA" w14:textId="77777777" w:rsidR="00E579B9" w:rsidRDefault="006A1398">
            <w:pPr>
              <w:pStyle w:val="aa"/>
            </w:pPr>
            <w:r>
              <w:t>环境空气</w:t>
            </w:r>
          </w:p>
        </w:tc>
        <w:tc>
          <w:tcPr>
            <w:tcW w:w="2810" w:type="dxa"/>
            <w:vMerge w:val="restart"/>
            <w:tcBorders>
              <w:top w:val="nil"/>
              <w:left w:val="nil"/>
              <w:bottom w:val="single" w:sz="4" w:space="0" w:color="auto"/>
              <w:right w:val="single" w:sz="4" w:space="0" w:color="auto"/>
            </w:tcBorders>
            <w:vAlign w:val="center"/>
          </w:tcPr>
          <w:p w14:paraId="58EA5A4F" w14:textId="77777777" w:rsidR="00E579B9" w:rsidRDefault="006A1398">
            <w:pPr>
              <w:pStyle w:val="aa"/>
            </w:pPr>
            <w:r>
              <w:t>《环境空气质量标准》（</w:t>
            </w:r>
            <w:r>
              <w:t>GB3095-2012</w:t>
            </w:r>
            <w:r>
              <w:rPr>
                <w:rFonts w:ascii="宋体" w:hAnsi="宋体"/>
              </w:rPr>
              <w:t>）二级标准</w:t>
            </w:r>
          </w:p>
        </w:tc>
        <w:tc>
          <w:tcPr>
            <w:tcW w:w="2203" w:type="dxa"/>
            <w:tcBorders>
              <w:top w:val="single" w:sz="4" w:space="0" w:color="auto"/>
              <w:left w:val="nil"/>
              <w:bottom w:val="single" w:sz="4" w:space="0" w:color="auto"/>
              <w:right w:val="single" w:sz="4" w:space="0" w:color="auto"/>
            </w:tcBorders>
            <w:vAlign w:val="center"/>
          </w:tcPr>
          <w:p w14:paraId="31977FC3" w14:textId="77777777" w:rsidR="00E579B9" w:rsidRDefault="006A1398">
            <w:pPr>
              <w:pStyle w:val="aa"/>
            </w:pPr>
            <w:r>
              <w:t>TSP</w:t>
            </w:r>
          </w:p>
        </w:tc>
        <w:tc>
          <w:tcPr>
            <w:tcW w:w="2909" w:type="dxa"/>
            <w:tcBorders>
              <w:top w:val="single" w:sz="4" w:space="0" w:color="auto"/>
              <w:left w:val="nil"/>
              <w:bottom w:val="single" w:sz="4" w:space="0" w:color="auto"/>
              <w:right w:val="single" w:sz="4" w:space="0" w:color="auto"/>
            </w:tcBorders>
            <w:vAlign w:val="center"/>
          </w:tcPr>
          <w:p w14:paraId="1C0D275F" w14:textId="77777777" w:rsidR="00E579B9" w:rsidRDefault="006A1398">
            <w:pPr>
              <w:pStyle w:val="aa"/>
            </w:pPr>
            <w:r>
              <w:t>24</w:t>
            </w:r>
            <w:r>
              <w:rPr>
                <w:rFonts w:ascii="宋体" w:hAnsi="宋体"/>
              </w:rPr>
              <w:t>小时平均</w:t>
            </w:r>
            <w:r>
              <w:t>300μg/m</w:t>
            </w:r>
            <w:r>
              <w:rPr>
                <w:vertAlign w:val="superscript"/>
              </w:rPr>
              <w:t>3</w:t>
            </w:r>
          </w:p>
        </w:tc>
      </w:tr>
      <w:tr w:rsidR="00E579B9" w14:paraId="5BA548BC"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491E2760"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24D96146" w14:textId="77777777" w:rsidR="00E579B9" w:rsidRDefault="00E579B9">
            <w:pPr>
              <w:pStyle w:val="aa"/>
            </w:pPr>
          </w:p>
        </w:tc>
        <w:tc>
          <w:tcPr>
            <w:tcW w:w="2203" w:type="dxa"/>
            <w:vMerge w:val="restart"/>
            <w:tcBorders>
              <w:top w:val="nil"/>
              <w:left w:val="nil"/>
              <w:bottom w:val="single" w:sz="4" w:space="0" w:color="auto"/>
              <w:right w:val="single" w:sz="4" w:space="0" w:color="auto"/>
            </w:tcBorders>
            <w:vAlign w:val="center"/>
          </w:tcPr>
          <w:p w14:paraId="42757446" w14:textId="77777777" w:rsidR="00E579B9" w:rsidRDefault="006A1398">
            <w:pPr>
              <w:pStyle w:val="aa"/>
            </w:pPr>
            <w:r>
              <w:t>PM</w:t>
            </w:r>
            <w:r>
              <w:rPr>
                <w:vertAlign w:val="subscript"/>
              </w:rPr>
              <w:t>10</w:t>
            </w:r>
          </w:p>
        </w:tc>
        <w:tc>
          <w:tcPr>
            <w:tcW w:w="2909" w:type="dxa"/>
            <w:tcBorders>
              <w:top w:val="single" w:sz="4" w:space="0" w:color="auto"/>
              <w:left w:val="nil"/>
              <w:bottom w:val="single" w:sz="4" w:space="0" w:color="auto"/>
              <w:right w:val="single" w:sz="4" w:space="0" w:color="auto"/>
            </w:tcBorders>
            <w:vAlign w:val="center"/>
          </w:tcPr>
          <w:p w14:paraId="2EFA83F6" w14:textId="77777777" w:rsidR="00E579B9" w:rsidRDefault="006A1398">
            <w:pPr>
              <w:pStyle w:val="aa"/>
              <w:rPr>
                <w:spacing w:val="2"/>
              </w:rPr>
            </w:pPr>
            <w:r>
              <w:t>年平均</w:t>
            </w:r>
            <w:r>
              <w:t>70</w:t>
            </w:r>
            <w:r>
              <w:rPr>
                <w:spacing w:val="2"/>
              </w:rPr>
              <w:t>μ</w:t>
            </w:r>
            <w:r>
              <w:t>g/m</w:t>
            </w:r>
            <w:r>
              <w:rPr>
                <w:vertAlign w:val="superscript"/>
              </w:rPr>
              <w:t>3</w:t>
            </w:r>
          </w:p>
        </w:tc>
      </w:tr>
      <w:tr w:rsidR="00E579B9" w14:paraId="12B133E7"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6EE4425D"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45D2E378" w14:textId="77777777" w:rsidR="00E579B9" w:rsidRDefault="00E579B9">
            <w:pPr>
              <w:pStyle w:val="aa"/>
            </w:pPr>
          </w:p>
        </w:tc>
        <w:tc>
          <w:tcPr>
            <w:tcW w:w="2203" w:type="dxa"/>
            <w:vMerge/>
            <w:tcBorders>
              <w:top w:val="nil"/>
              <w:left w:val="nil"/>
              <w:bottom w:val="single" w:sz="4" w:space="0" w:color="auto"/>
              <w:right w:val="single" w:sz="4" w:space="0" w:color="auto"/>
            </w:tcBorders>
            <w:vAlign w:val="center"/>
          </w:tcPr>
          <w:p w14:paraId="466D4BD5" w14:textId="77777777" w:rsidR="00E579B9" w:rsidRDefault="00E579B9">
            <w:pPr>
              <w:pStyle w:val="aa"/>
            </w:pPr>
          </w:p>
        </w:tc>
        <w:tc>
          <w:tcPr>
            <w:tcW w:w="2909" w:type="dxa"/>
            <w:tcBorders>
              <w:top w:val="single" w:sz="4" w:space="0" w:color="auto"/>
              <w:left w:val="nil"/>
              <w:bottom w:val="single" w:sz="4" w:space="0" w:color="auto"/>
              <w:right w:val="single" w:sz="4" w:space="0" w:color="auto"/>
            </w:tcBorders>
            <w:vAlign w:val="center"/>
          </w:tcPr>
          <w:p w14:paraId="6A031107" w14:textId="77777777" w:rsidR="00E579B9" w:rsidRDefault="006A1398">
            <w:pPr>
              <w:pStyle w:val="aa"/>
            </w:pPr>
            <w:r>
              <w:t>24</w:t>
            </w:r>
            <w:r>
              <w:rPr>
                <w:rFonts w:ascii="宋体" w:hAnsi="宋体"/>
              </w:rPr>
              <w:t>小时平均</w:t>
            </w:r>
            <w:r>
              <w:t>150μg/m</w:t>
            </w:r>
            <w:r>
              <w:rPr>
                <w:vertAlign w:val="superscript"/>
              </w:rPr>
              <w:t>3</w:t>
            </w:r>
          </w:p>
        </w:tc>
      </w:tr>
      <w:tr w:rsidR="00E579B9" w14:paraId="01804C21"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3320F026"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11A9A35F" w14:textId="77777777" w:rsidR="00E579B9" w:rsidRDefault="00E579B9">
            <w:pPr>
              <w:pStyle w:val="aa"/>
            </w:pPr>
          </w:p>
        </w:tc>
        <w:tc>
          <w:tcPr>
            <w:tcW w:w="2203" w:type="dxa"/>
            <w:vMerge w:val="restart"/>
            <w:tcBorders>
              <w:top w:val="nil"/>
              <w:left w:val="nil"/>
              <w:bottom w:val="single" w:sz="4" w:space="0" w:color="auto"/>
              <w:right w:val="single" w:sz="4" w:space="0" w:color="auto"/>
            </w:tcBorders>
            <w:vAlign w:val="center"/>
          </w:tcPr>
          <w:p w14:paraId="33ED2484" w14:textId="77777777" w:rsidR="00E579B9" w:rsidRDefault="006A1398">
            <w:pPr>
              <w:pStyle w:val="aa"/>
            </w:pPr>
            <w:r>
              <w:t>PM</w:t>
            </w:r>
            <w:r>
              <w:rPr>
                <w:vertAlign w:val="subscript"/>
              </w:rPr>
              <w:t>2.5</w:t>
            </w:r>
          </w:p>
        </w:tc>
        <w:tc>
          <w:tcPr>
            <w:tcW w:w="2909" w:type="dxa"/>
            <w:tcBorders>
              <w:top w:val="single" w:sz="4" w:space="0" w:color="auto"/>
              <w:left w:val="nil"/>
              <w:bottom w:val="single" w:sz="4" w:space="0" w:color="auto"/>
              <w:right w:val="single" w:sz="4" w:space="0" w:color="auto"/>
            </w:tcBorders>
            <w:vAlign w:val="center"/>
          </w:tcPr>
          <w:p w14:paraId="2B9EADDA" w14:textId="77777777" w:rsidR="00E579B9" w:rsidRDefault="006A1398">
            <w:pPr>
              <w:pStyle w:val="aa"/>
              <w:rPr>
                <w:spacing w:val="2"/>
              </w:rPr>
            </w:pPr>
            <w:r>
              <w:t>年平均</w:t>
            </w:r>
            <w:r>
              <w:t>35</w:t>
            </w:r>
            <w:r>
              <w:rPr>
                <w:spacing w:val="2"/>
              </w:rPr>
              <w:t>μ</w:t>
            </w:r>
            <w:r>
              <w:t>g/m</w:t>
            </w:r>
            <w:r>
              <w:rPr>
                <w:vertAlign w:val="superscript"/>
              </w:rPr>
              <w:t>3</w:t>
            </w:r>
          </w:p>
        </w:tc>
      </w:tr>
      <w:tr w:rsidR="00E579B9" w14:paraId="411FA6EA"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31F54FDA"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2B052B13" w14:textId="77777777" w:rsidR="00E579B9" w:rsidRDefault="00E579B9">
            <w:pPr>
              <w:pStyle w:val="aa"/>
            </w:pPr>
          </w:p>
        </w:tc>
        <w:tc>
          <w:tcPr>
            <w:tcW w:w="2203" w:type="dxa"/>
            <w:vMerge/>
            <w:tcBorders>
              <w:top w:val="nil"/>
              <w:left w:val="nil"/>
              <w:bottom w:val="single" w:sz="4" w:space="0" w:color="auto"/>
              <w:right w:val="single" w:sz="4" w:space="0" w:color="auto"/>
            </w:tcBorders>
            <w:vAlign w:val="center"/>
          </w:tcPr>
          <w:p w14:paraId="005244D2" w14:textId="77777777" w:rsidR="00E579B9" w:rsidRDefault="00E579B9">
            <w:pPr>
              <w:pStyle w:val="aa"/>
            </w:pPr>
          </w:p>
        </w:tc>
        <w:tc>
          <w:tcPr>
            <w:tcW w:w="2909" w:type="dxa"/>
            <w:tcBorders>
              <w:top w:val="single" w:sz="4" w:space="0" w:color="auto"/>
              <w:left w:val="nil"/>
              <w:bottom w:val="single" w:sz="4" w:space="0" w:color="auto"/>
              <w:right w:val="single" w:sz="4" w:space="0" w:color="auto"/>
            </w:tcBorders>
            <w:vAlign w:val="center"/>
          </w:tcPr>
          <w:p w14:paraId="6F26DE00" w14:textId="77777777" w:rsidR="00E579B9" w:rsidRDefault="006A1398">
            <w:pPr>
              <w:pStyle w:val="aa"/>
            </w:pPr>
            <w:r>
              <w:t>24</w:t>
            </w:r>
            <w:r>
              <w:rPr>
                <w:rFonts w:ascii="宋体" w:hAnsi="宋体"/>
              </w:rPr>
              <w:t>小时平均</w:t>
            </w:r>
            <w:r>
              <w:t>75μg/m</w:t>
            </w:r>
            <w:r>
              <w:rPr>
                <w:vertAlign w:val="superscript"/>
              </w:rPr>
              <w:t>3</w:t>
            </w:r>
          </w:p>
        </w:tc>
      </w:tr>
      <w:tr w:rsidR="00E579B9" w14:paraId="1FFCFC63"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765347D4"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73F794A3" w14:textId="77777777" w:rsidR="00E579B9" w:rsidRDefault="00E579B9">
            <w:pPr>
              <w:pStyle w:val="aa"/>
            </w:pPr>
          </w:p>
        </w:tc>
        <w:tc>
          <w:tcPr>
            <w:tcW w:w="2203" w:type="dxa"/>
            <w:vMerge w:val="restart"/>
            <w:tcBorders>
              <w:top w:val="nil"/>
              <w:left w:val="nil"/>
              <w:bottom w:val="single" w:sz="4" w:space="0" w:color="auto"/>
              <w:right w:val="single" w:sz="4" w:space="0" w:color="auto"/>
            </w:tcBorders>
            <w:vAlign w:val="center"/>
          </w:tcPr>
          <w:p w14:paraId="7C0E1E88" w14:textId="77777777" w:rsidR="00E579B9" w:rsidRDefault="006A1398">
            <w:pPr>
              <w:pStyle w:val="aa"/>
            </w:pPr>
            <w:r>
              <w:t>SO</w:t>
            </w:r>
            <w:r>
              <w:rPr>
                <w:vertAlign w:val="subscript"/>
              </w:rPr>
              <w:t>2</w:t>
            </w:r>
          </w:p>
        </w:tc>
        <w:tc>
          <w:tcPr>
            <w:tcW w:w="2909" w:type="dxa"/>
            <w:tcBorders>
              <w:top w:val="single" w:sz="4" w:space="0" w:color="auto"/>
              <w:left w:val="nil"/>
              <w:bottom w:val="single" w:sz="4" w:space="0" w:color="auto"/>
              <w:right w:val="single" w:sz="4" w:space="0" w:color="auto"/>
            </w:tcBorders>
            <w:vAlign w:val="center"/>
          </w:tcPr>
          <w:p w14:paraId="44B64835" w14:textId="77777777" w:rsidR="00E579B9" w:rsidRDefault="006A1398">
            <w:pPr>
              <w:pStyle w:val="aa"/>
            </w:pPr>
            <w:r>
              <w:t>年平均</w:t>
            </w:r>
            <w:r>
              <w:t>60</w:t>
            </w:r>
            <w:r>
              <w:rPr>
                <w:spacing w:val="2"/>
              </w:rPr>
              <w:t>μ</w:t>
            </w:r>
            <w:r>
              <w:t>g/m</w:t>
            </w:r>
            <w:r>
              <w:rPr>
                <w:vertAlign w:val="superscript"/>
              </w:rPr>
              <w:t>3</w:t>
            </w:r>
          </w:p>
        </w:tc>
      </w:tr>
      <w:tr w:rsidR="00E579B9" w14:paraId="20E70AA0"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476B215B"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73EB6D28" w14:textId="77777777" w:rsidR="00E579B9" w:rsidRDefault="00E579B9">
            <w:pPr>
              <w:pStyle w:val="aa"/>
            </w:pPr>
          </w:p>
        </w:tc>
        <w:tc>
          <w:tcPr>
            <w:tcW w:w="2203" w:type="dxa"/>
            <w:vMerge/>
            <w:tcBorders>
              <w:top w:val="nil"/>
              <w:left w:val="nil"/>
              <w:bottom w:val="single" w:sz="4" w:space="0" w:color="auto"/>
              <w:right w:val="single" w:sz="4" w:space="0" w:color="auto"/>
            </w:tcBorders>
            <w:vAlign w:val="center"/>
          </w:tcPr>
          <w:p w14:paraId="29C79437" w14:textId="77777777" w:rsidR="00E579B9" w:rsidRDefault="00E579B9">
            <w:pPr>
              <w:pStyle w:val="aa"/>
            </w:pPr>
          </w:p>
        </w:tc>
        <w:tc>
          <w:tcPr>
            <w:tcW w:w="2909" w:type="dxa"/>
            <w:tcBorders>
              <w:top w:val="single" w:sz="4" w:space="0" w:color="auto"/>
              <w:left w:val="nil"/>
              <w:bottom w:val="single" w:sz="4" w:space="0" w:color="auto"/>
              <w:right w:val="single" w:sz="4" w:space="0" w:color="auto"/>
            </w:tcBorders>
            <w:vAlign w:val="center"/>
          </w:tcPr>
          <w:p w14:paraId="688DBF0B" w14:textId="77777777" w:rsidR="00E579B9" w:rsidRDefault="006A1398">
            <w:pPr>
              <w:pStyle w:val="aa"/>
            </w:pPr>
            <w:r>
              <w:t>24</w:t>
            </w:r>
            <w:r>
              <w:rPr>
                <w:rFonts w:ascii="宋体" w:hAnsi="宋体"/>
              </w:rPr>
              <w:t>小时平均</w:t>
            </w:r>
            <w:r>
              <w:t>150μg/m</w:t>
            </w:r>
            <w:r>
              <w:rPr>
                <w:vertAlign w:val="superscript"/>
              </w:rPr>
              <w:t>3</w:t>
            </w:r>
          </w:p>
        </w:tc>
      </w:tr>
      <w:tr w:rsidR="00E579B9" w14:paraId="1141E472"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5A8F58BE"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484C48D7" w14:textId="77777777" w:rsidR="00E579B9" w:rsidRDefault="00E579B9">
            <w:pPr>
              <w:pStyle w:val="aa"/>
            </w:pPr>
          </w:p>
        </w:tc>
        <w:tc>
          <w:tcPr>
            <w:tcW w:w="2203" w:type="dxa"/>
            <w:vMerge w:val="restart"/>
            <w:tcBorders>
              <w:top w:val="nil"/>
              <w:left w:val="nil"/>
              <w:bottom w:val="single" w:sz="4" w:space="0" w:color="auto"/>
              <w:right w:val="single" w:sz="4" w:space="0" w:color="auto"/>
            </w:tcBorders>
            <w:vAlign w:val="center"/>
          </w:tcPr>
          <w:p w14:paraId="31933573" w14:textId="77777777" w:rsidR="00E579B9" w:rsidRDefault="006A1398">
            <w:pPr>
              <w:pStyle w:val="aa"/>
            </w:pPr>
            <w:r>
              <w:t>NO</w:t>
            </w:r>
            <w:r>
              <w:rPr>
                <w:vertAlign w:val="subscript"/>
              </w:rPr>
              <w:t>2</w:t>
            </w:r>
          </w:p>
        </w:tc>
        <w:tc>
          <w:tcPr>
            <w:tcW w:w="2909" w:type="dxa"/>
            <w:tcBorders>
              <w:top w:val="single" w:sz="4" w:space="0" w:color="auto"/>
              <w:left w:val="nil"/>
              <w:bottom w:val="single" w:sz="4" w:space="0" w:color="auto"/>
              <w:right w:val="single" w:sz="4" w:space="0" w:color="auto"/>
            </w:tcBorders>
            <w:vAlign w:val="center"/>
          </w:tcPr>
          <w:p w14:paraId="77765258" w14:textId="77777777" w:rsidR="00E579B9" w:rsidRDefault="006A1398">
            <w:pPr>
              <w:pStyle w:val="aa"/>
            </w:pPr>
            <w:r>
              <w:t>年平均</w:t>
            </w:r>
            <w:r>
              <w:t>40</w:t>
            </w:r>
            <w:r>
              <w:rPr>
                <w:spacing w:val="2"/>
              </w:rPr>
              <w:t>μ</w:t>
            </w:r>
            <w:r>
              <w:t>g/m</w:t>
            </w:r>
            <w:r>
              <w:rPr>
                <w:vertAlign w:val="superscript"/>
              </w:rPr>
              <w:t>3</w:t>
            </w:r>
          </w:p>
        </w:tc>
      </w:tr>
      <w:tr w:rsidR="00E579B9" w14:paraId="03D9EC3F"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27E5A13D"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2F676100" w14:textId="77777777" w:rsidR="00E579B9" w:rsidRDefault="00E579B9">
            <w:pPr>
              <w:pStyle w:val="aa"/>
            </w:pPr>
          </w:p>
        </w:tc>
        <w:tc>
          <w:tcPr>
            <w:tcW w:w="2203" w:type="dxa"/>
            <w:vMerge/>
            <w:tcBorders>
              <w:top w:val="nil"/>
              <w:left w:val="nil"/>
              <w:bottom w:val="single" w:sz="4" w:space="0" w:color="auto"/>
              <w:right w:val="single" w:sz="4" w:space="0" w:color="auto"/>
            </w:tcBorders>
            <w:vAlign w:val="center"/>
          </w:tcPr>
          <w:p w14:paraId="2C010D8D" w14:textId="77777777" w:rsidR="00E579B9" w:rsidRDefault="00E579B9">
            <w:pPr>
              <w:pStyle w:val="aa"/>
            </w:pPr>
          </w:p>
        </w:tc>
        <w:tc>
          <w:tcPr>
            <w:tcW w:w="2909" w:type="dxa"/>
            <w:tcBorders>
              <w:top w:val="single" w:sz="4" w:space="0" w:color="auto"/>
              <w:left w:val="nil"/>
              <w:bottom w:val="single" w:sz="4" w:space="0" w:color="auto"/>
              <w:right w:val="single" w:sz="4" w:space="0" w:color="auto"/>
            </w:tcBorders>
            <w:vAlign w:val="center"/>
          </w:tcPr>
          <w:p w14:paraId="3F7197D0" w14:textId="77777777" w:rsidR="00E579B9" w:rsidRDefault="006A1398">
            <w:pPr>
              <w:pStyle w:val="aa"/>
            </w:pPr>
            <w:r>
              <w:t>24</w:t>
            </w:r>
            <w:r>
              <w:rPr>
                <w:rFonts w:ascii="宋体" w:hAnsi="宋体"/>
              </w:rPr>
              <w:t>小时平均</w:t>
            </w:r>
            <w:r>
              <w:t>80μg/m</w:t>
            </w:r>
            <w:r>
              <w:rPr>
                <w:vertAlign w:val="superscript"/>
              </w:rPr>
              <w:t>3</w:t>
            </w:r>
          </w:p>
        </w:tc>
      </w:tr>
      <w:tr w:rsidR="00E579B9" w14:paraId="4AFBA3A7"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5A48CCA8"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35E02378"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72BD95A5" w14:textId="77777777" w:rsidR="00E579B9" w:rsidRDefault="006A1398">
            <w:pPr>
              <w:pStyle w:val="aa"/>
            </w:pPr>
            <w:r>
              <w:t>CO</w:t>
            </w:r>
          </w:p>
        </w:tc>
        <w:tc>
          <w:tcPr>
            <w:tcW w:w="2909" w:type="dxa"/>
            <w:tcBorders>
              <w:top w:val="single" w:sz="4" w:space="0" w:color="auto"/>
              <w:left w:val="nil"/>
              <w:bottom w:val="single" w:sz="4" w:space="0" w:color="auto"/>
              <w:right w:val="single" w:sz="4" w:space="0" w:color="auto"/>
            </w:tcBorders>
            <w:vAlign w:val="center"/>
          </w:tcPr>
          <w:p w14:paraId="6E22E016" w14:textId="77777777" w:rsidR="00E579B9" w:rsidRDefault="006A1398">
            <w:pPr>
              <w:pStyle w:val="aa"/>
            </w:pPr>
            <w:r>
              <w:t>24</w:t>
            </w:r>
            <w:r>
              <w:rPr>
                <w:rFonts w:ascii="宋体" w:hAnsi="宋体"/>
              </w:rPr>
              <w:t>小时平均</w:t>
            </w:r>
            <w:r>
              <w:t>4000μg/m</w:t>
            </w:r>
            <w:r>
              <w:rPr>
                <w:vertAlign w:val="superscript"/>
              </w:rPr>
              <w:t>3</w:t>
            </w:r>
          </w:p>
        </w:tc>
      </w:tr>
      <w:tr w:rsidR="00E579B9" w14:paraId="1FE22355"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32C21AA8"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5B856277"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271F5B5B" w14:textId="77777777" w:rsidR="00E579B9" w:rsidRDefault="006A1398">
            <w:pPr>
              <w:pStyle w:val="aa"/>
            </w:pPr>
            <w:r>
              <w:t>O</w:t>
            </w:r>
            <w:r>
              <w:rPr>
                <w:vertAlign w:val="subscript"/>
              </w:rPr>
              <w:t>3</w:t>
            </w:r>
          </w:p>
        </w:tc>
        <w:tc>
          <w:tcPr>
            <w:tcW w:w="2909" w:type="dxa"/>
            <w:tcBorders>
              <w:top w:val="single" w:sz="4" w:space="0" w:color="auto"/>
              <w:left w:val="nil"/>
              <w:bottom w:val="single" w:sz="4" w:space="0" w:color="auto"/>
              <w:right w:val="single" w:sz="4" w:space="0" w:color="auto"/>
            </w:tcBorders>
            <w:vAlign w:val="center"/>
          </w:tcPr>
          <w:p w14:paraId="790069A7" w14:textId="77777777" w:rsidR="00E579B9" w:rsidRDefault="006A1398">
            <w:pPr>
              <w:pStyle w:val="aa"/>
            </w:pPr>
            <w:r>
              <w:t>日最大</w:t>
            </w:r>
            <w:r>
              <w:t>8</w:t>
            </w:r>
            <w:r>
              <w:rPr>
                <w:rFonts w:ascii="宋体" w:hAnsi="宋体"/>
              </w:rPr>
              <w:t>小时平均</w:t>
            </w:r>
            <w:r>
              <w:t>160μg/m</w:t>
            </w:r>
            <w:r>
              <w:rPr>
                <w:vertAlign w:val="superscript"/>
              </w:rPr>
              <w:t>3</w:t>
            </w:r>
          </w:p>
        </w:tc>
      </w:tr>
      <w:tr w:rsidR="00E579B9" w14:paraId="0384DBA5" w14:textId="77777777">
        <w:trPr>
          <w:trHeight w:val="50"/>
          <w:jc w:val="center"/>
        </w:trPr>
        <w:tc>
          <w:tcPr>
            <w:tcW w:w="798" w:type="dxa"/>
            <w:vMerge w:val="restart"/>
            <w:tcBorders>
              <w:top w:val="nil"/>
              <w:left w:val="single" w:sz="4" w:space="0" w:color="auto"/>
              <w:bottom w:val="single" w:sz="4" w:space="0" w:color="auto"/>
              <w:right w:val="single" w:sz="4" w:space="0" w:color="auto"/>
            </w:tcBorders>
            <w:vAlign w:val="center"/>
          </w:tcPr>
          <w:p w14:paraId="41722A80" w14:textId="77777777" w:rsidR="00E579B9" w:rsidRDefault="006A1398">
            <w:pPr>
              <w:pStyle w:val="aa"/>
            </w:pPr>
            <w:r>
              <w:t>地</w:t>
            </w:r>
          </w:p>
          <w:p w14:paraId="53D55A4C" w14:textId="77777777" w:rsidR="00E579B9" w:rsidRDefault="006A1398">
            <w:pPr>
              <w:pStyle w:val="aa"/>
            </w:pPr>
            <w:r>
              <w:t>表</w:t>
            </w:r>
          </w:p>
          <w:p w14:paraId="3AF601BB" w14:textId="77777777" w:rsidR="00E579B9" w:rsidRDefault="006A1398">
            <w:pPr>
              <w:pStyle w:val="aa"/>
            </w:pPr>
            <w:r>
              <w:t>水</w:t>
            </w:r>
          </w:p>
        </w:tc>
        <w:tc>
          <w:tcPr>
            <w:tcW w:w="2810" w:type="dxa"/>
            <w:vMerge w:val="restart"/>
            <w:tcBorders>
              <w:top w:val="nil"/>
              <w:left w:val="nil"/>
              <w:bottom w:val="single" w:sz="4" w:space="0" w:color="auto"/>
              <w:right w:val="single" w:sz="4" w:space="0" w:color="auto"/>
            </w:tcBorders>
            <w:vAlign w:val="center"/>
          </w:tcPr>
          <w:p w14:paraId="0AAD40E6" w14:textId="77777777" w:rsidR="00E579B9" w:rsidRDefault="006A1398">
            <w:pPr>
              <w:pStyle w:val="aa"/>
            </w:pPr>
            <w:r>
              <w:t>《地表水环境质量标准》</w:t>
            </w:r>
          </w:p>
          <w:p w14:paraId="339F627D" w14:textId="77777777" w:rsidR="00E579B9" w:rsidRDefault="006A1398">
            <w:pPr>
              <w:pStyle w:val="aa"/>
            </w:pPr>
            <w:r>
              <w:t>（</w:t>
            </w:r>
            <w:r>
              <w:t>GB3838-2002</w:t>
            </w:r>
            <w:r>
              <w:rPr>
                <w:rFonts w:ascii="宋体" w:hAnsi="宋体"/>
              </w:rPr>
              <w:t>）</w:t>
            </w:r>
            <w:r>
              <w:rPr>
                <w:rFonts w:ascii="宋体" w:hAnsi="宋体" w:hint="eastAsia"/>
              </w:rPr>
              <w:t>Ⅲ</w:t>
            </w:r>
            <w:r>
              <w:t>类标准</w:t>
            </w:r>
          </w:p>
        </w:tc>
        <w:tc>
          <w:tcPr>
            <w:tcW w:w="2203" w:type="dxa"/>
            <w:tcBorders>
              <w:top w:val="single" w:sz="4" w:space="0" w:color="auto"/>
              <w:left w:val="nil"/>
              <w:bottom w:val="single" w:sz="4" w:space="0" w:color="auto"/>
              <w:right w:val="single" w:sz="4" w:space="0" w:color="auto"/>
            </w:tcBorders>
            <w:vAlign w:val="center"/>
          </w:tcPr>
          <w:p w14:paraId="04923253" w14:textId="77777777" w:rsidR="00E579B9" w:rsidRDefault="006A1398">
            <w:pPr>
              <w:pStyle w:val="aa"/>
            </w:pPr>
            <w:r>
              <w:t>pH</w:t>
            </w:r>
          </w:p>
        </w:tc>
        <w:tc>
          <w:tcPr>
            <w:tcW w:w="2909" w:type="dxa"/>
            <w:tcBorders>
              <w:top w:val="single" w:sz="4" w:space="0" w:color="auto"/>
              <w:left w:val="nil"/>
              <w:bottom w:val="single" w:sz="4" w:space="0" w:color="auto"/>
              <w:right w:val="single" w:sz="4" w:space="0" w:color="auto"/>
            </w:tcBorders>
            <w:vAlign w:val="center"/>
          </w:tcPr>
          <w:p w14:paraId="77A1569E" w14:textId="77777777" w:rsidR="00E579B9" w:rsidRDefault="006A1398">
            <w:pPr>
              <w:pStyle w:val="aa"/>
            </w:pPr>
            <w:r>
              <w:t>≤6~9</w:t>
            </w:r>
          </w:p>
        </w:tc>
      </w:tr>
      <w:tr w:rsidR="00E579B9" w14:paraId="49472E3E"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1AEB0051"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4477DFD1"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45D23E33" w14:textId="77777777" w:rsidR="00E579B9" w:rsidRDefault="006A1398">
            <w:pPr>
              <w:pStyle w:val="aa"/>
            </w:pPr>
            <w:r>
              <w:t>COD</w:t>
            </w:r>
          </w:p>
        </w:tc>
        <w:tc>
          <w:tcPr>
            <w:tcW w:w="2909" w:type="dxa"/>
            <w:tcBorders>
              <w:top w:val="single" w:sz="4" w:space="0" w:color="auto"/>
              <w:left w:val="nil"/>
              <w:bottom w:val="single" w:sz="4" w:space="0" w:color="auto"/>
              <w:right w:val="single" w:sz="4" w:space="0" w:color="auto"/>
            </w:tcBorders>
            <w:vAlign w:val="center"/>
          </w:tcPr>
          <w:p w14:paraId="2DA90C3C" w14:textId="77777777" w:rsidR="00E579B9" w:rsidRDefault="006A1398">
            <w:pPr>
              <w:pStyle w:val="aa"/>
            </w:pPr>
            <w:r>
              <w:t>≤20mg/L</w:t>
            </w:r>
          </w:p>
        </w:tc>
      </w:tr>
      <w:tr w:rsidR="00E579B9" w14:paraId="1D39A5A5"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4AC5CF33"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21AAA6BB"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2ACB0730" w14:textId="77777777" w:rsidR="00E579B9" w:rsidRDefault="006A1398">
            <w:pPr>
              <w:pStyle w:val="aa"/>
            </w:pPr>
            <w:r>
              <w:t>NH</w:t>
            </w:r>
            <w:r>
              <w:rPr>
                <w:vertAlign w:val="subscript"/>
              </w:rPr>
              <w:t>3</w:t>
            </w:r>
            <w:r>
              <w:t>-N</w:t>
            </w:r>
          </w:p>
        </w:tc>
        <w:tc>
          <w:tcPr>
            <w:tcW w:w="2909" w:type="dxa"/>
            <w:tcBorders>
              <w:top w:val="single" w:sz="4" w:space="0" w:color="auto"/>
              <w:left w:val="nil"/>
              <w:bottom w:val="single" w:sz="4" w:space="0" w:color="auto"/>
              <w:right w:val="single" w:sz="4" w:space="0" w:color="auto"/>
            </w:tcBorders>
            <w:vAlign w:val="center"/>
          </w:tcPr>
          <w:p w14:paraId="49DF7934" w14:textId="77777777" w:rsidR="00E579B9" w:rsidRDefault="006A1398">
            <w:pPr>
              <w:pStyle w:val="aa"/>
            </w:pPr>
            <w:r>
              <w:t>≤</w:t>
            </w:r>
            <w:r>
              <w:rPr>
                <w:rFonts w:hint="eastAsia"/>
              </w:rPr>
              <w:t>0.2</w:t>
            </w:r>
            <w:r>
              <w:t>mg/L</w:t>
            </w:r>
          </w:p>
        </w:tc>
      </w:tr>
      <w:tr w:rsidR="00E579B9" w14:paraId="28322967"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4794780B"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25CE1451"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6DEE247D" w14:textId="77777777" w:rsidR="00E579B9" w:rsidRDefault="006A1398">
            <w:pPr>
              <w:pStyle w:val="aa"/>
            </w:pPr>
            <w:r>
              <w:rPr>
                <w:rFonts w:hint="eastAsia"/>
              </w:rPr>
              <w:t>总磷</w:t>
            </w:r>
          </w:p>
        </w:tc>
        <w:tc>
          <w:tcPr>
            <w:tcW w:w="2909" w:type="dxa"/>
            <w:tcBorders>
              <w:top w:val="single" w:sz="4" w:space="0" w:color="auto"/>
              <w:left w:val="nil"/>
              <w:bottom w:val="single" w:sz="4" w:space="0" w:color="auto"/>
              <w:right w:val="single" w:sz="4" w:space="0" w:color="auto"/>
            </w:tcBorders>
            <w:vAlign w:val="center"/>
          </w:tcPr>
          <w:p w14:paraId="63FAD109" w14:textId="77777777" w:rsidR="00E579B9" w:rsidRDefault="006A1398">
            <w:pPr>
              <w:pStyle w:val="aa"/>
            </w:pPr>
            <w:r>
              <w:t>≤4mg/L</w:t>
            </w:r>
          </w:p>
        </w:tc>
      </w:tr>
      <w:tr w:rsidR="00E579B9" w14:paraId="5B63E4F7" w14:textId="77777777">
        <w:trPr>
          <w:trHeight w:val="126"/>
          <w:jc w:val="center"/>
        </w:trPr>
        <w:tc>
          <w:tcPr>
            <w:tcW w:w="798" w:type="dxa"/>
            <w:vMerge w:val="restart"/>
            <w:tcBorders>
              <w:top w:val="nil"/>
              <w:left w:val="single" w:sz="4" w:space="0" w:color="auto"/>
              <w:right w:val="single" w:sz="4" w:space="0" w:color="auto"/>
            </w:tcBorders>
            <w:vAlign w:val="center"/>
          </w:tcPr>
          <w:p w14:paraId="276B13CF" w14:textId="77777777" w:rsidR="00E579B9" w:rsidRDefault="006A1398">
            <w:pPr>
              <w:pStyle w:val="aa"/>
            </w:pPr>
            <w:r>
              <w:t>地</w:t>
            </w:r>
          </w:p>
          <w:p w14:paraId="51E3B94D" w14:textId="77777777" w:rsidR="00E579B9" w:rsidRDefault="006A1398">
            <w:pPr>
              <w:pStyle w:val="aa"/>
            </w:pPr>
            <w:r>
              <w:t>下</w:t>
            </w:r>
          </w:p>
          <w:p w14:paraId="2848954B" w14:textId="77777777" w:rsidR="00E579B9" w:rsidRDefault="006A1398">
            <w:pPr>
              <w:pStyle w:val="aa"/>
            </w:pPr>
            <w:r>
              <w:t>水</w:t>
            </w:r>
          </w:p>
        </w:tc>
        <w:tc>
          <w:tcPr>
            <w:tcW w:w="2810" w:type="dxa"/>
            <w:vMerge w:val="restart"/>
            <w:tcBorders>
              <w:top w:val="nil"/>
              <w:left w:val="nil"/>
              <w:right w:val="single" w:sz="4" w:space="0" w:color="auto"/>
            </w:tcBorders>
            <w:vAlign w:val="center"/>
          </w:tcPr>
          <w:p w14:paraId="03941B51" w14:textId="77777777" w:rsidR="00E579B9" w:rsidRDefault="006A1398">
            <w:pPr>
              <w:pStyle w:val="aa"/>
            </w:pPr>
            <w:r>
              <w:t>《地下水质量标准》</w:t>
            </w:r>
          </w:p>
          <w:p w14:paraId="63E8A753" w14:textId="77777777" w:rsidR="00E579B9" w:rsidRDefault="006A1398">
            <w:pPr>
              <w:pStyle w:val="aa"/>
            </w:pPr>
            <w:r>
              <w:t>（</w:t>
            </w:r>
            <w:r>
              <w:t>GB/T14848-2017</w:t>
            </w:r>
            <w:r>
              <w:rPr>
                <w:rFonts w:ascii="宋体" w:hAnsi="宋体"/>
              </w:rPr>
              <w:t>）</w:t>
            </w:r>
            <w:r>
              <w:rPr>
                <w:rFonts w:ascii="宋体" w:hAnsi="宋体" w:hint="eastAsia"/>
              </w:rPr>
              <w:t>Ⅲ</w:t>
            </w:r>
            <w:r>
              <w:t>类标准</w:t>
            </w:r>
          </w:p>
        </w:tc>
        <w:tc>
          <w:tcPr>
            <w:tcW w:w="2203" w:type="dxa"/>
            <w:tcBorders>
              <w:top w:val="single" w:sz="4" w:space="0" w:color="auto"/>
              <w:left w:val="nil"/>
              <w:bottom w:val="single" w:sz="4" w:space="0" w:color="auto"/>
              <w:right w:val="single" w:sz="4" w:space="0" w:color="auto"/>
            </w:tcBorders>
            <w:vAlign w:val="center"/>
          </w:tcPr>
          <w:p w14:paraId="6F67FE21" w14:textId="77777777" w:rsidR="00E579B9" w:rsidRDefault="006A1398">
            <w:pPr>
              <w:pStyle w:val="aa"/>
            </w:pPr>
            <w:r>
              <w:t>pH</w:t>
            </w:r>
          </w:p>
        </w:tc>
        <w:tc>
          <w:tcPr>
            <w:tcW w:w="2909" w:type="dxa"/>
            <w:tcBorders>
              <w:top w:val="single" w:sz="4" w:space="0" w:color="auto"/>
              <w:left w:val="nil"/>
              <w:bottom w:val="single" w:sz="4" w:space="0" w:color="auto"/>
              <w:right w:val="single" w:sz="4" w:space="0" w:color="auto"/>
            </w:tcBorders>
            <w:vAlign w:val="center"/>
          </w:tcPr>
          <w:p w14:paraId="038D362C" w14:textId="77777777" w:rsidR="00E579B9" w:rsidRDefault="006A1398">
            <w:pPr>
              <w:pStyle w:val="aa"/>
            </w:pPr>
            <w:r>
              <w:t>6.5~8.5</w:t>
            </w:r>
          </w:p>
        </w:tc>
      </w:tr>
      <w:tr w:rsidR="00E579B9" w14:paraId="048A10DD" w14:textId="77777777">
        <w:trPr>
          <w:trHeight w:val="50"/>
          <w:jc w:val="center"/>
        </w:trPr>
        <w:tc>
          <w:tcPr>
            <w:tcW w:w="798" w:type="dxa"/>
            <w:vMerge/>
            <w:tcBorders>
              <w:left w:val="single" w:sz="4" w:space="0" w:color="auto"/>
              <w:right w:val="single" w:sz="4" w:space="0" w:color="auto"/>
            </w:tcBorders>
            <w:vAlign w:val="center"/>
          </w:tcPr>
          <w:p w14:paraId="2253AD4D" w14:textId="77777777" w:rsidR="00E579B9" w:rsidRDefault="00E579B9">
            <w:pPr>
              <w:pStyle w:val="aa"/>
            </w:pPr>
          </w:p>
        </w:tc>
        <w:tc>
          <w:tcPr>
            <w:tcW w:w="2810" w:type="dxa"/>
            <w:vMerge/>
            <w:tcBorders>
              <w:left w:val="nil"/>
              <w:right w:val="single" w:sz="4" w:space="0" w:color="auto"/>
            </w:tcBorders>
            <w:vAlign w:val="center"/>
          </w:tcPr>
          <w:p w14:paraId="7F2C2714"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5BE42EBD" w14:textId="77777777" w:rsidR="00E579B9" w:rsidRDefault="006A1398">
            <w:pPr>
              <w:pStyle w:val="aa"/>
            </w:pPr>
            <w:r>
              <w:t>氨氮</w:t>
            </w:r>
          </w:p>
        </w:tc>
        <w:tc>
          <w:tcPr>
            <w:tcW w:w="2909" w:type="dxa"/>
            <w:tcBorders>
              <w:top w:val="single" w:sz="4" w:space="0" w:color="auto"/>
              <w:left w:val="nil"/>
              <w:bottom w:val="single" w:sz="4" w:space="0" w:color="auto"/>
              <w:right w:val="single" w:sz="4" w:space="0" w:color="auto"/>
            </w:tcBorders>
            <w:vAlign w:val="center"/>
          </w:tcPr>
          <w:p w14:paraId="5BE1E7E5" w14:textId="77777777" w:rsidR="00E579B9" w:rsidRDefault="006A1398">
            <w:pPr>
              <w:pStyle w:val="aa"/>
            </w:pPr>
            <w:r>
              <w:t>≤0.5mg/L</w:t>
            </w:r>
          </w:p>
        </w:tc>
      </w:tr>
      <w:tr w:rsidR="00E579B9" w14:paraId="77403203" w14:textId="77777777">
        <w:trPr>
          <w:trHeight w:val="50"/>
          <w:jc w:val="center"/>
        </w:trPr>
        <w:tc>
          <w:tcPr>
            <w:tcW w:w="798" w:type="dxa"/>
            <w:vMerge/>
            <w:tcBorders>
              <w:left w:val="single" w:sz="4" w:space="0" w:color="auto"/>
              <w:right w:val="single" w:sz="4" w:space="0" w:color="auto"/>
            </w:tcBorders>
            <w:vAlign w:val="center"/>
          </w:tcPr>
          <w:p w14:paraId="3FB5AB80" w14:textId="77777777" w:rsidR="00E579B9" w:rsidRDefault="00E579B9">
            <w:pPr>
              <w:pStyle w:val="aa"/>
            </w:pPr>
          </w:p>
        </w:tc>
        <w:tc>
          <w:tcPr>
            <w:tcW w:w="2810" w:type="dxa"/>
            <w:vMerge/>
            <w:tcBorders>
              <w:left w:val="nil"/>
              <w:right w:val="single" w:sz="4" w:space="0" w:color="auto"/>
            </w:tcBorders>
            <w:vAlign w:val="center"/>
          </w:tcPr>
          <w:p w14:paraId="378136B3"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731C4BC3" w14:textId="77777777" w:rsidR="00E579B9" w:rsidRDefault="006A1398">
            <w:pPr>
              <w:pStyle w:val="aa"/>
            </w:pPr>
            <w:r>
              <w:t>耗氧量</w:t>
            </w:r>
          </w:p>
        </w:tc>
        <w:tc>
          <w:tcPr>
            <w:tcW w:w="2909" w:type="dxa"/>
            <w:tcBorders>
              <w:top w:val="single" w:sz="4" w:space="0" w:color="auto"/>
              <w:left w:val="nil"/>
              <w:bottom w:val="single" w:sz="4" w:space="0" w:color="auto"/>
              <w:right w:val="single" w:sz="4" w:space="0" w:color="auto"/>
            </w:tcBorders>
            <w:vAlign w:val="center"/>
          </w:tcPr>
          <w:p w14:paraId="1F9376C5" w14:textId="77777777" w:rsidR="00E579B9" w:rsidRDefault="006A1398">
            <w:pPr>
              <w:pStyle w:val="aa"/>
            </w:pPr>
            <w:r>
              <w:t>≤3.0mg/L</w:t>
            </w:r>
          </w:p>
        </w:tc>
      </w:tr>
      <w:tr w:rsidR="00E579B9" w14:paraId="0DC47ECE" w14:textId="77777777">
        <w:trPr>
          <w:trHeight w:val="50"/>
          <w:jc w:val="center"/>
        </w:trPr>
        <w:tc>
          <w:tcPr>
            <w:tcW w:w="798" w:type="dxa"/>
            <w:vMerge/>
            <w:tcBorders>
              <w:left w:val="single" w:sz="4" w:space="0" w:color="auto"/>
              <w:right w:val="single" w:sz="4" w:space="0" w:color="auto"/>
            </w:tcBorders>
            <w:vAlign w:val="center"/>
          </w:tcPr>
          <w:p w14:paraId="74CBA41C" w14:textId="77777777" w:rsidR="00E579B9" w:rsidRDefault="00E579B9">
            <w:pPr>
              <w:pStyle w:val="aa"/>
            </w:pPr>
          </w:p>
        </w:tc>
        <w:tc>
          <w:tcPr>
            <w:tcW w:w="2810" w:type="dxa"/>
            <w:vMerge/>
            <w:tcBorders>
              <w:left w:val="nil"/>
              <w:right w:val="single" w:sz="4" w:space="0" w:color="auto"/>
            </w:tcBorders>
            <w:vAlign w:val="center"/>
          </w:tcPr>
          <w:p w14:paraId="4363AC4D"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61D5CFA0" w14:textId="77777777" w:rsidR="00E579B9" w:rsidRDefault="006A1398">
            <w:pPr>
              <w:pStyle w:val="aa"/>
            </w:pPr>
            <w:r>
              <w:t>溶解性总固体</w:t>
            </w:r>
          </w:p>
        </w:tc>
        <w:tc>
          <w:tcPr>
            <w:tcW w:w="2909" w:type="dxa"/>
            <w:tcBorders>
              <w:top w:val="single" w:sz="4" w:space="0" w:color="auto"/>
              <w:left w:val="nil"/>
              <w:bottom w:val="single" w:sz="4" w:space="0" w:color="auto"/>
              <w:right w:val="single" w:sz="4" w:space="0" w:color="auto"/>
            </w:tcBorders>
            <w:vAlign w:val="center"/>
          </w:tcPr>
          <w:p w14:paraId="628B1C2B" w14:textId="77777777" w:rsidR="00E579B9" w:rsidRDefault="006A1398">
            <w:pPr>
              <w:pStyle w:val="aa"/>
            </w:pPr>
            <w:r>
              <w:t>≤1000mg/L</w:t>
            </w:r>
          </w:p>
        </w:tc>
      </w:tr>
      <w:tr w:rsidR="00E579B9" w14:paraId="4352D214" w14:textId="77777777">
        <w:trPr>
          <w:trHeight w:val="50"/>
          <w:jc w:val="center"/>
        </w:trPr>
        <w:tc>
          <w:tcPr>
            <w:tcW w:w="798" w:type="dxa"/>
            <w:vMerge/>
            <w:tcBorders>
              <w:left w:val="single" w:sz="4" w:space="0" w:color="auto"/>
              <w:right w:val="single" w:sz="4" w:space="0" w:color="auto"/>
            </w:tcBorders>
            <w:vAlign w:val="center"/>
          </w:tcPr>
          <w:p w14:paraId="46416EDD" w14:textId="77777777" w:rsidR="00E579B9" w:rsidRDefault="00E579B9">
            <w:pPr>
              <w:pStyle w:val="aa"/>
            </w:pPr>
          </w:p>
        </w:tc>
        <w:tc>
          <w:tcPr>
            <w:tcW w:w="2810" w:type="dxa"/>
            <w:vMerge/>
            <w:tcBorders>
              <w:left w:val="nil"/>
              <w:right w:val="single" w:sz="4" w:space="0" w:color="auto"/>
            </w:tcBorders>
            <w:vAlign w:val="center"/>
          </w:tcPr>
          <w:p w14:paraId="5746FFCE"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59D074C6" w14:textId="77777777" w:rsidR="00E579B9" w:rsidRDefault="006A1398">
            <w:pPr>
              <w:pStyle w:val="aa"/>
            </w:pPr>
            <w:r>
              <w:t>硫酸盐</w:t>
            </w:r>
          </w:p>
        </w:tc>
        <w:tc>
          <w:tcPr>
            <w:tcW w:w="2909" w:type="dxa"/>
            <w:tcBorders>
              <w:top w:val="single" w:sz="4" w:space="0" w:color="auto"/>
              <w:left w:val="nil"/>
              <w:bottom w:val="single" w:sz="4" w:space="0" w:color="auto"/>
              <w:right w:val="single" w:sz="4" w:space="0" w:color="auto"/>
            </w:tcBorders>
            <w:vAlign w:val="center"/>
          </w:tcPr>
          <w:p w14:paraId="2D1CC232" w14:textId="77777777" w:rsidR="00E579B9" w:rsidRDefault="006A1398">
            <w:pPr>
              <w:pStyle w:val="aa"/>
            </w:pPr>
            <w:r>
              <w:t>≤250mg/L</w:t>
            </w:r>
          </w:p>
        </w:tc>
      </w:tr>
      <w:tr w:rsidR="00E579B9" w14:paraId="49583EB5" w14:textId="77777777">
        <w:trPr>
          <w:trHeight w:val="50"/>
          <w:jc w:val="center"/>
        </w:trPr>
        <w:tc>
          <w:tcPr>
            <w:tcW w:w="798" w:type="dxa"/>
            <w:vMerge/>
            <w:tcBorders>
              <w:left w:val="single" w:sz="4" w:space="0" w:color="auto"/>
              <w:right w:val="single" w:sz="4" w:space="0" w:color="auto"/>
            </w:tcBorders>
            <w:vAlign w:val="center"/>
          </w:tcPr>
          <w:p w14:paraId="5B5221E8" w14:textId="77777777" w:rsidR="00E579B9" w:rsidRDefault="00E579B9">
            <w:pPr>
              <w:pStyle w:val="aa"/>
            </w:pPr>
          </w:p>
        </w:tc>
        <w:tc>
          <w:tcPr>
            <w:tcW w:w="2810" w:type="dxa"/>
            <w:vMerge/>
            <w:tcBorders>
              <w:left w:val="nil"/>
              <w:right w:val="single" w:sz="4" w:space="0" w:color="auto"/>
            </w:tcBorders>
            <w:vAlign w:val="center"/>
          </w:tcPr>
          <w:p w14:paraId="78EB968C"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00FB6DD4" w14:textId="77777777" w:rsidR="00E579B9" w:rsidRDefault="006A1398">
            <w:pPr>
              <w:pStyle w:val="aa"/>
            </w:pPr>
            <w:r>
              <w:t>氟化物</w:t>
            </w:r>
          </w:p>
        </w:tc>
        <w:tc>
          <w:tcPr>
            <w:tcW w:w="2909" w:type="dxa"/>
            <w:tcBorders>
              <w:top w:val="single" w:sz="4" w:space="0" w:color="auto"/>
              <w:left w:val="nil"/>
              <w:bottom w:val="single" w:sz="4" w:space="0" w:color="auto"/>
              <w:right w:val="single" w:sz="4" w:space="0" w:color="auto"/>
            </w:tcBorders>
            <w:vAlign w:val="center"/>
          </w:tcPr>
          <w:p w14:paraId="48B0FFF5" w14:textId="77777777" w:rsidR="00E579B9" w:rsidRDefault="006A1398">
            <w:pPr>
              <w:pStyle w:val="aa"/>
            </w:pPr>
            <w:r>
              <w:t>≤1.0mg/L</w:t>
            </w:r>
          </w:p>
        </w:tc>
      </w:tr>
      <w:tr w:rsidR="00E579B9" w14:paraId="16F330DE" w14:textId="77777777">
        <w:trPr>
          <w:trHeight w:val="50"/>
          <w:jc w:val="center"/>
        </w:trPr>
        <w:tc>
          <w:tcPr>
            <w:tcW w:w="798" w:type="dxa"/>
            <w:vMerge/>
            <w:tcBorders>
              <w:left w:val="single" w:sz="4" w:space="0" w:color="auto"/>
              <w:right w:val="single" w:sz="4" w:space="0" w:color="auto"/>
            </w:tcBorders>
            <w:vAlign w:val="center"/>
          </w:tcPr>
          <w:p w14:paraId="596A8FDA" w14:textId="77777777" w:rsidR="00E579B9" w:rsidRDefault="00E579B9">
            <w:pPr>
              <w:pStyle w:val="aa"/>
            </w:pPr>
          </w:p>
        </w:tc>
        <w:tc>
          <w:tcPr>
            <w:tcW w:w="2810" w:type="dxa"/>
            <w:vMerge/>
            <w:tcBorders>
              <w:left w:val="nil"/>
              <w:right w:val="single" w:sz="4" w:space="0" w:color="auto"/>
            </w:tcBorders>
            <w:vAlign w:val="center"/>
          </w:tcPr>
          <w:p w14:paraId="681D7FD3"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4EBDB57E" w14:textId="77777777" w:rsidR="00E579B9" w:rsidRDefault="006A1398">
            <w:pPr>
              <w:pStyle w:val="aa"/>
            </w:pPr>
            <w:r>
              <w:t>氯化物</w:t>
            </w:r>
          </w:p>
        </w:tc>
        <w:tc>
          <w:tcPr>
            <w:tcW w:w="2909" w:type="dxa"/>
            <w:tcBorders>
              <w:top w:val="single" w:sz="4" w:space="0" w:color="auto"/>
              <w:left w:val="nil"/>
              <w:bottom w:val="single" w:sz="4" w:space="0" w:color="auto"/>
              <w:right w:val="single" w:sz="4" w:space="0" w:color="auto"/>
            </w:tcBorders>
            <w:vAlign w:val="center"/>
          </w:tcPr>
          <w:p w14:paraId="5EE87591" w14:textId="77777777" w:rsidR="00E579B9" w:rsidRDefault="006A1398">
            <w:pPr>
              <w:pStyle w:val="aa"/>
            </w:pPr>
            <w:r>
              <w:t>≤250mg/L</w:t>
            </w:r>
          </w:p>
        </w:tc>
      </w:tr>
      <w:tr w:rsidR="00E579B9" w14:paraId="7DB9350E" w14:textId="77777777">
        <w:trPr>
          <w:trHeight w:val="50"/>
          <w:jc w:val="center"/>
        </w:trPr>
        <w:tc>
          <w:tcPr>
            <w:tcW w:w="798" w:type="dxa"/>
            <w:vMerge/>
            <w:tcBorders>
              <w:left w:val="single" w:sz="4" w:space="0" w:color="auto"/>
              <w:bottom w:val="single" w:sz="4" w:space="0" w:color="auto"/>
              <w:right w:val="single" w:sz="4" w:space="0" w:color="auto"/>
            </w:tcBorders>
            <w:vAlign w:val="center"/>
          </w:tcPr>
          <w:p w14:paraId="0AA66B6D" w14:textId="77777777" w:rsidR="00E579B9" w:rsidRDefault="00E579B9">
            <w:pPr>
              <w:pStyle w:val="aa"/>
            </w:pPr>
          </w:p>
        </w:tc>
        <w:tc>
          <w:tcPr>
            <w:tcW w:w="2810" w:type="dxa"/>
            <w:vMerge/>
            <w:tcBorders>
              <w:left w:val="nil"/>
              <w:bottom w:val="single" w:sz="4" w:space="0" w:color="auto"/>
              <w:right w:val="single" w:sz="4" w:space="0" w:color="auto"/>
            </w:tcBorders>
            <w:vAlign w:val="center"/>
          </w:tcPr>
          <w:p w14:paraId="2D73DF9C"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51562130" w14:textId="77777777" w:rsidR="00E579B9" w:rsidRDefault="006A1398">
            <w:pPr>
              <w:pStyle w:val="aa"/>
            </w:pPr>
            <w:r>
              <w:rPr>
                <w:rFonts w:hint="eastAsia"/>
              </w:rPr>
              <w:t>总硬度</w:t>
            </w:r>
          </w:p>
        </w:tc>
        <w:tc>
          <w:tcPr>
            <w:tcW w:w="2909" w:type="dxa"/>
            <w:tcBorders>
              <w:top w:val="single" w:sz="4" w:space="0" w:color="auto"/>
              <w:left w:val="nil"/>
              <w:bottom w:val="single" w:sz="4" w:space="0" w:color="auto"/>
              <w:right w:val="single" w:sz="4" w:space="0" w:color="auto"/>
            </w:tcBorders>
            <w:vAlign w:val="center"/>
          </w:tcPr>
          <w:p w14:paraId="70440D25" w14:textId="77777777" w:rsidR="00E579B9" w:rsidRDefault="006A1398">
            <w:pPr>
              <w:pStyle w:val="aa"/>
            </w:pPr>
            <w:r>
              <w:t>≤</w:t>
            </w:r>
            <w:r>
              <w:rPr>
                <w:rFonts w:hint="eastAsia"/>
              </w:rPr>
              <w:t>4</w:t>
            </w:r>
            <w:r>
              <w:t>50mg/L</w:t>
            </w:r>
          </w:p>
        </w:tc>
      </w:tr>
      <w:tr w:rsidR="00E579B9" w14:paraId="144678CB" w14:textId="77777777">
        <w:trPr>
          <w:trHeight w:val="510"/>
          <w:jc w:val="center"/>
        </w:trPr>
        <w:tc>
          <w:tcPr>
            <w:tcW w:w="798" w:type="dxa"/>
            <w:vMerge w:val="restart"/>
            <w:tcBorders>
              <w:top w:val="nil"/>
              <w:left w:val="single" w:sz="4" w:space="0" w:color="auto"/>
              <w:bottom w:val="single" w:sz="4" w:space="0" w:color="auto"/>
              <w:right w:val="single" w:sz="4" w:space="0" w:color="auto"/>
            </w:tcBorders>
            <w:vAlign w:val="center"/>
          </w:tcPr>
          <w:p w14:paraId="45355A97" w14:textId="77777777" w:rsidR="00E579B9" w:rsidRDefault="006A1398">
            <w:pPr>
              <w:pStyle w:val="aa"/>
            </w:pPr>
            <w:r>
              <w:t>声环境</w:t>
            </w:r>
          </w:p>
        </w:tc>
        <w:tc>
          <w:tcPr>
            <w:tcW w:w="2810" w:type="dxa"/>
            <w:vMerge w:val="restart"/>
            <w:tcBorders>
              <w:top w:val="nil"/>
              <w:left w:val="nil"/>
              <w:bottom w:val="single" w:sz="4" w:space="0" w:color="auto"/>
              <w:right w:val="single" w:sz="4" w:space="0" w:color="auto"/>
            </w:tcBorders>
            <w:vAlign w:val="center"/>
          </w:tcPr>
          <w:p w14:paraId="2AE11A1D" w14:textId="77777777" w:rsidR="00E579B9" w:rsidRDefault="006A1398">
            <w:pPr>
              <w:pStyle w:val="aa"/>
            </w:pPr>
            <w:r>
              <w:t>《声环境质量标准》（</w:t>
            </w:r>
            <w:r>
              <w:t>GB3096-2008</w:t>
            </w:r>
            <w:r>
              <w:rPr>
                <w:rFonts w:ascii="宋体" w:hAnsi="宋体"/>
              </w:rPr>
              <w:t>）</w:t>
            </w:r>
            <w:r>
              <w:t>2</w:t>
            </w:r>
            <w:r>
              <w:rPr>
                <w:rFonts w:ascii="宋体" w:hAnsi="宋体"/>
              </w:rPr>
              <w:t>类区标准</w:t>
            </w:r>
          </w:p>
        </w:tc>
        <w:tc>
          <w:tcPr>
            <w:tcW w:w="2203" w:type="dxa"/>
            <w:vMerge w:val="restart"/>
            <w:tcBorders>
              <w:top w:val="nil"/>
              <w:left w:val="nil"/>
              <w:bottom w:val="single" w:sz="4" w:space="0" w:color="auto"/>
              <w:right w:val="single" w:sz="4" w:space="0" w:color="auto"/>
            </w:tcBorders>
            <w:vAlign w:val="center"/>
          </w:tcPr>
          <w:p w14:paraId="18B39A69" w14:textId="77777777" w:rsidR="00E579B9" w:rsidRDefault="006A1398">
            <w:pPr>
              <w:pStyle w:val="aa"/>
            </w:pPr>
            <w:r>
              <w:t>噪声</w:t>
            </w:r>
          </w:p>
        </w:tc>
        <w:tc>
          <w:tcPr>
            <w:tcW w:w="2909" w:type="dxa"/>
            <w:tcBorders>
              <w:top w:val="single" w:sz="4" w:space="0" w:color="auto"/>
              <w:left w:val="nil"/>
              <w:bottom w:val="single" w:sz="4" w:space="0" w:color="auto"/>
              <w:right w:val="single" w:sz="4" w:space="0" w:color="auto"/>
            </w:tcBorders>
            <w:vAlign w:val="center"/>
          </w:tcPr>
          <w:p w14:paraId="3D3779BF" w14:textId="77777777" w:rsidR="00E579B9" w:rsidRDefault="006A1398">
            <w:pPr>
              <w:pStyle w:val="aa"/>
            </w:pPr>
            <w:r>
              <w:t>昼间</w:t>
            </w:r>
            <w:r>
              <w:t>60dB(A)</w:t>
            </w:r>
          </w:p>
        </w:tc>
      </w:tr>
      <w:tr w:rsidR="00E579B9" w14:paraId="3DCE464A" w14:textId="77777777">
        <w:trPr>
          <w:trHeight w:val="50"/>
          <w:jc w:val="center"/>
        </w:trPr>
        <w:tc>
          <w:tcPr>
            <w:tcW w:w="798" w:type="dxa"/>
            <w:vMerge/>
            <w:tcBorders>
              <w:top w:val="nil"/>
              <w:left w:val="single" w:sz="4" w:space="0" w:color="auto"/>
              <w:bottom w:val="single" w:sz="4" w:space="0" w:color="auto"/>
              <w:right w:val="single" w:sz="4" w:space="0" w:color="auto"/>
            </w:tcBorders>
            <w:vAlign w:val="center"/>
          </w:tcPr>
          <w:p w14:paraId="6E94C681"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5C903CFF" w14:textId="77777777" w:rsidR="00E579B9" w:rsidRDefault="00E579B9">
            <w:pPr>
              <w:pStyle w:val="aa"/>
            </w:pPr>
          </w:p>
        </w:tc>
        <w:tc>
          <w:tcPr>
            <w:tcW w:w="2203" w:type="dxa"/>
            <w:vMerge/>
            <w:tcBorders>
              <w:top w:val="nil"/>
              <w:left w:val="nil"/>
              <w:bottom w:val="single" w:sz="4" w:space="0" w:color="auto"/>
              <w:right w:val="single" w:sz="4" w:space="0" w:color="auto"/>
            </w:tcBorders>
            <w:vAlign w:val="center"/>
          </w:tcPr>
          <w:p w14:paraId="2480DF7A" w14:textId="77777777" w:rsidR="00E579B9" w:rsidRDefault="00E579B9">
            <w:pPr>
              <w:pStyle w:val="aa"/>
            </w:pPr>
          </w:p>
        </w:tc>
        <w:tc>
          <w:tcPr>
            <w:tcW w:w="2909" w:type="dxa"/>
            <w:tcBorders>
              <w:top w:val="single" w:sz="4" w:space="0" w:color="auto"/>
              <w:left w:val="nil"/>
              <w:bottom w:val="single" w:sz="4" w:space="0" w:color="auto"/>
              <w:right w:val="single" w:sz="4" w:space="0" w:color="auto"/>
            </w:tcBorders>
            <w:vAlign w:val="center"/>
          </w:tcPr>
          <w:p w14:paraId="7F0A00D1" w14:textId="77777777" w:rsidR="00E579B9" w:rsidRDefault="006A1398">
            <w:pPr>
              <w:pStyle w:val="aa"/>
            </w:pPr>
            <w:r>
              <w:t>夜间</w:t>
            </w:r>
            <w:r>
              <w:t>50dB(A)</w:t>
            </w:r>
          </w:p>
        </w:tc>
      </w:tr>
      <w:tr w:rsidR="00E579B9" w14:paraId="249FC5B5" w14:textId="77777777">
        <w:trPr>
          <w:trHeight w:val="219"/>
          <w:jc w:val="center"/>
        </w:trPr>
        <w:tc>
          <w:tcPr>
            <w:tcW w:w="798" w:type="dxa"/>
            <w:vMerge w:val="restart"/>
            <w:tcBorders>
              <w:top w:val="single" w:sz="4" w:space="0" w:color="auto"/>
              <w:left w:val="single" w:sz="4" w:space="0" w:color="auto"/>
              <w:bottom w:val="single" w:sz="4" w:space="0" w:color="auto"/>
              <w:right w:val="single" w:sz="4" w:space="0" w:color="auto"/>
            </w:tcBorders>
            <w:vAlign w:val="center"/>
          </w:tcPr>
          <w:p w14:paraId="2D6B622C" w14:textId="77777777" w:rsidR="00E579B9" w:rsidRDefault="006A1398">
            <w:pPr>
              <w:pStyle w:val="aa"/>
            </w:pPr>
            <w:r>
              <w:t>土壤</w:t>
            </w:r>
          </w:p>
        </w:tc>
        <w:tc>
          <w:tcPr>
            <w:tcW w:w="2810" w:type="dxa"/>
            <w:vMerge w:val="restart"/>
            <w:tcBorders>
              <w:top w:val="single" w:sz="4" w:space="0" w:color="auto"/>
              <w:left w:val="nil"/>
              <w:bottom w:val="single" w:sz="4" w:space="0" w:color="auto"/>
              <w:right w:val="single" w:sz="4" w:space="0" w:color="auto"/>
            </w:tcBorders>
            <w:vAlign w:val="center"/>
          </w:tcPr>
          <w:p w14:paraId="0BA1EAEF" w14:textId="77777777" w:rsidR="00E579B9" w:rsidRDefault="006A1398">
            <w:pPr>
              <w:pStyle w:val="aa"/>
              <w:rPr>
                <w:spacing w:val="2"/>
              </w:rPr>
            </w:pPr>
            <w:r>
              <w:t>《土壤环境质量农用地土壤污染风险管控标准》（</w:t>
            </w:r>
            <w:r>
              <w:t>GB15618-2018</w:t>
            </w:r>
            <w:r>
              <w:rPr>
                <w:rFonts w:ascii="宋体" w:hAnsi="宋体"/>
              </w:rPr>
              <w:t>）</w:t>
            </w:r>
          </w:p>
        </w:tc>
        <w:tc>
          <w:tcPr>
            <w:tcW w:w="2203" w:type="dxa"/>
            <w:tcBorders>
              <w:top w:val="single" w:sz="4" w:space="0" w:color="auto"/>
              <w:left w:val="nil"/>
              <w:bottom w:val="single" w:sz="4" w:space="0" w:color="auto"/>
              <w:right w:val="single" w:sz="4" w:space="0" w:color="auto"/>
            </w:tcBorders>
            <w:vAlign w:val="center"/>
          </w:tcPr>
          <w:p w14:paraId="5DBE8819" w14:textId="77777777" w:rsidR="00E579B9" w:rsidRDefault="006A1398">
            <w:pPr>
              <w:pStyle w:val="aa"/>
            </w:pPr>
            <w:r>
              <w:t>pH</w:t>
            </w:r>
          </w:p>
        </w:tc>
        <w:tc>
          <w:tcPr>
            <w:tcW w:w="2909" w:type="dxa"/>
            <w:tcBorders>
              <w:top w:val="single" w:sz="4" w:space="0" w:color="auto"/>
              <w:left w:val="nil"/>
              <w:bottom w:val="single" w:sz="4" w:space="0" w:color="auto"/>
              <w:right w:val="single" w:sz="4" w:space="0" w:color="auto"/>
            </w:tcBorders>
            <w:vAlign w:val="center"/>
          </w:tcPr>
          <w:p w14:paraId="7178068A" w14:textId="77777777" w:rsidR="00E579B9" w:rsidRDefault="006A1398">
            <w:pPr>
              <w:pStyle w:val="aa"/>
            </w:pPr>
            <w:r>
              <w:t>6.5~7.5</w:t>
            </w:r>
          </w:p>
        </w:tc>
      </w:tr>
      <w:tr w:rsidR="00E579B9" w14:paraId="619C023E" w14:textId="77777777">
        <w:trPr>
          <w:trHeight w:val="120"/>
          <w:jc w:val="center"/>
        </w:trPr>
        <w:tc>
          <w:tcPr>
            <w:tcW w:w="798" w:type="dxa"/>
            <w:vMerge/>
            <w:tcBorders>
              <w:top w:val="nil"/>
              <w:left w:val="single" w:sz="4" w:space="0" w:color="auto"/>
              <w:bottom w:val="single" w:sz="4" w:space="0" w:color="auto"/>
              <w:right w:val="single" w:sz="4" w:space="0" w:color="auto"/>
            </w:tcBorders>
            <w:vAlign w:val="center"/>
          </w:tcPr>
          <w:p w14:paraId="2070880C"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181FFF4A"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1E9185F0" w14:textId="77777777" w:rsidR="00E579B9" w:rsidRDefault="006A1398">
            <w:pPr>
              <w:pStyle w:val="aa"/>
            </w:pPr>
            <w:r>
              <w:t>镉</w:t>
            </w:r>
          </w:p>
        </w:tc>
        <w:tc>
          <w:tcPr>
            <w:tcW w:w="2909" w:type="dxa"/>
            <w:tcBorders>
              <w:top w:val="single" w:sz="4" w:space="0" w:color="auto"/>
              <w:left w:val="nil"/>
              <w:bottom w:val="single" w:sz="4" w:space="0" w:color="auto"/>
              <w:right w:val="single" w:sz="4" w:space="0" w:color="auto"/>
            </w:tcBorders>
            <w:vAlign w:val="center"/>
          </w:tcPr>
          <w:p w14:paraId="4FCC09AD" w14:textId="77777777" w:rsidR="00E579B9" w:rsidRDefault="006A1398">
            <w:pPr>
              <w:pStyle w:val="aa"/>
            </w:pPr>
            <w:r>
              <w:t>≤0.3mg/kg</w:t>
            </w:r>
          </w:p>
        </w:tc>
      </w:tr>
      <w:tr w:rsidR="00E579B9" w14:paraId="52B318BB" w14:textId="77777777">
        <w:trPr>
          <w:trHeight w:val="117"/>
          <w:jc w:val="center"/>
        </w:trPr>
        <w:tc>
          <w:tcPr>
            <w:tcW w:w="798" w:type="dxa"/>
            <w:vMerge/>
            <w:tcBorders>
              <w:top w:val="nil"/>
              <w:left w:val="single" w:sz="4" w:space="0" w:color="auto"/>
              <w:bottom w:val="single" w:sz="4" w:space="0" w:color="auto"/>
              <w:right w:val="single" w:sz="4" w:space="0" w:color="auto"/>
            </w:tcBorders>
            <w:vAlign w:val="center"/>
          </w:tcPr>
          <w:p w14:paraId="390F00E8"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0FA28BD7"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69DB7C7D" w14:textId="77777777" w:rsidR="00E579B9" w:rsidRDefault="006A1398">
            <w:pPr>
              <w:pStyle w:val="aa"/>
            </w:pPr>
            <w:r>
              <w:t>汞</w:t>
            </w:r>
          </w:p>
        </w:tc>
        <w:tc>
          <w:tcPr>
            <w:tcW w:w="2909" w:type="dxa"/>
            <w:tcBorders>
              <w:top w:val="single" w:sz="4" w:space="0" w:color="auto"/>
              <w:left w:val="nil"/>
              <w:bottom w:val="single" w:sz="4" w:space="0" w:color="auto"/>
              <w:right w:val="single" w:sz="4" w:space="0" w:color="auto"/>
            </w:tcBorders>
            <w:vAlign w:val="center"/>
          </w:tcPr>
          <w:p w14:paraId="2443A8E5" w14:textId="77777777" w:rsidR="00E579B9" w:rsidRDefault="006A1398">
            <w:pPr>
              <w:pStyle w:val="aa"/>
            </w:pPr>
            <w:r>
              <w:t>≤2.4mg/kg</w:t>
            </w:r>
          </w:p>
        </w:tc>
      </w:tr>
      <w:tr w:rsidR="00E579B9" w14:paraId="79F6573F" w14:textId="77777777">
        <w:trPr>
          <w:trHeight w:val="147"/>
          <w:jc w:val="center"/>
        </w:trPr>
        <w:tc>
          <w:tcPr>
            <w:tcW w:w="798" w:type="dxa"/>
            <w:vMerge/>
            <w:tcBorders>
              <w:top w:val="nil"/>
              <w:left w:val="single" w:sz="4" w:space="0" w:color="auto"/>
              <w:bottom w:val="single" w:sz="4" w:space="0" w:color="auto"/>
              <w:right w:val="single" w:sz="4" w:space="0" w:color="auto"/>
            </w:tcBorders>
            <w:vAlign w:val="center"/>
          </w:tcPr>
          <w:p w14:paraId="3BC898F9"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19A15689"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5D818395" w14:textId="77777777" w:rsidR="00E579B9" w:rsidRDefault="006A1398">
            <w:pPr>
              <w:pStyle w:val="aa"/>
            </w:pPr>
            <w:r>
              <w:t>砷</w:t>
            </w:r>
          </w:p>
        </w:tc>
        <w:tc>
          <w:tcPr>
            <w:tcW w:w="2909" w:type="dxa"/>
            <w:tcBorders>
              <w:top w:val="single" w:sz="4" w:space="0" w:color="auto"/>
              <w:left w:val="nil"/>
              <w:bottom w:val="single" w:sz="4" w:space="0" w:color="auto"/>
              <w:right w:val="single" w:sz="4" w:space="0" w:color="auto"/>
            </w:tcBorders>
            <w:vAlign w:val="center"/>
          </w:tcPr>
          <w:p w14:paraId="4CA1E5B6" w14:textId="77777777" w:rsidR="00E579B9" w:rsidRDefault="006A1398">
            <w:pPr>
              <w:pStyle w:val="aa"/>
            </w:pPr>
            <w:r>
              <w:t>≤30mg/kg</w:t>
            </w:r>
          </w:p>
        </w:tc>
      </w:tr>
      <w:tr w:rsidR="00E579B9" w14:paraId="1BCBD269" w14:textId="77777777">
        <w:trPr>
          <w:trHeight w:val="132"/>
          <w:jc w:val="center"/>
        </w:trPr>
        <w:tc>
          <w:tcPr>
            <w:tcW w:w="798" w:type="dxa"/>
            <w:vMerge/>
            <w:tcBorders>
              <w:top w:val="nil"/>
              <w:left w:val="single" w:sz="4" w:space="0" w:color="auto"/>
              <w:bottom w:val="single" w:sz="4" w:space="0" w:color="auto"/>
              <w:right w:val="single" w:sz="4" w:space="0" w:color="auto"/>
            </w:tcBorders>
            <w:vAlign w:val="center"/>
          </w:tcPr>
          <w:p w14:paraId="7A7E0DCF"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50E4BD34"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723B493B" w14:textId="77777777" w:rsidR="00E579B9" w:rsidRDefault="006A1398">
            <w:pPr>
              <w:pStyle w:val="aa"/>
            </w:pPr>
            <w:r>
              <w:t>铜</w:t>
            </w:r>
          </w:p>
        </w:tc>
        <w:tc>
          <w:tcPr>
            <w:tcW w:w="2909" w:type="dxa"/>
            <w:tcBorders>
              <w:top w:val="single" w:sz="4" w:space="0" w:color="auto"/>
              <w:left w:val="nil"/>
              <w:bottom w:val="single" w:sz="4" w:space="0" w:color="auto"/>
              <w:right w:val="single" w:sz="4" w:space="0" w:color="auto"/>
            </w:tcBorders>
            <w:vAlign w:val="center"/>
          </w:tcPr>
          <w:p w14:paraId="6775585D" w14:textId="77777777" w:rsidR="00E579B9" w:rsidRDefault="006A1398">
            <w:pPr>
              <w:pStyle w:val="aa"/>
            </w:pPr>
            <w:r>
              <w:t>≤100mg/kg</w:t>
            </w:r>
          </w:p>
        </w:tc>
      </w:tr>
      <w:tr w:rsidR="00E579B9" w14:paraId="3DB0AB10" w14:textId="77777777">
        <w:trPr>
          <w:trHeight w:val="147"/>
          <w:jc w:val="center"/>
        </w:trPr>
        <w:tc>
          <w:tcPr>
            <w:tcW w:w="798" w:type="dxa"/>
            <w:vMerge/>
            <w:tcBorders>
              <w:top w:val="nil"/>
              <w:left w:val="single" w:sz="4" w:space="0" w:color="auto"/>
              <w:bottom w:val="single" w:sz="4" w:space="0" w:color="auto"/>
              <w:right w:val="single" w:sz="4" w:space="0" w:color="auto"/>
            </w:tcBorders>
            <w:vAlign w:val="center"/>
          </w:tcPr>
          <w:p w14:paraId="7553CBD3"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2ABF5B02"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0A133139" w14:textId="77777777" w:rsidR="00E579B9" w:rsidRDefault="006A1398">
            <w:pPr>
              <w:pStyle w:val="aa"/>
            </w:pPr>
            <w:r>
              <w:t>铅</w:t>
            </w:r>
          </w:p>
        </w:tc>
        <w:tc>
          <w:tcPr>
            <w:tcW w:w="2909" w:type="dxa"/>
            <w:tcBorders>
              <w:top w:val="single" w:sz="4" w:space="0" w:color="auto"/>
              <w:left w:val="nil"/>
              <w:bottom w:val="single" w:sz="4" w:space="0" w:color="auto"/>
              <w:right w:val="single" w:sz="4" w:space="0" w:color="auto"/>
            </w:tcBorders>
            <w:vAlign w:val="center"/>
          </w:tcPr>
          <w:p w14:paraId="1D5414DA" w14:textId="77777777" w:rsidR="00E579B9" w:rsidRDefault="006A1398">
            <w:pPr>
              <w:pStyle w:val="aa"/>
            </w:pPr>
            <w:r>
              <w:t>≤120mg/kg</w:t>
            </w:r>
          </w:p>
        </w:tc>
      </w:tr>
      <w:tr w:rsidR="00E579B9" w14:paraId="1AFE23C3" w14:textId="77777777">
        <w:trPr>
          <w:trHeight w:val="150"/>
          <w:jc w:val="center"/>
        </w:trPr>
        <w:tc>
          <w:tcPr>
            <w:tcW w:w="798" w:type="dxa"/>
            <w:vMerge/>
            <w:tcBorders>
              <w:top w:val="nil"/>
              <w:left w:val="single" w:sz="4" w:space="0" w:color="auto"/>
              <w:bottom w:val="single" w:sz="4" w:space="0" w:color="auto"/>
              <w:right w:val="single" w:sz="4" w:space="0" w:color="auto"/>
            </w:tcBorders>
            <w:vAlign w:val="center"/>
          </w:tcPr>
          <w:p w14:paraId="3D9F63AC"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26BF95AD"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1EDDDFAC" w14:textId="77777777" w:rsidR="00E579B9" w:rsidRDefault="006A1398">
            <w:pPr>
              <w:pStyle w:val="aa"/>
            </w:pPr>
            <w:r>
              <w:t>铬</w:t>
            </w:r>
          </w:p>
        </w:tc>
        <w:tc>
          <w:tcPr>
            <w:tcW w:w="2909" w:type="dxa"/>
            <w:tcBorders>
              <w:top w:val="single" w:sz="4" w:space="0" w:color="auto"/>
              <w:left w:val="nil"/>
              <w:bottom w:val="single" w:sz="4" w:space="0" w:color="auto"/>
              <w:right w:val="single" w:sz="4" w:space="0" w:color="auto"/>
            </w:tcBorders>
            <w:vAlign w:val="center"/>
          </w:tcPr>
          <w:p w14:paraId="40DA8A73" w14:textId="77777777" w:rsidR="00E579B9" w:rsidRDefault="006A1398">
            <w:pPr>
              <w:pStyle w:val="aa"/>
            </w:pPr>
            <w:r>
              <w:t>≤200mg/kg</w:t>
            </w:r>
          </w:p>
        </w:tc>
      </w:tr>
      <w:tr w:rsidR="00E579B9" w14:paraId="05163813" w14:textId="77777777">
        <w:trPr>
          <w:trHeight w:val="147"/>
          <w:jc w:val="center"/>
        </w:trPr>
        <w:tc>
          <w:tcPr>
            <w:tcW w:w="798" w:type="dxa"/>
            <w:vMerge/>
            <w:tcBorders>
              <w:top w:val="nil"/>
              <w:left w:val="single" w:sz="4" w:space="0" w:color="auto"/>
              <w:bottom w:val="single" w:sz="4" w:space="0" w:color="auto"/>
              <w:right w:val="single" w:sz="4" w:space="0" w:color="auto"/>
            </w:tcBorders>
            <w:vAlign w:val="center"/>
          </w:tcPr>
          <w:p w14:paraId="22AEBC58" w14:textId="77777777" w:rsidR="00E579B9" w:rsidRDefault="00E579B9">
            <w:pPr>
              <w:pStyle w:val="aa"/>
            </w:pPr>
          </w:p>
        </w:tc>
        <w:tc>
          <w:tcPr>
            <w:tcW w:w="2810" w:type="dxa"/>
            <w:vMerge/>
            <w:tcBorders>
              <w:top w:val="nil"/>
              <w:left w:val="nil"/>
              <w:bottom w:val="single" w:sz="4" w:space="0" w:color="auto"/>
              <w:right w:val="single" w:sz="4" w:space="0" w:color="auto"/>
            </w:tcBorders>
            <w:vAlign w:val="center"/>
          </w:tcPr>
          <w:p w14:paraId="247C40E8" w14:textId="77777777" w:rsidR="00E579B9" w:rsidRDefault="00E579B9">
            <w:pPr>
              <w:pStyle w:val="aa"/>
            </w:pPr>
          </w:p>
        </w:tc>
        <w:tc>
          <w:tcPr>
            <w:tcW w:w="2203" w:type="dxa"/>
            <w:tcBorders>
              <w:top w:val="single" w:sz="4" w:space="0" w:color="auto"/>
              <w:left w:val="nil"/>
              <w:bottom w:val="single" w:sz="4" w:space="0" w:color="auto"/>
              <w:right w:val="single" w:sz="4" w:space="0" w:color="auto"/>
            </w:tcBorders>
            <w:vAlign w:val="center"/>
          </w:tcPr>
          <w:p w14:paraId="4DD2BBF4" w14:textId="77777777" w:rsidR="00E579B9" w:rsidRDefault="006A1398">
            <w:pPr>
              <w:pStyle w:val="aa"/>
            </w:pPr>
            <w:r>
              <w:t>锌</w:t>
            </w:r>
          </w:p>
        </w:tc>
        <w:tc>
          <w:tcPr>
            <w:tcW w:w="2909" w:type="dxa"/>
            <w:tcBorders>
              <w:top w:val="single" w:sz="4" w:space="0" w:color="auto"/>
              <w:left w:val="nil"/>
              <w:bottom w:val="single" w:sz="4" w:space="0" w:color="auto"/>
              <w:right w:val="single" w:sz="4" w:space="0" w:color="auto"/>
            </w:tcBorders>
            <w:vAlign w:val="center"/>
          </w:tcPr>
          <w:p w14:paraId="288157E8" w14:textId="77777777" w:rsidR="00E579B9" w:rsidRDefault="006A1398">
            <w:pPr>
              <w:pStyle w:val="aa"/>
            </w:pPr>
            <w:r>
              <w:t>≤250mg/kg</w:t>
            </w:r>
          </w:p>
        </w:tc>
      </w:tr>
    </w:tbl>
    <w:p w14:paraId="4071EDBF" w14:textId="77777777" w:rsidR="00E579B9" w:rsidRDefault="006A1398">
      <w:pPr>
        <w:pStyle w:val="21"/>
        <w:rPr>
          <w:szCs w:val="21"/>
        </w:rPr>
      </w:pPr>
      <w:r>
        <w:rPr>
          <w:rFonts w:hint="eastAsia"/>
        </w:rPr>
        <w:t>续表</w:t>
      </w:r>
      <w:r>
        <w:rPr>
          <w:rFonts w:hint="eastAsia"/>
        </w:rPr>
        <w:t>25</w:t>
      </w:r>
      <w:r>
        <w:rPr>
          <w:rFonts w:hint="eastAsia"/>
        </w:rPr>
        <w:t>建设用地土壤环境质量执行标准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843"/>
        <w:gridCol w:w="2407"/>
        <w:gridCol w:w="2569"/>
      </w:tblGrid>
      <w:tr w:rsidR="00EA71D4" w:rsidRPr="00EA71D4" w14:paraId="12A6592D" w14:textId="77777777" w:rsidTr="00EA71D4">
        <w:trPr>
          <w:trHeight w:val="118"/>
        </w:trPr>
        <w:tc>
          <w:tcPr>
            <w:tcW w:w="517" w:type="pct"/>
            <w:vMerge w:val="restart"/>
            <w:vAlign w:val="center"/>
          </w:tcPr>
          <w:p w14:paraId="6DBA7EBE" w14:textId="77777777" w:rsidR="00EA71D4" w:rsidRPr="00EA71D4" w:rsidRDefault="00EA71D4">
            <w:pPr>
              <w:pStyle w:val="aa"/>
            </w:pPr>
            <w:r w:rsidRPr="00EA71D4">
              <w:t>序号</w:t>
            </w:r>
          </w:p>
        </w:tc>
        <w:tc>
          <w:tcPr>
            <w:tcW w:w="1630" w:type="pct"/>
            <w:vMerge w:val="restart"/>
            <w:vAlign w:val="center"/>
          </w:tcPr>
          <w:p w14:paraId="269D2E5E" w14:textId="77777777" w:rsidR="00EA71D4" w:rsidRPr="00EA71D4" w:rsidRDefault="00EA71D4">
            <w:pPr>
              <w:pStyle w:val="aa"/>
            </w:pPr>
            <w:r w:rsidRPr="00EA71D4">
              <w:t>评价因子</w:t>
            </w:r>
          </w:p>
        </w:tc>
        <w:tc>
          <w:tcPr>
            <w:tcW w:w="1380" w:type="pct"/>
            <w:vAlign w:val="center"/>
          </w:tcPr>
          <w:p w14:paraId="29B9E66D" w14:textId="70471967" w:rsidR="00EA71D4" w:rsidRPr="006103B9" w:rsidRDefault="00EA71D4">
            <w:pPr>
              <w:pStyle w:val="aa"/>
            </w:pPr>
            <w:r w:rsidRPr="006103B9">
              <w:rPr>
                <w:rFonts w:hint="eastAsia"/>
              </w:rPr>
              <w:t>筛选值</w:t>
            </w:r>
          </w:p>
        </w:tc>
        <w:tc>
          <w:tcPr>
            <w:tcW w:w="1473" w:type="pct"/>
            <w:vMerge w:val="restart"/>
            <w:vAlign w:val="center"/>
          </w:tcPr>
          <w:p w14:paraId="3BED1E0B" w14:textId="14EED6FA" w:rsidR="00EA71D4" w:rsidRPr="00EA71D4" w:rsidRDefault="00EA71D4">
            <w:pPr>
              <w:pStyle w:val="aa"/>
            </w:pPr>
            <w:r w:rsidRPr="00EA71D4">
              <w:t>单位</w:t>
            </w:r>
          </w:p>
        </w:tc>
      </w:tr>
      <w:tr w:rsidR="00EA71D4" w:rsidRPr="00EA71D4" w14:paraId="6051BFC8" w14:textId="77777777" w:rsidTr="00EA71D4">
        <w:tc>
          <w:tcPr>
            <w:tcW w:w="517" w:type="pct"/>
            <w:vMerge/>
            <w:vAlign w:val="center"/>
          </w:tcPr>
          <w:p w14:paraId="12B7CA46" w14:textId="77777777" w:rsidR="00EA71D4" w:rsidRPr="00EA71D4" w:rsidRDefault="00EA71D4">
            <w:pPr>
              <w:pStyle w:val="aa"/>
            </w:pPr>
          </w:p>
        </w:tc>
        <w:tc>
          <w:tcPr>
            <w:tcW w:w="1630" w:type="pct"/>
            <w:vMerge/>
            <w:vAlign w:val="center"/>
          </w:tcPr>
          <w:p w14:paraId="2FD79860" w14:textId="77777777" w:rsidR="00EA71D4" w:rsidRPr="00EA71D4" w:rsidRDefault="00EA71D4">
            <w:pPr>
              <w:pStyle w:val="aa"/>
            </w:pPr>
          </w:p>
        </w:tc>
        <w:tc>
          <w:tcPr>
            <w:tcW w:w="1380" w:type="pct"/>
            <w:vAlign w:val="center"/>
          </w:tcPr>
          <w:p w14:paraId="22B85F0D" w14:textId="77777777" w:rsidR="00EA71D4" w:rsidRPr="006103B9" w:rsidRDefault="00EA71D4">
            <w:pPr>
              <w:pStyle w:val="aa"/>
            </w:pPr>
            <w:r w:rsidRPr="006103B9">
              <w:t>第二类用地</w:t>
            </w:r>
          </w:p>
        </w:tc>
        <w:tc>
          <w:tcPr>
            <w:tcW w:w="1473" w:type="pct"/>
            <w:vMerge/>
            <w:vAlign w:val="center"/>
          </w:tcPr>
          <w:p w14:paraId="16233916" w14:textId="77777777" w:rsidR="00EA71D4" w:rsidRPr="00EA71D4" w:rsidRDefault="00EA71D4">
            <w:pPr>
              <w:pStyle w:val="aa"/>
            </w:pPr>
          </w:p>
        </w:tc>
      </w:tr>
      <w:tr w:rsidR="00EA71D4" w:rsidRPr="00EA71D4" w14:paraId="72047F49" w14:textId="77777777" w:rsidTr="00EA71D4">
        <w:tc>
          <w:tcPr>
            <w:tcW w:w="517" w:type="pct"/>
            <w:vAlign w:val="center"/>
          </w:tcPr>
          <w:p w14:paraId="3B373DBD" w14:textId="77777777" w:rsidR="00EA71D4" w:rsidRPr="00EA71D4" w:rsidRDefault="00EA71D4">
            <w:pPr>
              <w:pStyle w:val="aa"/>
            </w:pPr>
            <w:r w:rsidRPr="00EA71D4">
              <w:t>1</w:t>
            </w:r>
          </w:p>
        </w:tc>
        <w:tc>
          <w:tcPr>
            <w:tcW w:w="1630" w:type="pct"/>
            <w:vAlign w:val="center"/>
          </w:tcPr>
          <w:p w14:paraId="51484C95" w14:textId="77777777" w:rsidR="00EA71D4" w:rsidRPr="00733A8D" w:rsidRDefault="00EA71D4">
            <w:pPr>
              <w:pStyle w:val="aa"/>
            </w:pPr>
            <w:r w:rsidRPr="00733A8D">
              <w:t>铜</w:t>
            </w:r>
          </w:p>
        </w:tc>
        <w:tc>
          <w:tcPr>
            <w:tcW w:w="1380" w:type="pct"/>
            <w:vAlign w:val="center"/>
          </w:tcPr>
          <w:p w14:paraId="1683F563" w14:textId="77777777" w:rsidR="00EA71D4" w:rsidRPr="002B5221" w:rsidRDefault="00EA71D4">
            <w:pPr>
              <w:pStyle w:val="aa"/>
            </w:pPr>
            <w:r w:rsidRPr="002B5221">
              <w:t>18000</w:t>
            </w:r>
          </w:p>
        </w:tc>
        <w:tc>
          <w:tcPr>
            <w:tcW w:w="1473" w:type="pct"/>
            <w:vAlign w:val="center"/>
          </w:tcPr>
          <w:p w14:paraId="5F699EF8" w14:textId="77777777" w:rsidR="00EA71D4" w:rsidRPr="00EA71D4" w:rsidRDefault="00EA71D4">
            <w:pPr>
              <w:pStyle w:val="aa"/>
            </w:pPr>
            <w:r w:rsidRPr="00EA71D4">
              <w:t>mg/kg</w:t>
            </w:r>
          </w:p>
        </w:tc>
      </w:tr>
      <w:tr w:rsidR="00EA71D4" w:rsidRPr="00EA71D4" w14:paraId="6E3953F9" w14:textId="77777777" w:rsidTr="00EA71D4">
        <w:trPr>
          <w:trHeight w:val="330"/>
        </w:trPr>
        <w:tc>
          <w:tcPr>
            <w:tcW w:w="517" w:type="pct"/>
            <w:vAlign w:val="center"/>
          </w:tcPr>
          <w:p w14:paraId="319402A4" w14:textId="77777777" w:rsidR="00EA71D4" w:rsidRPr="00EA71D4" w:rsidRDefault="00EA71D4">
            <w:pPr>
              <w:pStyle w:val="aa"/>
            </w:pPr>
            <w:r w:rsidRPr="00EA71D4">
              <w:t>2</w:t>
            </w:r>
          </w:p>
        </w:tc>
        <w:tc>
          <w:tcPr>
            <w:tcW w:w="1630" w:type="pct"/>
            <w:vAlign w:val="center"/>
          </w:tcPr>
          <w:p w14:paraId="16360F71" w14:textId="77777777" w:rsidR="00EA71D4" w:rsidRPr="00733A8D" w:rsidRDefault="00EA71D4">
            <w:pPr>
              <w:pStyle w:val="aa"/>
            </w:pPr>
            <w:r w:rsidRPr="00733A8D">
              <w:t>铅</w:t>
            </w:r>
          </w:p>
        </w:tc>
        <w:tc>
          <w:tcPr>
            <w:tcW w:w="1380" w:type="pct"/>
            <w:vAlign w:val="center"/>
          </w:tcPr>
          <w:p w14:paraId="694421DF" w14:textId="77777777" w:rsidR="00EA71D4" w:rsidRPr="002B5221" w:rsidRDefault="00EA71D4">
            <w:pPr>
              <w:pStyle w:val="aa"/>
            </w:pPr>
            <w:r w:rsidRPr="002B5221">
              <w:t>800</w:t>
            </w:r>
          </w:p>
        </w:tc>
        <w:tc>
          <w:tcPr>
            <w:tcW w:w="1473" w:type="pct"/>
            <w:vAlign w:val="center"/>
          </w:tcPr>
          <w:p w14:paraId="75D457CD" w14:textId="77777777" w:rsidR="00EA71D4" w:rsidRPr="00EA71D4" w:rsidRDefault="00EA71D4">
            <w:pPr>
              <w:pStyle w:val="aa"/>
            </w:pPr>
            <w:r w:rsidRPr="00EA71D4">
              <w:t>mg/kg</w:t>
            </w:r>
          </w:p>
        </w:tc>
      </w:tr>
      <w:tr w:rsidR="00EA71D4" w:rsidRPr="00EA71D4" w14:paraId="13A3DF09" w14:textId="77777777" w:rsidTr="00EA71D4">
        <w:tc>
          <w:tcPr>
            <w:tcW w:w="517" w:type="pct"/>
            <w:vAlign w:val="center"/>
          </w:tcPr>
          <w:p w14:paraId="28576514" w14:textId="77777777" w:rsidR="00EA71D4" w:rsidRPr="00EA71D4" w:rsidRDefault="00EA71D4">
            <w:pPr>
              <w:pStyle w:val="aa"/>
            </w:pPr>
            <w:r w:rsidRPr="00EA71D4">
              <w:t>3</w:t>
            </w:r>
          </w:p>
        </w:tc>
        <w:tc>
          <w:tcPr>
            <w:tcW w:w="1630" w:type="pct"/>
            <w:vAlign w:val="center"/>
          </w:tcPr>
          <w:p w14:paraId="3BCD8037" w14:textId="77777777" w:rsidR="00EA71D4" w:rsidRPr="00733A8D" w:rsidRDefault="00EA71D4">
            <w:pPr>
              <w:pStyle w:val="aa"/>
            </w:pPr>
            <w:r w:rsidRPr="00733A8D">
              <w:t>镉</w:t>
            </w:r>
          </w:p>
        </w:tc>
        <w:tc>
          <w:tcPr>
            <w:tcW w:w="1380" w:type="pct"/>
            <w:vAlign w:val="center"/>
          </w:tcPr>
          <w:p w14:paraId="3E025182" w14:textId="77777777" w:rsidR="00EA71D4" w:rsidRPr="002B5221" w:rsidRDefault="00EA71D4">
            <w:pPr>
              <w:pStyle w:val="aa"/>
            </w:pPr>
            <w:r w:rsidRPr="002B5221">
              <w:t>65</w:t>
            </w:r>
          </w:p>
        </w:tc>
        <w:tc>
          <w:tcPr>
            <w:tcW w:w="1473" w:type="pct"/>
            <w:vAlign w:val="center"/>
          </w:tcPr>
          <w:p w14:paraId="79FDAB5C" w14:textId="77777777" w:rsidR="00EA71D4" w:rsidRPr="00EA71D4" w:rsidRDefault="00EA71D4">
            <w:pPr>
              <w:pStyle w:val="aa"/>
            </w:pPr>
            <w:r w:rsidRPr="00EA71D4">
              <w:t>mg/kg</w:t>
            </w:r>
          </w:p>
        </w:tc>
      </w:tr>
      <w:tr w:rsidR="00EA71D4" w:rsidRPr="00EA71D4" w14:paraId="5CFCEF01" w14:textId="77777777" w:rsidTr="00EA71D4">
        <w:tc>
          <w:tcPr>
            <w:tcW w:w="517" w:type="pct"/>
            <w:vAlign w:val="center"/>
          </w:tcPr>
          <w:p w14:paraId="10B0246E" w14:textId="77777777" w:rsidR="00EA71D4" w:rsidRPr="00EA71D4" w:rsidRDefault="00EA71D4">
            <w:pPr>
              <w:pStyle w:val="aa"/>
            </w:pPr>
            <w:r w:rsidRPr="00EA71D4">
              <w:lastRenderedPageBreak/>
              <w:t>4</w:t>
            </w:r>
          </w:p>
        </w:tc>
        <w:tc>
          <w:tcPr>
            <w:tcW w:w="1630" w:type="pct"/>
            <w:vAlign w:val="center"/>
          </w:tcPr>
          <w:p w14:paraId="5072405D" w14:textId="77777777" w:rsidR="00EA71D4" w:rsidRPr="00733A8D" w:rsidRDefault="00EA71D4">
            <w:pPr>
              <w:pStyle w:val="aa"/>
            </w:pPr>
            <w:r w:rsidRPr="00733A8D">
              <w:t>汞</w:t>
            </w:r>
          </w:p>
        </w:tc>
        <w:tc>
          <w:tcPr>
            <w:tcW w:w="1380" w:type="pct"/>
            <w:vAlign w:val="center"/>
          </w:tcPr>
          <w:p w14:paraId="329E3A4C" w14:textId="77777777" w:rsidR="00EA71D4" w:rsidRPr="002B5221" w:rsidRDefault="00EA71D4">
            <w:pPr>
              <w:pStyle w:val="aa"/>
            </w:pPr>
            <w:r w:rsidRPr="002B5221">
              <w:t>38</w:t>
            </w:r>
          </w:p>
        </w:tc>
        <w:tc>
          <w:tcPr>
            <w:tcW w:w="1473" w:type="pct"/>
            <w:vAlign w:val="center"/>
          </w:tcPr>
          <w:p w14:paraId="7B2F3479" w14:textId="77777777" w:rsidR="00EA71D4" w:rsidRPr="00EA71D4" w:rsidRDefault="00EA71D4">
            <w:pPr>
              <w:pStyle w:val="aa"/>
            </w:pPr>
            <w:r w:rsidRPr="00EA71D4">
              <w:t>mg/kg</w:t>
            </w:r>
          </w:p>
        </w:tc>
      </w:tr>
      <w:tr w:rsidR="00EA71D4" w:rsidRPr="00EA71D4" w14:paraId="2A7692A2" w14:textId="77777777" w:rsidTr="00EA71D4">
        <w:tc>
          <w:tcPr>
            <w:tcW w:w="517" w:type="pct"/>
            <w:vAlign w:val="center"/>
          </w:tcPr>
          <w:p w14:paraId="6E69ECAD" w14:textId="77777777" w:rsidR="00EA71D4" w:rsidRPr="00EA71D4" w:rsidRDefault="00EA71D4">
            <w:pPr>
              <w:pStyle w:val="aa"/>
            </w:pPr>
            <w:r w:rsidRPr="00EA71D4">
              <w:t>5</w:t>
            </w:r>
          </w:p>
        </w:tc>
        <w:tc>
          <w:tcPr>
            <w:tcW w:w="1630" w:type="pct"/>
            <w:vAlign w:val="center"/>
          </w:tcPr>
          <w:p w14:paraId="70A99797" w14:textId="77777777" w:rsidR="00EA71D4" w:rsidRPr="00733A8D" w:rsidRDefault="00EA71D4">
            <w:pPr>
              <w:pStyle w:val="aa"/>
            </w:pPr>
            <w:r w:rsidRPr="00733A8D">
              <w:t>砷</w:t>
            </w:r>
          </w:p>
        </w:tc>
        <w:tc>
          <w:tcPr>
            <w:tcW w:w="1380" w:type="pct"/>
            <w:vAlign w:val="center"/>
          </w:tcPr>
          <w:p w14:paraId="107B4060" w14:textId="77777777" w:rsidR="00EA71D4" w:rsidRPr="002B5221" w:rsidRDefault="00EA71D4">
            <w:pPr>
              <w:pStyle w:val="aa"/>
            </w:pPr>
            <w:r w:rsidRPr="002B5221">
              <w:t>60</w:t>
            </w:r>
          </w:p>
        </w:tc>
        <w:tc>
          <w:tcPr>
            <w:tcW w:w="1473" w:type="pct"/>
            <w:vAlign w:val="center"/>
          </w:tcPr>
          <w:p w14:paraId="63616542" w14:textId="77777777" w:rsidR="00EA71D4" w:rsidRPr="00EA71D4" w:rsidRDefault="00EA71D4">
            <w:pPr>
              <w:pStyle w:val="aa"/>
            </w:pPr>
            <w:r w:rsidRPr="00EA71D4">
              <w:t>mg/kg</w:t>
            </w:r>
          </w:p>
        </w:tc>
      </w:tr>
      <w:tr w:rsidR="00EA71D4" w:rsidRPr="00EA71D4" w14:paraId="7AC4545B" w14:textId="77777777" w:rsidTr="00EA71D4">
        <w:tc>
          <w:tcPr>
            <w:tcW w:w="517" w:type="pct"/>
            <w:vAlign w:val="center"/>
          </w:tcPr>
          <w:p w14:paraId="21E41BC8" w14:textId="77777777" w:rsidR="00EA71D4" w:rsidRPr="00EA71D4" w:rsidRDefault="00EA71D4">
            <w:pPr>
              <w:pStyle w:val="aa"/>
            </w:pPr>
            <w:r w:rsidRPr="00EA71D4">
              <w:t>6</w:t>
            </w:r>
          </w:p>
        </w:tc>
        <w:tc>
          <w:tcPr>
            <w:tcW w:w="1630" w:type="pct"/>
            <w:vAlign w:val="center"/>
          </w:tcPr>
          <w:p w14:paraId="470A93B5" w14:textId="77777777" w:rsidR="00EA71D4" w:rsidRPr="00733A8D" w:rsidRDefault="00EA71D4">
            <w:pPr>
              <w:pStyle w:val="aa"/>
            </w:pPr>
            <w:r w:rsidRPr="00733A8D">
              <w:t>镍</w:t>
            </w:r>
          </w:p>
        </w:tc>
        <w:tc>
          <w:tcPr>
            <w:tcW w:w="1380" w:type="pct"/>
            <w:vAlign w:val="center"/>
          </w:tcPr>
          <w:p w14:paraId="2C8D00B5" w14:textId="77777777" w:rsidR="00EA71D4" w:rsidRPr="002B5221" w:rsidRDefault="00EA71D4">
            <w:pPr>
              <w:pStyle w:val="aa"/>
            </w:pPr>
            <w:r w:rsidRPr="002B5221">
              <w:t>900</w:t>
            </w:r>
          </w:p>
        </w:tc>
        <w:tc>
          <w:tcPr>
            <w:tcW w:w="1473" w:type="pct"/>
            <w:vAlign w:val="center"/>
          </w:tcPr>
          <w:p w14:paraId="3860F5D9" w14:textId="77777777" w:rsidR="00EA71D4" w:rsidRPr="00EA71D4" w:rsidRDefault="00EA71D4">
            <w:pPr>
              <w:pStyle w:val="aa"/>
            </w:pPr>
            <w:r w:rsidRPr="00EA71D4">
              <w:t>mg/kg</w:t>
            </w:r>
          </w:p>
        </w:tc>
      </w:tr>
      <w:tr w:rsidR="00EA71D4" w:rsidRPr="00EA71D4" w14:paraId="687BA016" w14:textId="77777777" w:rsidTr="00EA71D4">
        <w:tc>
          <w:tcPr>
            <w:tcW w:w="517" w:type="pct"/>
            <w:vAlign w:val="center"/>
          </w:tcPr>
          <w:p w14:paraId="58E50EAF" w14:textId="77777777" w:rsidR="00EA71D4" w:rsidRPr="00EA71D4" w:rsidRDefault="00EA71D4">
            <w:pPr>
              <w:pStyle w:val="aa"/>
            </w:pPr>
            <w:r w:rsidRPr="00EA71D4">
              <w:t>7</w:t>
            </w:r>
          </w:p>
        </w:tc>
        <w:tc>
          <w:tcPr>
            <w:tcW w:w="1630" w:type="pct"/>
            <w:vAlign w:val="center"/>
          </w:tcPr>
          <w:p w14:paraId="66713181" w14:textId="77777777" w:rsidR="00EA71D4" w:rsidRPr="00733A8D" w:rsidRDefault="00EA71D4">
            <w:pPr>
              <w:pStyle w:val="aa"/>
            </w:pPr>
            <w:r w:rsidRPr="00733A8D">
              <w:t>铬（六价）</w:t>
            </w:r>
          </w:p>
        </w:tc>
        <w:tc>
          <w:tcPr>
            <w:tcW w:w="1380" w:type="pct"/>
            <w:vAlign w:val="center"/>
          </w:tcPr>
          <w:p w14:paraId="4E0BFF4B" w14:textId="77777777" w:rsidR="00EA71D4" w:rsidRPr="002B5221" w:rsidRDefault="00EA71D4">
            <w:pPr>
              <w:pStyle w:val="aa"/>
            </w:pPr>
            <w:r w:rsidRPr="002B5221">
              <w:t>5.7</w:t>
            </w:r>
          </w:p>
        </w:tc>
        <w:tc>
          <w:tcPr>
            <w:tcW w:w="1473" w:type="pct"/>
            <w:vAlign w:val="center"/>
          </w:tcPr>
          <w:p w14:paraId="3D4DB092" w14:textId="77777777" w:rsidR="00EA71D4" w:rsidRPr="00EA71D4" w:rsidRDefault="00EA71D4">
            <w:pPr>
              <w:pStyle w:val="aa"/>
            </w:pPr>
            <w:r w:rsidRPr="00EA71D4">
              <w:t>mg/kg</w:t>
            </w:r>
          </w:p>
        </w:tc>
      </w:tr>
      <w:tr w:rsidR="00EA71D4" w:rsidRPr="00EA71D4" w14:paraId="31F671FA" w14:textId="77777777" w:rsidTr="00EA71D4">
        <w:tc>
          <w:tcPr>
            <w:tcW w:w="517" w:type="pct"/>
            <w:vAlign w:val="center"/>
          </w:tcPr>
          <w:p w14:paraId="69B95E08" w14:textId="77777777" w:rsidR="00EA71D4" w:rsidRPr="00EA71D4" w:rsidRDefault="00EA71D4">
            <w:pPr>
              <w:pStyle w:val="aa"/>
            </w:pPr>
            <w:r w:rsidRPr="00EA71D4">
              <w:t>8</w:t>
            </w:r>
          </w:p>
        </w:tc>
        <w:tc>
          <w:tcPr>
            <w:tcW w:w="1630" w:type="pct"/>
            <w:vAlign w:val="center"/>
          </w:tcPr>
          <w:p w14:paraId="07594448" w14:textId="77777777" w:rsidR="00EA71D4" w:rsidRPr="00EA71D4" w:rsidRDefault="00EA71D4">
            <w:pPr>
              <w:pStyle w:val="aa"/>
            </w:pPr>
            <w:r w:rsidRPr="00EA71D4">
              <w:t>2-</w:t>
            </w:r>
            <w:r w:rsidRPr="00EA71D4">
              <w:rPr>
                <w:rFonts w:ascii="宋体" w:hAnsi="宋体"/>
              </w:rPr>
              <w:t>氯酚</w:t>
            </w:r>
          </w:p>
        </w:tc>
        <w:tc>
          <w:tcPr>
            <w:tcW w:w="1380" w:type="pct"/>
            <w:vAlign w:val="center"/>
          </w:tcPr>
          <w:p w14:paraId="59323241" w14:textId="77777777" w:rsidR="00EA71D4" w:rsidRPr="002B5221" w:rsidRDefault="00EA71D4">
            <w:pPr>
              <w:pStyle w:val="aa"/>
            </w:pPr>
            <w:r w:rsidRPr="002B5221">
              <w:t>2256</w:t>
            </w:r>
          </w:p>
        </w:tc>
        <w:tc>
          <w:tcPr>
            <w:tcW w:w="1473" w:type="pct"/>
            <w:vAlign w:val="center"/>
          </w:tcPr>
          <w:p w14:paraId="75BEC0C6" w14:textId="77777777" w:rsidR="00EA71D4" w:rsidRPr="00EA71D4" w:rsidRDefault="00EA71D4">
            <w:pPr>
              <w:pStyle w:val="aa"/>
            </w:pPr>
            <w:r w:rsidRPr="00EA71D4">
              <w:t>mg/kg</w:t>
            </w:r>
          </w:p>
        </w:tc>
      </w:tr>
      <w:tr w:rsidR="00EA71D4" w:rsidRPr="00EA71D4" w14:paraId="416B5048" w14:textId="77777777" w:rsidTr="00EA71D4">
        <w:tc>
          <w:tcPr>
            <w:tcW w:w="517" w:type="pct"/>
            <w:vAlign w:val="center"/>
          </w:tcPr>
          <w:p w14:paraId="567F5C03" w14:textId="77777777" w:rsidR="00EA71D4" w:rsidRPr="00EA71D4" w:rsidRDefault="00EA71D4">
            <w:pPr>
              <w:pStyle w:val="aa"/>
            </w:pPr>
            <w:r w:rsidRPr="00EA71D4">
              <w:t>9</w:t>
            </w:r>
          </w:p>
        </w:tc>
        <w:tc>
          <w:tcPr>
            <w:tcW w:w="1630" w:type="pct"/>
            <w:vAlign w:val="center"/>
          </w:tcPr>
          <w:p w14:paraId="6EF9B0E9" w14:textId="77777777" w:rsidR="00EA71D4" w:rsidRPr="00EA71D4" w:rsidRDefault="00EA71D4">
            <w:pPr>
              <w:pStyle w:val="aa"/>
            </w:pPr>
            <w:r w:rsidRPr="00EA71D4">
              <w:t>2,4-</w:t>
            </w:r>
            <w:r w:rsidRPr="00EA71D4">
              <w:rPr>
                <w:rFonts w:ascii="宋体" w:hAnsi="宋体"/>
              </w:rPr>
              <w:t>二氯酚</w:t>
            </w:r>
          </w:p>
        </w:tc>
        <w:tc>
          <w:tcPr>
            <w:tcW w:w="1380" w:type="pct"/>
            <w:vAlign w:val="center"/>
          </w:tcPr>
          <w:p w14:paraId="5D923383" w14:textId="77777777" w:rsidR="00EA71D4" w:rsidRPr="002B5221" w:rsidRDefault="00EA71D4">
            <w:pPr>
              <w:pStyle w:val="aa"/>
            </w:pPr>
            <w:r w:rsidRPr="002B5221">
              <w:t>843</w:t>
            </w:r>
          </w:p>
        </w:tc>
        <w:tc>
          <w:tcPr>
            <w:tcW w:w="1473" w:type="pct"/>
            <w:vAlign w:val="center"/>
          </w:tcPr>
          <w:p w14:paraId="4CCF227F" w14:textId="77777777" w:rsidR="00EA71D4" w:rsidRPr="00EA71D4" w:rsidRDefault="00EA71D4">
            <w:pPr>
              <w:pStyle w:val="aa"/>
            </w:pPr>
            <w:r w:rsidRPr="00EA71D4">
              <w:t>mg/kg</w:t>
            </w:r>
          </w:p>
        </w:tc>
      </w:tr>
      <w:tr w:rsidR="00EA71D4" w:rsidRPr="00EA71D4" w14:paraId="5BE06D84" w14:textId="77777777" w:rsidTr="00EA71D4">
        <w:tc>
          <w:tcPr>
            <w:tcW w:w="517" w:type="pct"/>
            <w:vAlign w:val="center"/>
          </w:tcPr>
          <w:p w14:paraId="4CF3B472" w14:textId="77777777" w:rsidR="00EA71D4" w:rsidRPr="00EA71D4" w:rsidRDefault="00EA71D4">
            <w:pPr>
              <w:pStyle w:val="aa"/>
            </w:pPr>
            <w:r w:rsidRPr="00EA71D4">
              <w:t>10</w:t>
            </w:r>
          </w:p>
        </w:tc>
        <w:tc>
          <w:tcPr>
            <w:tcW w:w="1630" w:type="pct"/>
            <w:vAlign w:val="center"/>
          </w:tcPr>
          <w:p w14:paraId="3C5E4E88" w14:textId="77777777" w:rsidR="00EA71D4" w:rsidRPr="00EA71D4" w:rsidRDefault="00EA71D4">
            <w:pPr>
              <w:pStyle w:val="aa"/>
            </w:pPr>
            <w:r w:rsidRPr="00EA71D4">
              <w:t>2,4,6-</w:t>
            </w:r>
            <w:r w:rsidRPr="00EA71D4">
              <w:rPr>
                <w:rFonts w:ascii="宋体" w:hAnsi="宋体"/>
              </w:rPr>
              <w:t>三氯酚</w:t>
            </w:r>
          </w:p>
        </w:tc>
        <w:tc>
          <w:tcPr>
            <w:tcW w:w="1380" w:type="pct"/>
            <w:vAlign w:val="center"/>
          </w:tcPr>
          <w:p w14:paraId="1E85D8CD" w14:textId="77777777" w:rsidR="00EA71D4" w:rsidRPr="002B5221" w:rsidRDefault="00EA71D4">
            <w:pPr>
              <w:pStyle w:val="aa"/>
            </w:pPr>
            <w:r w:rsidRPr="002B5221">
              <w:t>137</w:t>
            </w:r>
          </w:p>
        </w:tc>
        <w:tc>
          <w:tcPr>
            <w:tcW w:w="1473" w:type="pct"/>
            <w:vAlign w:val="center"/>
          </w:tcPr>
          <w:p w14:paraId="0FDAE719" w14:textId="77777777" w:rsidR="00EA71D4" w:rsidRPr="00EA71D4" w:rsidRDefault="00EA71D4">
            <w:pPr>
              <w:pStyle w:val="aa"/>
            </w:pPr>
            <w:r w:rsidRPr="00EA71D4">
              <w:t>mg/kg</w:t>
            </w:r>
          </w:p>
        </w:tc>
      </w:tr>
      <w:tr w:rsidR="00EA71D4" w:rsidRPr="00EA71D4" w14:paraId="569885DF" w14:textId="77777777" w:rsidTr="00EA71D4">
        <w:tc>
          <w:tcPr>
            <w:tcW w:w="517" w:type="pct"/>
            <w:vAlign w:val="center"/>
          </w:tcPr>
          <w:p w14:paraId="4BD64D13" w14:textId="77777777" w:rsidR="00EA71D4" w:rsidRPr="00EA71D4" w:rsidRDefault="00EA71D4">
            <w:pPr>
              <w:pStyle w:val="aa"/>
            </w:pPr>
            <w:r w:rsidRPr="00EA71D4">
              <w:t>11</w:t>
            </w:r>
          </w:p>
        </w:tc>
        <w:tc>
          <w:tcPr>
            <w:tcW w:w="1630" w:type="pct"/>
            <w:vAlign w:val="center"/>
          </w:tcPr>
          <w:p w14:paraId="7757AFDC" w14:textId="77777777" w:rsidR="00EA71D4" w:rsidRPr="00EA71D4" w:rsidRDefault="00EA71D4">
            <w:pPr>
              <w:pStyle w:val="aa"/>
            </w:pPr>
            <w:r w:rsidRPr="00EA71D4">
              <w:t>四氯乙烯</w:t>
            </w:r>
          </w:p>
        </w:tc>
        <w:tc>
          <w:tcPr>
            <w:tcW w:w="1380" w:type="pct"/>
            <w:vAlign w:val="center"/>
          </w:tcPr>
          <w:p w14:paraId="4D586B1D" w14:textId="77777777" w:rsidR="00EA71D4" w:rsidRPr="002B5221" w:rsidRDefault="00EA71D4">
            <w:pPr>
              <w:pStyle w:val="aa"/>
            </w:pPr>
            <w:r w:rsidRPr="002B5221">
              <w:t>53</w:t>
            </w:r>
          </w:p>
        </w:tc>
        <w:tc>
          <w:tcPr>
            <w:tcW w:w="1473" w:type="pct"/>
            <w:vAlign w:val="center"/>
          </w:tcPr>
          <w:p w14:paraId="54122168" w14:textId="77777777" w:rsidR="00EA71D4" w:rsidRPr="00EA71D4" w:rsidRDefault="00EA71D4">
            <w:pPr>
              <w:pStyle w:val="aa"/>
            </w:pPr>
            <w:r w:rsidRPr="00EA71D4">
              <w:t>mg/kg</w:t>
            </w:r>
          </w:p>
        </w:tc>
      </w:tr>
      <w:tr w:rsidR="00EA71D4" w:rsidRPr="00EA71D4" w14:paraId="21E2C7D4" w14:textId="77777777" w:rsidTr="00EA71D4">
        <w:tc>
          <w:tcPr>
            <w:tcW w:w="517" w:type="pct"/>
            <w:vAlign w:val="center"/>
          </w:tcPr>
          <w:p w14:paraId="345495DA" w14:textId="77777777" w:rsidR="00EA71D4" w:rsidRPr="00EA71D4" w:rsidRDefault="00EA71D4">
            <w:pPr>
              <w:pStyle w:val="aa"/>
            </w:pPr>
            <w:r w:rsidRPr="00EA71D4">
              <w:t>12</w:t>
            </w:r>
          </w:p>
        </w:tc>
        <w:tc>
          <w:tcPr>
            <w:tcW w:w="1630" w:type="pct"/>
            <w:vAlign w:val="center"/>
          </w:tcPr>
          <w:p w14:paraId="2C059DDE" w14:textId="77777777" w:rsidR="00EA71D4" w:rsidRPr="00EA71D4" w:rsidRDefault="00EA71D4">
            <w:pPr>
              <w:pStyle w:val="aa"/>
            </w:pPr>
            <w:r w:rsidRPr="00EA71D4">
              <w:t>苯胺</w:t>
            </w:r>
          </w:p>
        </w:tc>
        <w:tc>
          <w:tcPr>
            <w:tcW w:w="1380" w:type="pct"/>
            <w:vAlign w:val="center"/>
          </w:tcPr>
          <w:p w14:paraId="2B9478DC" w14:textId="77777777" w:rsidR="00EA71D4" w:rsidRPr="002B5221" w:rsidRDefault="00EA71D4">
            <w:pPr>
              <w:pStyle w:val="aa"/>
            </w:pPr>
            <w:r w:rsidRPr="002B5221">
              <w:t>260</w:t>
            </w:r>
          </w:p>
        </w:tc>
        <w:tc>
          <w:tcPr>
            <w:tcW w:w="1473" w:type="pct"/>
            <w:vAlign w:val="center"/>
          </w:tcPr>
          <w:p w14:paraId="79ED5BAC" w14:textId="77777777" w:rsidR="00EA71D4" w:rsidRPr="00EA71D4" w:rsidRDefault="00EA71D4">
            <w:pPr>
              <w:pStyle w:val="aa"/>
            </w:pPr>
            <w:r w:rsidRPr="00EA71D4">
              <w:t>mg/kg</w:t>
            </w:r>
          </w:p>
        </w:tc>
      </w:tr>
      <w:tr w:rsidR="00EA71D4" w:rsidRPr="00EA71D4" w14:paraId="2BD68FAC" w14:textId="77777777" w:rsidTr="00EA71D4">
        <w:tc>
          <w:tcPr>
            <w:tcW w:w="517" w:type="pct"/>
            <w:vAlign w:val="center"/>
          </w:tcPr>
          <w:p w14:paraId="1418CAB0" w14:textId="77777777" w:rsidR="00EA71D4" w:rsidRPr="00EA71D4" w:rsidRDefault="00EA71D4">
            <w:pPr>
              <w:pStyle w:val="aa"/>
            </w:pPr>
            <w:r w:rsidRPr="00EA71D4">
              <w:t>13</w:t>
            </w:r>
          </w:p>
        </w:tc>
        <w:tc>
          <w:tcPr>
            <w:tcW w:w="1630" w:type="pct"/>
            <w:vAlign w:val="center"/>
          </w:tcPr>
          <w:p w14:paraId="16247E08" w14:textId="77777777" w:rsidR="00EA71D4" w:rsidRPr="00EA71D4" w:rsidRDefault="00EA71D4">
            <w:pPr>
              <w:pStyle w:val="aa"/>
            </w:pPr>
            <w:r w:rsidRPr="00EA71D4">
              <w:t>氯甲烷</w:t>
            </w:r>
          </w:p>
        </w:tc>
        <w:tc>
          <w:tcPr>
            <w:tcW w:w="1380" w:type="pct"/>
            <w:vAlign w:val="center"/>
          </w:tcPr>
          <w:p w14:paraId="58DB9087" w14:textId="77777777" w:rsidR="00EA71D4" w:rsidRPr="002B5221" w:rsidRDefault="00EA71D4">
            <w:pPr>
              <w:pStyle w:val="aa"/>
            </w:pPr>
            <w:r w:rsidRPr="002B5221">
              <w:t>37</w:t>
            </w:r>
          </w:p>
        </w:tc>
        <w:tc>
          <w:tcPr>
            <w:tcW w:w="1473" w:type="pct"/>
            <w:vAlign w:val="center"/>
          </w:tcPr>
          <w:p w14:paraId="7A445DFC" w14:textId="77777777" w:rsidR="00EA71D4" w:rsidRPr="00EA71D4" w:rsidRDefault="00EA71D4">
            <w:pPr>
              <w:pStyle w:val="aa"/>
            </w:pPr>
            <w:r w:rsidRPr="00EA71D4">
              <w:t>mg/kg</w:t>
            </w:r>
          </w:p>
        </w:tc>
      </w:tr>
      <w:tr w:rsidR="00EA71D4" w:rsidRPr="00EA71D4" w14:paraId="36D892D5" w14:textId="77777777" w:rsidTr="00EA71D4">
        <w:tc>
          <w:tcPr>
            <w:tcW w:w="517" w:type="pct"/>
            <w:vAlign w:val="center"/>
          </w:tcPr>
          <w:p w14:paraId="61528E87" w14:textId="77777777" w:rsidR="00EA71D4" w:rsidRPr="00EA71D4" w:rsidRDefault="00EA71D4">
            <w:pPr>
              <w:pStyle w:val="aa"/>
            </w:pPr>
            <w:r w:rsidRPr="00EA71D4">
              <w:t>14</w:t>
            </w:r>
          </w:p>
        </w:tc>
        <w:tc>
          <w:tcPr>
            <w:tcW w:w="1630" w:type="pct"/>
            <w:vAlign w:val="center"/>
          </w:tcPr>
          <w:p w14:paraId="3732B11A" w14:textId="77777777" w:rsidR="00EA71D4" w:rsidRPr="00EA71D4" w:rsidRDefault="00EA71D4">
            <w:pPr>
              <w:pStyle w:val="aa"/>
            </w:pPr>
            <w:r w:rsidRPr="00EA71D4">
              <w:t>氯乙烯</w:t>
            </w:r>
          </w:p>
        </w:tc>
        <w:tc>
          <w:tcPr>
            <w:tcW w:w="1380" w:type="pct"/>
            <w:vAlign w:val="center"/>
          </w:tcPr>
          <w:p w14:paraId="3E37E73F" w14:textId="77777777" w:rsidR="00EA71D4" w:rsidRPr="002B5221" w:rsidRDefault="00EA71D4">
            <w:pPr>
              <w:pStyle w:val="aa"/>
            </w:pPr>
            <w:r w:rsidRPr="002B5221">
              <w:t>0.43</w:t>
            </w:r>
          </w:p>
        </w:tc>
        <w:tc>
          <w:tcPr>
            <w:tcW w:w="1473" w:type="pct"/>
            <w:vAlign w:val="center"/>
          </w:tcPr>
          <w:p w14:paraId="01AF22D9" w14:textId="77777777" w:rsidR="00EA71D4" w:rsidRPr="00EA71D4" w:rsidRDefault="00EA71D4">
            <w:pPr>
              <w:pStyle w:val="aa"/>
            </w:pPr>
            <w:r w:rsidRPr="00EA71D4">
              <w:t>mg/kg</w:t>
            </w:r>
          </w:p>
        </w:tc>
      </w:tr>
      <w:tr w:rsidR="00EA71D4" w:rsidRPr="00EA71D4" w14:paraId="48CA4AFF" w14:textId="77777777" w:rsidTr="00EA71D4">
        <w:tc>
          <w:tcPr>
            <w:tcW w:w="517" w:type="pct"/>
            <w:vAlign w:val="center"/>
          </w:tcPr>
          <w:p w14:paraId="2D85D178" w14:textId="77777777" w:rsidR="00EA71D4" w:rsidRPr="00EA71D4" w:rsidRDefault="00EA71D4">
            <w:pPr>
              <w:pStyle w:val="aa"/>
            </w:pPr>
            <w:r w:rsidRPr="00EA71D4">
              <w:t>15</w:t>
            </w:r>
          </w:p>
        </w:tc>
        <w:tc>
          <w:tcPr>
            <w:tcW w:w="1630" w:type="pct"/>
            <w:vAlign w:val="center"/>
          </w:tcPr>
          <w:p w14:paraId="01C1BC25" w14:textId="77777777" w:rsidR="00EA71D4" w:rsidRPr="00EA71D4" w:rsidRDefault="00EA71D4">
            <w:pPr>
              <w:pStyle w:val="aa"/>
            </w:pPr>
            <w:r w:rsidRPr="00EA71D4">
              <w:t>1</w:t>
            </w:r>
            <w:r w:rsidRPr="00EA71D4">
              <w:t>，</w:t>
            </w:r>
            <w:r w:rsidRPr="00EA71D4">
              <w:t>1-</w:t>
            </w:r>
            <w:r w:rsidRPr="00EA71D4">
              <w:t>二氯乙烯</w:t>
            </w:r>
          </w:p>
        </w:tc>
        <w:tc>
          <w:tcPr>
            <w:tcW w:w="1380" w:type="pct"/>
            <w:vAlign w:val="center"/>
          </w:tcPr>
          <w:p w14:paraId="50386A36" w14:textId="77777777" w:rsidR="00EA71D4" w:rsidRPr="002B5221" w:rsidRDefault="00EA71D4">
            <w:pPr>
              <w:pStyle w:val="aa"/>
            </w:pPr>
            <w:r w:rsidRPr="002B5221">
              <w:t>66</w:t>
            </w:r>
          </w:p>
        </w:tc>
        <w:tc>
          <w:tcPr>
            <w:tcW w:w="1473" w:type="pct"/>
            <w:vAlign w:val="center"/>
          </w:tcPr>
          <w:p w14:paraId="1F4F85BC" w14:textId="77777777" w:rsidR="00EA71D4" w:rsidRPr="00EA71D4" w:rsidRDefault="00EA71D4">
            <w:pPr>
              <w:pStyle w:val="aa"/>
            </w:pPr>
            <w:r w:rsidRPr="00EA71D4">
              <w:t>mg/kg</w:t>
            </w:r>
          </w:p>
        </w:tc>
      </w:tr>
      <w:tr w:rsidR="00EA71D4" w:rsidRPr="00EA71D4" w14:paraId="746F61A4" w14:textId="77777777" w:rsidTr="00EA71D4">
        <w:tc>
          <w:tcPr>
            <w:tcW w:w="517" w:type="pct"/>
            <w:vAlign w:val="center"/>
          </w:tcPr>
          <w:p w14:paraId="13AC0057" w14:textId="77777777" w:rsidR="00EA71D4" w:rsidRPr="00EA71D4" w:rsidRDefault="00EA71D4">
            <w:pPr>
              <w:pStyle w:val="aa"/>
            </w:pPr>
            <w:r w:rsidRPr="00EA71D4">
              <w:t>16</w:t>
            </w:r>
          </w:p>
        </w:tc>
        <w:tc>
          <w:tcPr>
            <w:tcW w:w="1630" w:type="pct"/>
            <w:vAlign w:val="center"/>
          </w:tcPr>
          <w:p w14:paraId="4895CC11" w14:textId="77777777" w:rsidR="00EA71D4" w:rsidRPr="00EA71D4" w:rsidRDefault="00EA71D4">
            <w:pPr>
              <w:pStyle w:val="aa"/>
            </w:pPr>
            <w:r w:rsidRPr="00EA71D4">
              <w:t>硝基苯</w:t>
            </w:r>
          </w:p>
        </w:tc>
        <w:tc>
          <w:tcPr>
            <w:tcW w:w="1380" w:type="pct"/>
            <w:vAlign w:val="center"/>
          </w:tcPr>
          <w:p w14:paraId="02AC3D80" w14:textId="77777777" w:rsidR="00EA71D4" w:rsidRPr="002B5221" w:rsidRDefault="00EA71D4">
            <w:pPr>
              <w:pStyle w:val="aa"/>
            </w:pPr>
            <w:r w:rsidRPr="002B5221">
              <w:t>76</w:t>
            </w:r>
          </w:p>
        </w:tc>
        <w:tc>
          <w:tcPr>
            <w:tcW w:w="1473" w:type="pct"/>
            <w:vAlign w:val="center"/>
          </w:tcPr>
          <w:p w14:paraId="24BFFD91" w14:textId="77777777" w:rsidR="00EA71D4" w:rsidRPr="00EA71D4" w:rsidRDefault="00EA71D4">
            <w:pPr>
              <w:pStyle w:val="aa"/>
            </w:pPr>
            <w:r w:rsidRPr="00EA71D4">
              <w:t>mg/kg</w:t>
            </w:r>
          </w:p>
        </w:tc>
      </w:tr>
      <w:tr w:rsidR="00EA71D4" w:rsidRPr="00EA71D4" w14:paraId="08ADB488" w14:textId="77777777" w:rsidTr="00EA71D4">
        <w:tc>
          <w:tcPr>
            <w:tcW w:w="517" w:type="pct"/>
            <w:vAlign w:val="center"/>
          </w:tcPr>
          <w:p w14:paraId="7001C9BC" w14:textId="77777777" w:rsidR="00EA71D4" w:rsidRPr="00EA71D4" w:rsidRDefault="00EA71D4">
            <w:pPr>
              <w:pStyle w:val="aa"/>
            </w:pPr>
            <w:r w:rsidRPr="00EA71D4">
              <w:t>17</w:t>
            </w:r>
          </w:p>
        </w:tc>
        <w:tc>
          <w:tcPr>
            <w:tcW w:w="1630" w:type="pct"/>
            <w:vAlign w:val="center"/>
          </w:tcPr>
          <w:p w14:paraId="0FA52690" w14:textId="77777777" w:rsidR="00EA71D4" w:rsidRPr="00EA71D4" w:rsidRDefault="00EA71D4">
            <w:pPr>
              <w:pStyle w:val="aa"/>
            </w:pPr>
            <w:r w:rsidRPr="00EA71D4">
              <w:t>二氯甲烷</w:t>
            </w:r>
          </w:p>
        </w:tc>
        <w:tc>
          <w:tcPr>
            <w:tcW w:w="1380" w:type="pct"/>
            <w:vAlign w:val="center"/>
          </w:tcPr>
          <w:p w14:paraId="1E6E6636" w14:textId="77777777" w:rsidR="00EA71D4" w:rsidRPr="002B5221" w:rsidRDefault="00EA71D4">
            <w:pPr>
              <w:pStyle w:val="aa"/>
            </w:pPr>
            <w:r w:rsidRPr="002B5221">
              <w:t>616</w:t>
            </w:r>
          </w:p>
        </w:tc>
        <w:tc>
          <w:tcPr>
            <w:tcW w:w="1473" w:type="pct"/>
            <w:vAlign w:val="center"/>
          </w:tcPr>
          <w:p w14:paraId="0C53DF64" w14:textId="77777777" w:rsidR="00EA71D4" w:rsidRPr="00EA71D4" w:rsidRDefault="00EA71D4">
            <w:pPr>
              <w:pStyle w:val="aa"/>
            </w:pPr>
            <w:r w:rsidRPr="00EA71D4">
              <w:t>mg/kg</w:t>
            </w:r>
          </w:p>
        </w:tc>
      </w:tr>
      <w:tr w:rsidR="00EA71D4" w:rsidRPr="00EA71D4" w14:paraId="41F421EA" w14:textId="77777777" w:rsidTr="00EA71D4">
        <w:tc>
          <w:tcPr>
            <w:tcW w:w="517" w:type="pct"/>
            <w:vAlign w:val="center"/>
          </w:tcPr>
          <w:p w14:paraId="0AF37789" w14:textId="77777777" w:rsidR="00EA71D4" w:rsidRPr="00EA71D4" w:rsidRDefault="00EA71D4">
            <w:pPr>
              <w:pStyle w:val="aa"/>
            </w:pPr>
            <w:r w:rsidRPr="00EA71D4">
              <w:t>18</w:t>
            </w:r>
          </w:p>
        </w:tc>
        <w:tc>
          <w:tcPr>
            <w:tcW w:w="1630" w:type="pct"/>
            <w:vAlign w:val="center"/>
          </w:tcPr>
          <w:p w14:paraId="393D8A1A" w14:textId="77777777" w:rsidR="00EA71D4" w:rsidRPr="00EA71D4" w:rsidRDefault="00EA71D4">
            <w:pPr>
              <w:pStyle w:val="aa"/>
            </w:pPr>
            <w:proofErr w:type="gramStart"/>
            <w:r w:rsidRPr="00EA71D4">
              <w:t>萘</w:t>
            </w:r>
            <w:proofErr w:type="gramEnd"/>
          </w:p>
        </w:tc>
        <w:tc>
          <w:tcPr>
            <w:tcW w:w="1380" w:type="pct"/>
            <w:vAlign w:val="center"/>
          </w:tcPr>
          <w:p w14:paraId="4247845D" w14:textId="77777777" w:rsidR="00EA71D4" w:rsidRPr="002B5221" w:rsidRDefault="00EA71D4">
            <w:pPr>
              <w:pStyle w:val="aa"/>
            </w:pPr>
            <w:r w:rsidRPr="002B5221">
              <w:t>70</w:t>
            </w:r>
          </w:p>
        </w:tc>
        <w:tc>
          <w:tcPr>
            <w:tcW w:w="1473" w:type="pct"/>
            <w:vAlign w:val="center"/>
          </w:tcPr>
          <w:p w14:paraId="4CADC890" w14:textId="77777777" w:rsidR="00EA71D4" w:rsidRPr="00EA71D4" w:rsidRDefault="00EA71D4">
            <w:pPr>
              <w:pStyle w:val="aa"/>
            </w:pPr>
            <w:r w:rsidRPr="00EA71D4">
              <w:t>mg/kg</w:t>
            </w:r>
          </w:p>
        </w:tc>
      </w:tr>
      <w:tr w:rsidR="00EA71D4" w:rsidRPr="00EA71D4" w14:paraId="00A5BA4F" w14:textId="77777777" w:rsidTr="00EA71D4">
        <w:tc>
          <w:tcPr>
            <w:tcW w:w="517" w:type="pct"/>
            <w:vAlign w:val="center"/>
          </w:tcPr>
          <w:p w14:paraId="4DC5F389" w14:textId="77777777" w:rsidR="00EA71D4" w:rsidRPr="00EA71D4" w:rsidRDefault="00EA71D4">
            <w:pPr>
              <w:pStyle w:val="aa"/>
            </w:pPr>
            <w:r w:rsidRPr="00EA71D4">
              <w:t>19</w:t>
            </w:r>
          </w:p>
        </w:tc>
        <w:tc>
          <w:tcPr>
            <w:tcW w:w="1630" w:type="pct"/>
            <w:vAlign w:val="center"/>
          </w:tcPr>
          <w:p w14:paraId="3E1CAD54" w14:textId="77777777" w:rsidR="00EA71D4" w:rsidRPr="00EA71D4" w:rsidRDefault="00EA71D4">
            <w:pPr>
              <w:pStyle w:val="aa"/>
            </w:pPr>
            <w:r w:rsidRPr="00EA71D4">
              <w:t>苯并</w:t>
            </w:r>
            <w:r w:rsidRPr="00EA71D4">
              <w:t>[a]</w:t>
            </w:r>
            <w:proofErr w:type="gramStart"/>
            <w:r w:rsidRPr="00EA71D4">
              <w:rPr>
                <w:rFonts w:ascii="宋体" w:hAnsi="宋体"/>
              </w:rPr>
              <w:t>蒽</w:t>
            </w:r>
            <w:proofErr w:type="gramEnd"/>
          </w:p>
        </w:tc>
        <w:tc>
          <w:tcPr>
            <w:tcW w:w="1380" w:type="pct"/>
            <w:vAlign w:val="center"/>
          </w:tcPr>
          <w:p w14:paraId="3E882A78" w14:textId="77777777" w:rsidR="00EA71D4" w:rsidRPr="002B5221" w:rsidRDefault="00EA71D4">
            <w:pPr>
              <w:pStyle w:val="aa"/>
            </w:pPr>
            <w:r w:rsidRPr="002B5221">
              <w:t>15</w:t>
            </w:r>
          </w:p>
        </w:tc>
        <w:tc>
          <w:tcPr>
            <w:tcW w:w="1473" w:type="pct"/>
            <w:vAlign w:val="center"/>
          </w:tcPr>
          <w:p w14:paraId="08D2236D" w14:textId="77777777" w:rsidR="00EA71D4" w:rsidRPr="00EA71D4" w:rsidRDefault="00EA71D4">
            <w:pPr>
              <w:pStyle w:val="aa"/>
            </w:pPr>
            <w:r w:rsidRPr="00EA71D4">
              <w:t>mg/kg</w:t>
            </w:r>
          </w:p>
        </w:tc>
      </w:tr>
      <w:tr w:rsidR="00EA71D4" w:rsidRPr="00EA71D4" w14:paraId="4C9BAD6F" w14:textId="77777777" w:rsidTr="00EA71D4">
        <w:tc>
          <w:tcPr>
            <w:tcW w:w="517" w:type="pct"/>
            <w:vAlign w:val="center"/>
          </w:tcPr>
          <w:p w14:paraId="70E91488" w14:textId="77777777" w:rsidR="00EA71D4" w:rsidRPr="00EA71D4" w:rsidRDefault="00EA71D4">
            <w:pPr>
              <w:pStyle w:val="aa"/>
            </w:pPr>
            <w:r w:rsidRPr="00EA71D4">
              <w:t>20</w:t>
            </w:r>
          </w:p>
        </w:tc>
        <w:tc>
          <w:tcPr>
            <w:tcW w:w="1630" w:type="pct"/>
            <w:vAlign w:val="center"/>
          </w:tcPr>
          <w:p w14:paraId="38C58936" w14:textId="77777777" w:rsidR="00EA71D4" w:rsidRPr="00EA71D4" w:rsidRDefault="00EA71D4">
            <w:pPr>
              <w:pStyle w:val="aa"/>
            </w:pPr>
            <w:r w:rsidRPr="00EA71D4">
              <w:t>䓛</w:t>
            </w:r>
          </w:p>
        </w:tc>
        <w:tc>
          <w:tcPr>
            <w:tcW w:w="1380" w:type="pct"/>
            <w:vAlign w:val="center"/>
          </w:tcPr>
          <w:p w14:paraId="2F27A7E2" w14:textId="77777777" w:rsidR="00EA71D4" w:rsidRPr="002B5221" w:rsidRDefault="00EA71D4">
            <w:pPr>
              <w:pStyle w:val="aa"/>
            </w:pPr>
            <w:r w:rsidRPr="002B5221">
              <w:t>1293</w:t>
            </w:r>
          </w:p>
        </w:tc>
        <w:tc>
          <w:tcPr>
            <w:tcW w:w="1473" w:type="pct"/>
            <w:vAlign w:val="center"/>
          </w:tcPr>
          <w:p w14:paraId="1F604DF7" w14:textId="77777777" w:rsidR="00EA71D4" w:rsidRPr="00EA71D4" w:rsidRDefault="00EA71D4">
            <w:pPr>
              <w:pStyle w:val="aa"/>
            </w:pPr>
            <w:r w:rsidRPr="00EA71D4">
              <w:t>mg/kg</w:t>
            </w:r>
          </w:p>
        </w:tc>
      </w:tr>
      <w:tr w:rsidR="00EA71D4" w:rsidRPr="00EA71D4" w14:paraId="1201F1C0" w14:textId="77777777" w:rsidTr="00EA71D4">
        <w:tc>
          <w:tcPr>
            <w:tcW w:w="517" w:type="pct"/>
            <w:vAlign w:val="center"/>
          </w:tcPr>
          <w:p w14:paraId="0B5957B7" w14:textId="77777777" w:rsidR="00EA71D4" w:rsidRPr="00EA71D4" w:rsidRDefault="00EA71D4">
            <w:pPr>
              <w:pStyle w:val="aa"/>
            </w:pPr>
            <w:r w:rsidRPr="00EA71D4">
              <w:t>21</w:t>
            </w:r>
          </w:p>
        </w:tc>
        <w:tc>
          <w:tcPr>
            <w:tcW w:w="1630" w:type="pct"/>
            <w:vAlign w:val="center"/>
          </w:tcPr>
          <w:p w14:paraId="7D86B987" w14:textId="77777777" w:rsidR="00EA71D4" w:rsidRPr="00EA71D4" w:rsidRDefault="00EA71D4">
            <w:pPr>
              <w:pStyle w:val="aa"/>
            </w:pPr>
            <w:r w:rsidRPr="00EA71D4">
              <w:t>反式</w:t>
            </w:r>
            <w:r w:rsidRPr="00EA71D4">
              <w:t>1,2-</w:t>
            </w:r>
            <w:r w:rsidRPr="00EA71D4">
              <w:rPr>
                <w:rFonts w:ascii="宋体" w:hAnsi="宋体"/>
              </w:rPr>
              <w:t>二氯乙烯</w:t>
            </w:r>
          </w:p>
        </w:tc>
        <w:tc>
          <w:tcPr>
            <w:tcW w:w="1380" w:type="pct"/>
            <w:vAlign w:val="center"/>
          </w:tcPr>
          <w:p w14:paraId="73355C63" w14:textId="77777777" w:rsidR="00EA71D4" w:rsidRPr="002B5221" w:rsidRDefault="00EA71D4">
            <w:pPr>
              <w:pStyle w:val="aa"/>
            </w:pPr>
            <w:r w:rsidRPr="002B5221">
              <w:t>54</w:t>
            </w:r>
          </w:p>
        </w:tc>
        <w:tc>
          <w:tcPr>
            <w:tcW w:w="1473" w:type="pct"/>
            <w:vAlign w:val="center"/>
          </w:tcPr>
          <w:p w14:paraId="61263667" w14:textId="77777777" w:rsidR="00EA71D4" w:rsidRPr="00EA71D4" w:rsidRDefault="00EA71D4">
            <w:pPr>
              <w:pStyle w:val="aa"/>
            </w:pPr>
            <w:r w:rsidRPr="00EA71D4">
              <w:t>mg/kg</w:t>
            </w:r>
          </w:p>
        </w:tc>
      </w:tr>
      <w:tr w:rsidR="00EA71D4" w:rsidRPr="00EA71D4" w14:paraId="09D7A399" w14:textId="77777777" w:rsidTr="00EA71D4">
        <w:tc>
          <w:tcPr>
            <w:tcW w:w="517" w:type="pct"/>
            <w:vAlign w:val="center"/>
          </w:tcPr>
          <w:p w14:paraId="6FA40E8A" w14:textId="77777777" w:rsidR="00EA71D4" w:rsidRPr="00EA71D4" w:rsidRDefault="00EA71D4">
            <w:pPr>
              <w:pStyle w:val="aa"/>
            </w:pPr>
            <w:r w:rsidRPr="00EA71D4">
              <w:t>22</w:t>
            </w:r>
          </w:p>
        </w:tc>
        <w:tc>
          <w:tcPr>
            <w:tcW w:w="1630" w:type="pct"/>
            <w:vAlign w:val="center"/>
          </w:tcPr>
          <w:p w14:paraId="03CEC264" w14:textId="77777777" w:rsidR="00EA71D4" w:rsidRPr="00EA71D4" w:rsidRDefault="00EA71D4">
            <w:pPr>
              <w:pStyle w:val="aa"/>
            </w:pPr>
            <w:r w:rsidRPr="00EA71D4">
              <w:t>顺式</w:t>
            </w:r>
            <w:r w:rsidRPr="00EA71D4">
              <w:t>1,2-</w:t>
            </w:r>
            <w:r w:rsidRPr="00EA71D4">
              <w:rPr>
                <w:rFonts w:ascii="宋体" w:hAnsi="宋体"/>
              </w:rPr>
              <w:t>二氯乙烯</w:t>
            </w:r>
          </w:p>
        </w:tc>
        <w:tc>
          <w:tcPr>
            <w:tcW w:w="1380" w:type="pct"/>
            <w:vAlign w:val="center"/>
          </w:tcPr>
          <w:p w14:paraId="7126511C" w14:textId="77777777" w:rsidR="00EA71D4" w:rsidRPr="002B5221" w:rsidRDefault="00EA71D4">
            <w:pPr>
              <w:pStyle w:val="aa"/>
            </w:pPr>
            <w:r w:rsidRPr="002B5221">
              <w:t>596</w:t>
            </w:r>
          </w:p>
        </w:tc>
        <w:tc>
          <w:tcPr>
            <w:tcW w:w="1473" w:type="pct"/>
            <w:vAlign w:val="center"/>
          </w:tcPr>
          <w:p w14:paraId="660285E6" w14:textId="77777777" w:rsidR="00EA71D4" w:rsidRPr="00EA71D4" w:rsidRDefault="00EA71D4">
            <w:pPr>
              <w:pStyle w:val="aa"/>
            </w:pPr>
            <w:r w:rsidRPr="00EA71D4">
              <w:t>mg/kg</w:t>
            </w:r>
          </w:p>
        </w:tc>
      </w:tr>
      <w:tr w:rsidR="00EA71D4" w:rsidRPr="00EA71D4" w14:paraId="6198F694" w14:textId="77777777" w:rsidTr="00EA71D4">
        <w:tc>
          <w:tcPr>
            <w:tcW w:w="517" w:type="pct"/>
            <w:vAlign w:val="center"/>
          </w:tcPr>
          <w:p w14:paraId="30ABCC4C" w14:textId="77777777" w:rsidR="00EA71D4" w:rsidRPr="00EA71D4" w:rsidRDefault="00EA71D4">
            <w:pPr>
              <w:pStyle w:val="aa"/>
            </w:pPr>
            <w:r w:rsidRPr="00EA71D4">
              <w:t>23</w:t>
            </w:r>
          </w:p>
        </w:tc>
        <w:tc>
          <w:tcPr>
            <w:tcW w:w="1630" w:type="pct"/>
            <w:vAlign w:val="center"/>
          </w:tcPr>
          <w:p w14:paraId="49C93D6D" w14:textId="77777777" w:rsidR="00EA71D4" w:rsidRPr="00EA71D4" w:rsidRDefault="00EA71D4">
            <w:pPr>
              <w:pStyle w:val="aa"/>
            </w:pPr>
            <w:r w:rsidRPr="00EA71D4">
              <w:t>1</w:t>
            </w:r>
            <w:r w:rsidRPr="00EA71D4">
              <w:t>，</w:t>
            </w:r>
            <w:r w:rsidRPr="00EA71D4">
              <w:t>1-</w:t>
            </w:r>
            <w:r w:rsidRPr="00EA71D4">
              <w:t>二氯乙烷</w:t>
            </w:r>
          </w:p>
        </w:tc>
        <w:tc>
          <w:tcPr>
            <w:tcW w:w="1380" w:type="pct"/>
            <w:vAlign w:val="center"/>
          </w:tcPr>
          <w:p w14:paraId="4CE3FC0F" w14:textId="77777777" w:rsidR="00EA71D4" w:rsidRPr="002B5221" w:rsidRDefault="00EA71D4">
            <w:pPr>
              <w:pStyle w:val="aa"/>
            </w:pPr>
            <w:r w:rsidRPr="002B5221">
              <w:t>5</w:t>
            </w:r>
          </w:p>
        </w:tc>
        <w:tc>
          <w:tcPr>
            <w:tcW w:w="1473" w:type="pct"/>
            <w:vAlign w:val="center"/>
          </w:tcPr>
          <w:p w14:paraId="6149A703" w14:textId="77777777" w:rsidR="00EA71D4" w:rsidRPr="00EA71D4" w:rsidRDefault="00EA71D4">
            <w:pPr>
              <w:pStyle w:val="aa"/>
            </w:pPr>
            <w:r w:rsidRPr="00EA71D4">
              <w:t>mg/kg</w:t>
            </w:r>
          </w:p>
        </w:tc>
      </w:tr>
      <w:tr w:rsidR="00EA71D4" w:rsidRPr="00EA71D4" w14:paraId="4C651BB5" w14:textId="77777777" w:rsidTr="00EA71D4">
        <w:tc>
          <w:tcPr>
            <w:tcW w:w="517" w:type="pct"/>
            <w:vAlign w:val="center"/>
          </w:tcPr>
          <w:p w14:paraId="44387976" w14:textId="77777777" w:rsidR="00EA71D4" w:rsidRPr="00EA71D4" w:rsidRDefault="00EA71D4">
            <w:pPr>
              <w:pStyle w:val="aa"/>
            </w:pPr>
            <w:r w:rsidRPr="00EA71D4">
              <w:t>24</w:t>
            </w:r>
          </w:p>
        </w:tc>
        <w:tc>
          <w:tcPr>
            <w:tcW w:w="1630" w:type="pct"/>
            <w:vAlign w:val="center"/>
          </w:tcPr>
          <w:p w14:paraId="45987AB6" w14:textId="77777777" w:rsidR="00EA71D4" w:rsidRPr="00EA71D4" w:rsidRDefault="00EA71D4">
            <w:pPr>
              <w:pStyle w:val="aa"/>
            </w:pPr>
            <w:r w:rsidRPr="00EA71D4">
              <w:t>苯并</w:t>
            </w:r>
            <w:r w:rsidRPr="00EA71D4">
              <w:t>(b)</w:t>
            </w:r>
            <w:proofErr w:type="gramStart"/>
            <w:r w:rsidRPr="00EA71D4">
              <w:rPr>
                <w:rFonts w:ascii="宋体" w:hAnsi="宋体"/>
              </w:rPr>
              <w:t>荧蒽</w:t>
            </w:r>
            <w:proofErr w:type="gramEnd"/>
          </w:p>
        </w:tc>
        <w:tc>
          <w:tcPr>
            <w:tcW w:w="1380" w:type="pct"/>
            <w:vAlign w:val="center"/>
          </w:tcPr>
          <w:p w14:paraId="2768555D" w14:textId="77777777" w:rsidR="00EA71D4" w:rsidRPr="002B5221" w:rsidRDefault="00EA71D4">
            <w:pPr>
              <w:pStyle w:val="aa"/>
            </w:pPr>
            <w:r w:rsidRPr="002B5221">
              <w:t>15</w:t>
            </w:r>
          </w:p>
        </w:tc>
        <w:tc>
          <w:tcPr>
            <w:tcW w:w="1473" w:type="pct"/>
            <w:vAlign w:val="center"/>
          </w:tcPr>
          <w:p w14:paraId="689F9006" w14:textId="77777777" w:rsidR="00EA71D4" w:rsidRPr="00EA71D4" w:rsidRDefault="00EA71D4">
            <w:pPr>
              <w:pStyle w:val="aa"/>
            </w:pPr>
            <w:r w:rsidRPr="00EA71D4">
              <w:t>mg/kg</w:t>
            </w:r>
          </w:p>
        </w:tc>
      </w:tr>
      <w:tr w:rsidR="00EA71D4" w:rsidRPr="00EA71D4" w14:paraId="0DF3C0D5" w14:textId="77777777" w:rsidTr="00EA71D4">
        <w:tc>
          <w:tcPr>
            <w:tcW w:w="517" w:type="pct"/>
            <w:vAlign w:val="center"/>
          </w:tcPr>
          <w:p w14:paraId="5DE4CD50" w14:textId="77777777" w:rsidR="00EA71D4" w:rsidRPr="00EA71D4" w:rsidRDefault="00EA71D4">
            <w:pPr>
              <w:pStyle w:val="aa"/>
            </w:pPr>
            <w:r w:rsidRPr="00EA71D4">
              <w:t>25</w:t>
            </w:r>
          </w:p>
        </w:tc>
        <w:tc>
          <w:tcPr>
            <w:tcW w:w="1630" w:type="pct"/>
            <w:vAlign w:val="center"/>
          </w:tcPr>
          <w:p w14:paraId="2DA558BF" w14:textId="77777777" w:rsidR="00EA71D4" w:rsidRPr="00EA71D4" w:rsidRDefault="00EA71D4">
            <w:pPr>
              <w:pStyle w:val="aa"/>
            </w:pPr>
            <w:r w:rsidRPr="00EA71D4">
              <w:t>苯并</w:t>
            </w:r>
            <w:r w:rsidRPr="00EA71D4">
              <w:t>(k)</w:t>
            </w:r>
            <w:proofErr w:type="gramStart"/>
            <w:r w:rsidRPr="00EA71D4">
              <w:rPr>
                <w:rFonts w:ascii="宋体" w:hAnsi="宋体"/>
              </w:rPr>
              <w:t>荧蒽</w:t>
            </w:r>
            <w:proofErr w:type="gramEnd"/>
          </w:p>
        </w:tc>
        <w:tc>
          <w:tcPr>
            <w:tcW w:w="1380" w:type="pct"/>
            <w:vAlign w:val="center"/>
          </w:tcPr>
          <w:p w14:paraId="2D6BA358" w14:textId="77777777" w:rsidR="00EA71D4" w:rsidRPr="002B5221" w:rsidRDefault="00EA71D4">
            <w:pPr>
              <w:pStyle w:val="aa"/>
            </w:pPr>
            <w:r w:rsidRPr="002B5221">
              <w:t>151</w:t>
            </w:r>
          </w:p>
        </w:tc>
        <w:tc>
          <w:tcPr>
            <w:tcW w:w="1473" w:type="pct"/>
            <w:vAlign w:val="center"/>
          </w:tcPr>
          <w:p w14:paraId="15663B0B" w14:textId="77777777" w:rsidR="00EA71D4" w:rsidRPr="00EA71D4" w:rsidRDefault="00EA71D4">
            <w:pPr>
              <w:pStyle w:val="aa"/>
            </w:pPr>
            <w:r w:rsidRPr="00EA71D4">
              <w:t>mg/kg</w:t>
            </w:r>
          </w:p>
        </w:tc>
      </w:tr>
      <w:tr w:rsidR="00EA71D4" w:rsidRPr="00EA71D4" w14:paraId="241C5C4F" w14:textId="77777777" w:rsidTr="00EA71D4">
        <w:trPr>
          <w:trHeight w:val="90"/>
        </w:trPr>
        <w:tc>
          <w:tcPr>
            <w:tcW w:w="517" w:type="pct"/>
            <w:vAlign w:val="center"/>
          </w:tcPr>
          <w:p w14:paraId="5B3968D2" w14:textId="77777777" w:rsidR="00EA71D4" w:rsidRPr="00EA71D4" w:rsidRDefault="00EA71D4">
            <w:pPr>
              <w:pStyle w:val="aa"/>
            </w:pPr>
            <w:r w:rsidRPr="00EA71D4">
              <w:t>26</w:t>
            </w:r>
          </w:p>
        </w:tc>
        <w:tc>
          <w:tcPr>
            <w:tcW w:w="1630" w:type="pct"/>
            <w:vAlign w:val="center"/>
          </w:tcPr>
          <w:p w14:paraId="44771808" w14:textId="77777777" w:rsidR="00EA71D4" w:rsidRPr="00EA71D4" w:rsidRDefault="00EA71D4">
            <w:pPr>
              <w:pStyle w:val="aa"/>
            </w:pPr>
            <w:r w:rsidRPr="00EA71D4">
              <w:t>氯仿</w:t>
            </w:r>
          </w:p>
        </w:tc>
        <w:tc>
          <w:tcPr>
            <w:tcW w:w="1380" w:type="pct"/>
            <w:vAlign w:val="center"/>
          </w:tcPr>
          <w:p w14:paraId="198DD8D9" w14:textId="77777777" w:rsidR="00EA71D4" w:rsidRPr="002B5221" w:rsidRDefault="00EA71D4">
            <w:pPr>
              <w:pStyle w:val="aa"/>
            </w:pPr>
            <w:r w:rsidRPr="002B5221">
              <w:t>0.9</w:t>
            </w:r>
          </w:p>
        </w:tc>
        <w:tc>
          <w:tcPr>
            <w:tcW w:w="1473" w:type="pct"/>
            <w:vAlign w:val="center"/>
          </w:tcPr>
          <w:p w14:paraId="71C4C091" w14:textId="77777777" w:rsidR="00EA71D4" w:rsidRPr="00EA71D4" w:rsidRDefault="00EA71D4">
            <w:pPr>
              <w:pStyle w:val="aa"/>
            </w:pPr>
            <w:r w:rsidRPr="00EA71D4">
              <w:t>mg/kg</w:t>
            </w:r>
          </w:p>
        </w:tc>
      </w:tr>
      <w:tr w:rsidR="00EA71D4" w:rsidRPr="00EA71D4" w14:paraId="1F437C84" w14:textId="77777777" w:rsidTr="00EA71D4">
        <w:tc>
          <w:tcPr>
            <w:tcW w:w="517" w:type="pct"/>
            <w:vAlign w:val="center"/>
          </w:tcPr>
          <w:p w14:paraId="6F0E103F" w14:textId="77777777" w:rsidR="00EA71D4" w:rsidRPr="00EA71D4" w:rsidRDefault="00EA71D4">
            <w:pPr>
              <w:pStyle w:val="aa"/>
            </w:pPr>
            <w:r w:rsidRPr="00EA71D4">
              <w:t>27</w:t>
            </w:r>
          </w:p>
        </w:tc>
        <w:tc>
          <w:tcPr>
            <w:tcW w:w="1630" w:type="pct"/>
            <w:vAlign w:val="center"/>
          </w:tcPr>
          <w:p w14:paraId="09924105" w14:textId="77777777" w:rsidR="00EA71D4" w:rsidRPr="00EA71D4" w:rsidRDefault="00EA71D4">
            <w:pPr>
              <w:pStyle w:val="aa"/>
            </w:pPr>
            <w:r w:rsidRPr="00EA71D4">
              <w:t>1</w:t>
            </w:r>
            <w:r w:rsidRPr="00EA71D4">
              <w:t>，</w:t>
            </w:r>
            <w:r w:rsidRPr="00EA71D4">
              <w:t>1</w:t>
            </w:r>
            <w:r w:rsidRPr="00EA71D4">
              <w:t>，</w:t>
            </w:r>
            <w:r w:rsidRPr="00EA71D4">
              <w:t>1-</w:t>
            </w:r>
            <w:r w:rsidRPr="00EA71D4">
              <w:t>三氯乙烷</w:t>
            </w:r>
          </w:p>
        </w:tc>
        <w:tc>
          <w:tcPr>
            <w:tcW w:w="1380" w:type="pct"/>
            <w:vAlign w:val="center"/>
          </w:tcPr>
          <w:p w14:paraId="689FF8C8" w14:textId="77777777" w:rsidR="00EA71D4" w:rsidRPr="002B5221" w:rsidRDefault="00EA71D4">
            <w:pPr>
              <w:pStyle w:val="aa"/>
            </w:pPr>
            <w:r w:rsidRPr="002B5221">
              <w:t>840</w:t>
            </w:r>
          </w:p>
        </w:tc>
        <w:tc>
          <w:tcPr>
            <w:tcW w:w="1473" w:type="pct"/>
            <w:vAlign w:val="center"/>
          </w:tcPr>
          <w:p w14:paraId="5C17FCA0" w14:textId="77777777" w:rsidR="00EA71D4" w:rsidRPr="00EA71D4" w:rsidRDefault="00EA71D4">
            <w:pPr>
              <w:pStyle w:val="aa"/>
            </w:pPr>
            <w:r w:rsidRPr="00EA71D4">
              <w:t>mg/kg</w:t>
            </w:r>
          </w:p>
        </w:tc>
      </w:tr>
      <w:tr w:rsidR="00EA71D4" w:rsidRPr="00EA71D4" w14:paraId="5B2DB29E" w14:textId="77777777" w:rsidTr="00EA71D4">
        <w:tc>
          <w:tcPr>
            <w:tcW w:w="517" w:type="pct"/>
            <w:vAlign w:val="center"/>
          </w:tcPr>
          <w:p w14:paraId="7B0C8720" w14:textId="77777777" w:rsidR="00EA71D4" w:rsidRPr="00EA71D4" w:rsidRDefault="00EA71D4">
            <w:pPr>
              <w:pStyle w:val="aa"/>
            </w:pPr>
            <w:r w:rsidRPr="00EA71D4">
              <w:t>28</w:t>
            </w:r>
          </w:p>
        </w:tc>
        <w:tc>
          <w:tcPr>
            <w:tcW w:w="1630" w:type="pct"/>
            <w:vAlign w:val="center"/>
          </w:tcPr>
          <w:p w14:paraId="2AA8D927" w14:textId="77777777" w:rsidR="00EA71D4" w:rsidRPr="00EA71D4" w:rsidRDefault="00EA71D4">
            <w:pPr>
              <w:pStyle w:val="aa"/>
            </w:pPr>
            <w:r w:rsidRPr="00EA71D4">
              <w:t>苯并</w:t>
            </w:r>
            <w:r w:rsidRPr="00EA71D4">
              <w:t>(a)</w:t>
            </w:r>
            <w:proofErr w:type="gramStart"/>
            <w:r w:rsidRPr="00EA71D4">
              <w:rPr>
                <w:rFonts w:ascii="宋体" w:hAnsi="宋体"/>
              </w:rPr>
              <w:t>芘</w:t>
            </w:r>
            <w:proofErr w:type="gramEnd"/>
          </w:p>
        </w:tc>
        <w:tc>
          <w:tcPr>
            <w:tcW w:w="1380" w:type="pct"/>
            <w:vAlign w:val="center"/>
          </w:tcPr>
          <w:p w14:paraId="41B84FAE" w14:textId="77777777" w:rsidR="00EA71D4" w:rsidRPr="002B5221" w:rsidRDefault="00EA71D4">
            <w:pPr>
              <w:pStyle w:val="aa"/>
            </w:pPr>
            <w:r w:rsidRPr="002B5221">
              <w:t>1.5</w:t>
            </w:r>
          </w:p>
        </w:tc>
        <w:tc>
          <w:tcPr>
            <w:tcW w:w="1473" w:type="pct"/>
            <w:vAlign w:val="center"/>
          </w:tcPr>
          <w:p w14:paraId="56D597CF" w14:textId="77777777" w:rsidR="00EA71D4" w:rsidRPr="00EA71D4" w:rsidRDefault="00EA71D4">
            <w:pPr>
              <w:pStyle w:val="aa"/>
            </w:pPr>
            <w:r w:rsidRPr="00EA71D4">
              <w:t>mg/kg</w:t>
            </w:r>
          </w:p>
        </w:tc>
      </w:tr>
      <w:tr w:rsidR="00EA71D4" w:rsidRPr="00EA71D4" w14:paraId="71451F2D" w14:textId="77777777" w:rsidTr="00EA71D4">
        <w:tc>
          <w:tcPr>
            <w:tcW w:w="517" w:type="pct"/>
            <w:vAlign w:val="center"/>
          </w:tcPr>
          <w:p w14:paraId="032A501D" w14:textId="77777777" w:rsidR="00EA71D4" w:rsidRPr="00EA71D4" w:rsidRDefault="00EA71D4">
            <w:pPr>
              <w:pStyle w:val="aa"/>
            </w:pPr>
            <w:r w:rsidRPr="00EA71D4">
              <w:t>29</w:t>
            </w:r>
          </w:p>
        </w:tc>
        <w:tc>
          <w:tcPr>
            <w:tcW w:w="1630" w:type="pct"/>
            <w:vAlign w:val="center"/>
          </w:tcPr>
          <w:p w14:paraId="09500D8E" w14:textId="77777777" w:rsidR="00EA71D4" w:rsidRPr="00EA71D4" w:rsidRDefault="00EA71D4">
            <w:pPr>
              <w:pStyle w:val="aa"/>
            </w:pPr>
            <w:r w:rsidRPr="00EA71D4">
              <w:t>四氯化碳</w:t>
            </w:r>
          </w:p>
        </w:tc>
        <w:tc>
          <w:tcPr>
            <w:tcW w:w="1380" w:type="pct"/>
            <w:vAlign w:val="center"/>
          </w:tcPr>
          <w:p w14:paraId="1C900454" w14:textId="77777777" w:rsidR="00EA71D4" w:rsidRPr="002B5221" w:rsidRDefault="00EA71D4">
            <w:pPr>
              <w:pStyle w:val="aa"/>
            </w:pPr>
            <w:r w:rsidRPr="002B5221">
              <w:t>2.8</w:t>
            </w:r>
          </w:p>
        </w:tc>
        <w:tc>
          <w:tcPr>
            <w:tcW w:w="1473" w:type="pct"/>
            <w:vAlign w:val="center"/>
          </w:tcPr>
          <w:p w14:paraId="5C02C4CF" w14:textId="77777777" w:rsidR="00EA71D4" w:rsidRPr="00EA71D4" w:rsidRDefault="00EA71D4">
            <w:pPr>
              <w:pStyle w:val="aa"/>
            </w:pPr>
            <w:r w:rsidRPr="00EA71D4">
              <w:t>mg/kg</w:t>
            </w:r>
          </w:p>
        </w:tc>
      </w:tr>
      <w:tr w:rsidR="00EA71D4" w:rsidRPr="00EA71D4" w14:paraId="76EA712C" w14:textId="77777777" w:rsidTr="00EA71D4">
        <w:tc>
          <w:tcPr>
            <w:tcW w:w="517" w:type="pct"/>
            <w:vAlign w:val="center"/>
          </w:tcPr>
          <w:p w14:paraId="03C9E35C" w14:textId="77777777" w:rsidR="00EA71D4" w:rsidRPr="00EA71D4" w:rsidRDefault="00EA71D4">
            <w:pPr>
              <w:pStyle w:val="aa"/>
            </w:pPr>
            <w:r w:rsidRPr="00EA71D4">
              <w:t>30</w:t>
            </w:r>
          </w:p>
        </w:tc>
        <w:tc>
          <w:tcPr>
            <w:tcW w:w="1630" w:type="pct"/>
            <w:vAlign w:val="center"/>
          </w:tcPr>
          <w:p w14:paraId="7323E403" w14:textId="77777777" w:rsidR="00EA71D4" w:rsidRPr="00EA71D4" w:rsidRDefault="00EA71D4">
            <w:pPr>
              <w:pStyle w:val="aa"/>
            </w:pPr>
            <w:proofErr w:type="gramStart"/>
            <w:r w:rsidRPr="00EA71D4">
              <w:t>茚</w:t>
            </w:r>
            <w:proofErr w:type="gramEnd"/>
            <w:r w:rsidRPr="00EA71D4">
              <w:t>并</w:t>
            </w:r>
            <w:r w:rsidRPr="00EA71D4">
              <w:t>(1,2,3-cd)</w:t>
            </w:r>
            <w:proofErr w:type="gramStart"/>
            <w:r w:rsidRPr="00EA71D4">
              <w:rPr>
                <w:rFonts w:ascii="宋体" w:hAnsi="宋体"/>
              </w:rPr>
              <w:t>芘</w:t>
            </w:r>
            <w:proofErr w:type="gramEnd"/>
          </w:p>
        </w:tc>
        <w:tc>
          <w:tcPr>
            <w:tcW w:w="1380" w:type="pct"/>
            <w:vAlign w:val="center"/>
          </w:tcPr>
          <w:p w14:paraId="6C6A29C9" w14:textId="77777777" w:rsidR="00EA71D4" w:rsidRPr="002B5221" w:rsidRDefault="00EA71D4">
            <w:pPr>
              <w:pStyle w:val="aa"/>
            </w:pPr>
            <w:r w:rsidRPr="002B5221">
              <w:t>15</w:t>
            </w:r>
          </w:p>
        </w:tc>
        <w:tc>
          <w:tcPr>
            <w:tcW w:w="1473" w:type="pct"/>
            <w:vAlign w:val="center"/>
          </w:tcPr>
          <w:p w14:paraId="3FD203D9" w14:textId="77777777" w:rsidR="00EA71D4" w:rsidRPr="00EA71D4" w:rsidRDefault="00EA71D4">
            <w:pPr>
              <w:pStyle w:val="aa"/>
            </w:pPr>
            <w:r w:rsidRPr="00EA71D4">
              <w:t>mg/kg</w:t>
            </w:r>
          </w:p>
        </w:tc>
      </w:tr>
      <w:tr w:rsidR="00EA71D4" w:rsidRPr="00EA71D4" w14:paraId="2F14EB84" w14:textId="77777777" w:rsidTr="00EA71D4">
        <w:tc>
          <w:tcPr>
            <w:tcW w:w="517" w:type="pct"/>
            <w:vAlign w:val="center"/>
          </w:tcPr>
          <w:p w14:paraId="1B04A0EB" w14:textId="77777777" w:rsidR="00EA71D4" w:rsidRPr="00EA71D4" w:rsidRDefault="00EA71D4">
            <w:pPr>
              <w:pStyle w:val="aa"/>
            </w:pPr>
            <w:r w:rsidRPr="00EA71D4">
              <w:t>31</w:t>
            </w:r>
          </w:p>
        </w:tc>
        <w:tc>
          <w:tcPr>
            <w:tcW w:w="1630" w:type="pct"/>
            <w:vAlign w:val="center"/>
          </w:tcPr>
          <w:p w14:paraId="1B9E1BA2" w14:textId="77777777" w:rsidR="00EA71D4" w:rsidRPr="00EA71D4" w:rsidRDefault="00EA71D4">
            <w:pPr>
              <w:pStyle w:val="aa"/>
            </w:pPr>
            <w:r w:rsidRPr="00EA71D4">
              <w:t>1,2-</w:t>
            </w:r>
            <w:r w:rsidRPr="00EA71D4">
              <w:rPr>
                <w:rFonts w:ascii="宋体" w:hAnsi="宋体"/>
              </w:rPr>
              <w:t>二氯乙烷</w:t>
            </w:r>
          </w:p>
        </w:tc>
        <w:tc>
          <w:tcPr>
            <w:tcW w:w="1380" w:type="pct"/>
            <w:vAlign w:val="center"/>
          </w:tcPr>
          <w:p w14:paraId="0570EDC4" w14:textId="77777777" w:rsidR="00EA71D4" w:rsidRPr="002B5221" w:rsidRDefault="00EA71D4">
            <w:pPr>
              <w:pStyle w:val="aa"/>
            </w:pPr>
            <w:r w:rsidRPr="002B5221">
              <w:t>5</w:t>
            </w:r>
          </w:p>
        </w:tc>
        <w:tc>
          <w:tcPr>
            <w:tcW w:w="1473" w:type="pct"/>
            <w:vAlign w:val="center"/>
          </w:tcPr>
          <w:p w14:paraId="585E2742" w14:textId="77777777" w:rsidR="00EA71D4" w:rsidRPr="00EA71D4" w:rsidRDefault="00EA71D4">
            <w:pPr>
              <w:pStyle w:val="aa"/>
            </w:pPr>
            <w:r w:rsidRPr="00EA71D4">
              <w:t>mg/kg</w:t>
            </w:r>
          </w:p>
        </w:tc>
      </w:tr>
      <w:tr w:rsidR="00EA71D4" w:rsidRPr="00EA71D4" w14:paraId="11879A39" w14:textId="77777777" w:rsidTr="00EA71D4">
        <w:tc>
          <w:tcPr>
            <w:tcW w:w="517" w:type="pct"/>
            <w:vAlign w:val="center"/>
          </w:tcPr>
          <w:p w14:paraId="509BE6F1" w14:textId="77777777" w:rsidR="00EA71D4" w:rsidRPr="00EA71D4" w:rsidRDefault="00EA71D4">
            <w:pPr>
              <w:pStyle w:val="aa"/>
            </w:pPr>
            <w:r w:rsidRPr="00EA71D4">
              <w:t>32</w:t>
            </w:r>
          </w:p>
        </w:tc>
        <w:tc>
          <w:tcPr>
            <w:tcW w:w="1630" w:type="pct"/>
            <w:vAlign w:val="center"/>
          </w:tcPr>
          <w:p w14:paraId="07F78A0A" w14:textId="77777777" w:rsidR="00EA71D4" w:rsidRPr="00EA71D4" w:rsidRDefault="00EA71D4">
            <w:pPr>
              <w:pStyle w:val="aa"/>
            </w:pPr>
            <w:r w:rsidRPr="00EA71D4">
              <w:t>二苯并</w:t>
            </w:r>
            <w:r w:rsidRPr="00EA71D4">
              <w:t>(</w:t>
            </w:r>
            <w:proofErr w:type="spellStart"/>
            <w:r w:rsidRPr="00EA71D4">
              <w:t>a,h</w:t>
            </w:r>
            <w:proofErr w:type="spellEnd"/>
            <w:r w:rsidRPr="00EA71D4">
              <w:t>)</w:t>
            </w:r>
            <w:proofErr w:type="gramStart"/>
            <w:r w:rsidRPr="00EA71D4">
              <w:rPr>
                <w:rFonts w:ascii="宋体" w:hAnsi="宋体"/>
              </w:rPr>
              <w:t>蒽</w:t>
            </w:r>
            <w:proofErr w:type="gramEnd"/>
          </w:p>
        </w:tc>
        <w:tc>
          <w:tcPr>
            <w:tcW w:w="1380" w:type="pct"/>
            <w:vAlign w:val="center"/>
          </w:tcPr>
          <w:p w14:paraId="0350C19D" w14:textId="77777777" w:rsidR="00EA71D4" w:rsidRPr="002B5221" w:rsidRDefault="00EA71D4">
            <w:pPr>
              <w:pStyle w:val="aa"/>
            </w:pPr>
            <w:r w:rsidRPr="002B5221">
              <w:t>1.5</w:t>
            </w:r>
          </w:p>
        </w:tc>
        <w:tc>
          <w:tcPr>
            <w:tcW w:w="1473" w:type="pct"/>
            <w:vAlign w:val="center"/>
          </w:tcPr>
          <w:p w14:paraId="4C206320" w14:textId="77777777" w:rsidR="00EA71D4" w:rsidRPr="00EA71D4" w:rsidRDefault="00EA71D4">
            <w:pPr>
              <w:pStyle w:val="aa"/>
            </w:pPr>
            <w:r w:rsidRPr="00EA71D4">
              <w:t>mg/kg</w:t>
            </w:r>
          </w:p>
        </w:tc>
      </w:tr>
      <w:tr w:rsidR="00EA71D4" w:rsidRPr="00EA71D4" w14:paraId="1538B783" w14:textId="77777777" w:rsidTr="00EA71D4">
        <w:tc>
          <w:tcPr>
            <w:tcW w:w="517" w:type="pct"/>
            <w:vAlign w:val="center"/>
          </w:tcPr>
          <w:p w14:paraId="1A342DCA" w14:textId="77777777" w:rsidR="00EA71D4" w:rsidRPr="00EA71D4" w:rsidRDefault="00EA71D4">
            <w:pPr>
              <w:pStyle w:val="aa"/>
            </w:pPr>
            <w:r w:rsidRPr="00EA71D4">
              <w:t>33</w:t>
            </w:r>
          </w:p>
        </w:tc>
        <w:tc>
          <w:tcPr>
            <w:tcW w:w="1630" w:type="pct"/>
            <w:vAlign w:val="center"/>
          </w:tcPr>
          <w:p w14:paraId="5ECD50E2" w14:textId="77777777" w:rsidR="00EA71D4" w:rsidRPr="00EA71D4" w:rsidRDefault="00EA71D4">
            <w:pPr>
              <w:pStyle w:val="aa"/>
            </w:pPr>
            <w:r w:rsidRPr="00EA71D4">
              <w:t>三氯乙烯</w:t>
            </w:r>
          </w:p>
        </w:tc>
        <w:tc>
          <w:tcPr>
            <w:tcW w:w="1380" w:type="pct"/>
            <w:vAlign w:val="center"/>
          </w:tcPr>
          <w:p w14:paraId="2009DE08" w14:textId="77777777" w:rsidR="00EA71D4" w:rsidRPr="002B5221" w:rsidRDefault="00EA71D4">
            <w:pPr>
              <w:pStyle w:val="aa"/>
            </w:pPr>
            <w:r w:rsidRPr="002B5221">
              <w:t>2.8</w:t>
            </w:r>
          </w:p>
        </w:tc>
        <w:tc>
          <w:tcPr>
            <w:tcW w:w="1473" w:type="pct"/>
            <w:vAlign w:val="center"/>
          </w:tcPr>
          <w:p w14:paraId="3597A243" w14:textId="77777777" w:rsidR="00EA71D4" w:rsidRPr="00EA71D4" w:rsidRDefault="00EA71D4">
            <w:pPr>
              <w:pStyle w:val="aa"/>
            </w:pPr>
            <w:r w:rsidRPr="00EA71D4">
              <w:t>mg/kg</w:t>
            </w:r>
          </w:p>
        </w:tc>
      </w:tr>
      <w:tr w:rsidR="00EA71D4" w:rsidRPr="00EA71D4" w14:paraId="04922CFF" w14:textId="77777777" w:rsidTr="00EA71D4">
        <w:tc>
          <w:tcPr>
            <w:tcW w:w="517" w:type="pct"/>
            <w:vAlign w:val="center"/>
          </w:tcPr>
          <w:p w14:paraId="3BE4E7E5" w14:textId="77777777" w:rsidR="00EA71D4" w:rsidRPr="00EA71D4" w:rsidRDefault="00EA71D4">
            <w:pPr>
              <w:pStyle w:val="aa"/>
            </w:pPr>
            <w:r w:rsidRPr="00EA71D4">
              <w:t>34</w:t>
            </w:r>
          </w:p>
        </w:tc>
        <w:tc>
          <w:tcPr>
            <w:tcW w:w="1630" w:type="pct"/>
            <w:vAlign w:val="center"/>
          </w:tcPr>
          <w:p w14:paraId="57A104B9" w14:textId="77777777" w:rsidR="00EA71D4" w:rsidRPr="00EA71D4" w:rsidRDefault="00EA71D4">
            <w:pPr>
              <w:pStyle w:val="aa"/>
            </w:pPr>
            <w:r w:rsidRPr="00EA71D4">
              <w:t>1</w:t>
            </w:r>
            <w:r w:rsidRPr="00EA71D4">
              <w:t>，</w:t>
            </w:r>
            <w:r w:rsidRPr="00EA71D4">
              <w:t>2-</w:t>
            </w:r>
            <w:r w:rsidRPr="00EA71D4">
              <w:t>二氯丙烷</w:t>
            </w:r>
          </w:p>
        </w:tc>
        <w:tc>
          <w:tcPr>
            <w:tcW w:w="1380" w:type="pct"/>
            <w:vAlign w:val="center"/>
          </w:tcPr>
          <w:p w14:paraId="2701346A" w14:textId="77777777" w:rsidR="00EA71D4" w:rsidRPr="002B5221" w:rsidRDefault="00EA71D4">
            <w:pPr>
              <w:pStyle w:val="aa"/>
            </w:pPr>
            <w:r w:rsidRPr="002B5221">
              <w:t>5</w:t>
            </w:r>
          </w:p>
        </w:tc>
        <w:tc>
          <w:tcPr>
            <w:tcW w:w="1473" w:type="pct"/>
            <w:vAlign w:val="center"/>
          </w:tcPr>
          <w:p w14:paraId="74448AEA" w14:textId="77777777" w:rsidR="00EA71D4" w:rsidRPr="00EA71D4" w:rsidRDefault="00EA71D4">
            <w:pPr>
              <w:pStyle w:val="aa"/>
            </w:pPr>
            <w:r w:rsidRPr="00EA71D4">
              <w:t>mg/kg</w:t>
            </w:r>
          </w:p>
        </w:tc>
      </w:tr>
      <w:tr w:rsidR="00EA71D4" w:rsidRPr="00EA71D4" w14:paraId="29A23C1B" w14:textId="77777777" w:rsidTr="00EA71D4">
        <w:trPr>
          <w:trHeight w:val="90"/>
        </w:trPr>
        <w:tc>
          <w:tcPr>
            <w:tcW w:w="517" w:type="pct"/>
            <w:vAlign w:val="center"/>
          </w:tcPr>
          <w:p w14:paraId="76D4DB05" w14:textId="77777777" w:rsidR="00EA71D4" w:rsidRPr="00EA71D4" w:rsidRDefault="00EA71D4">
            <w:pPr>
              <w:pStyle w:val="aa"/>
            </w:pPr>
            <w:r w:rsidRPr="00EA71D4">
              <w:t>35</w:t>
            </w:r>
          </w:p>
        </w:tc>
        <w:tc>
          <w:tcPr>
            <w:tcW w:w="1630" w:type="pct"/>
            <w:vAlign w:val="center"/>
          </w:tcPr>
          <w:p w14:paraId="5EE34B58" w14:textId="77777777" w:rsidR="00EA71D4" w:rsidRPr="00EA71D4" w:rsidRDefault="00EA71D4">
            <w:pPr>
              <w:pStyle w:val="aa"/>
            </w:pPr>
            <w:r w:rsidRPr="00EA71D4">
              <w:t>甲苯</w:t>
            </w:r>
          </w:p>
        </w:tc>
        <w:tc>
          <w:tcPr>
            <w:tcW w:w="1380" w:type="pct"/>
            <w:vAlign w:val="center"/>
          </w:tcPr>
          <w:p w14:paraId="19EAC3E7" w14:textId="77777777" w:rsidR="00EA71D4" w:rsidRPr="002B5221" w:rsidRDefault="00EA71D4">
            <w:pPr>
              <w:pStyle w:val="aa"/>
            </w:pPr>
            <w:r w:rsidRPr="002B5221">
              <w:t>1200</w:t>
            </w:r>
          </w:p>
        </w:tc>
        <w:tc>
          <w:tcPr>
            <w:tcW w:w="1473" w:type="pct"/>
            <w:vAlign w:val="center"/>
          </w:tcPr>
          <w:p w14:paraId="5E6A288B" w14:textId="77777777" w:rsidR="00EA71D4" w:rsidRPr="00EA71D4" w:rsidRDefault="00EA71D4">
            <w:pPr>
              <w:pStyle w:val="aa"/>
            </w:pPr>
            <w:r w:rsidRPr="00EA71D4">
              <w:t>mg/kg</w:t>
            </w:r>
          </w:p>
        </w:tc>
      </w:tr>
      <w:tr w:rsidR="00EA71D4" w:rsidRPr="00EA71D4" w14:paraId="50BC0289" w14:textId="77777777" w:rsidTr="00EA71D4">
        <w:tc>
          <w:tcPr>
            <w:tcW w:w="517" w:type="pct"/>
            <w:vAlign w:val="center"/>
          </w:tcPr>
          <w:p w14:paraId="4FE8A8F5" w14:textId="77777777" w:rsidR="00EA71D4" w:rsidRPr="00EA71D4" w:rsidRDefault="00EA71D4">
            <w:pPr>
              <w:pStyle w:val="aa"/>
            </w:pPr>
            <w:r w:rsidRPr="00EA71D4">
              <w:t>36</w:t>
            </w:r>
          </w:p>
        </w:tc>
        <w:tc>
          <w:tcPr>
            <w:tcW w:w="1630" w:type="pct"/>
            <w:vAlign w:val="center"/>
          </w:tcPr>
          <w:p w14:paraId="2BA68DFB" w14:textId="77777777" w:rsidR="00EA71D4" w:rsidRPr="00EA71D4" w:rsidRDefault="00EA71D4">
            <w:pPr>
              <w:pStyle w:val="aa"/>
            </w:pPr>
            <w:r w:rsidRPr="00EA71D4">
              <w:t>1</w:t>
            </w:r>
            <w:r w:rsidRPr="00EA71D4">
              <w:t>，</w:t>
            </w:r>
            <w:r w:rsidRPr="00EA71D4">
              <w:t>1</w:t>
            </w:r>
            <w:r w:rsidRPr="00EA71D4">
              <w:t>，</w:t>
            </w:r>
            <w:r w:rsidRPr="00EA71D4">
              <w:t>2-</w:t>
            </w:r>
            <w:r w:rsidRPr="00EA71D4">
              <w:t>三氯乙烷</w:t>
            </w:r>
          </w:p>
        </w:tc>
        <w:tc>
          <w:tcPr>
            <w:tcW w:w="1380" w:type="pct"/>
            <w:vAlign w:val="center"/>
          </w:tcPr>
          <w:p w14:paraId="65C00C52" w14:textId="77777777" w:rsidR="00EA71D4" w:rsidRPr="002B5221" w:rsidRDefault="00EA71D4">
            <w:pPr>
              <w:pStyle w:val="aa"/>
            </w:pPr>
            <w:r w:rsidRPr="002B5221">
              <w:t>2.8</w:t>
            </w:r>
          </w:p>
        </w:tc>
        <w:tc>
          <w:tcPr>
            <w:tcW w:w="1473" w:type="pct"/>
            <w:vAlign w:val="center"/>
          </w:tcPr>
          <w:p w14:paraId="13A58A6C" w14:textId="77777777" w:rsidR="00EA71D4" w:rsidRPr="00EA71D4" w:rsidRDefault="00EA71D4">
            <w:pPr>
              <w:pStyle w:val="aa"/>
            </w:pPr>
            <w:r w:rsidRPr="00EA71D4">
              <w:t>mg/kg</w:t>
            </w:r>
          </w:p>
        </w:tc>
      </w:tr>
      <w:tr w:rsidR="00EA71D4" w:rsidRPr="00EA71D4" w14:paraId="5B37999D" w14:textId="77777777" w:rsidTr="00EA71D4">
        <w:tc>
          <w:tcPr>
            <w:tcW w:w="517" w:type="pct"/>
            <w:vAlign w:val="center"/>
          </w:tcPr>
          <w:p w14:paraId="57BA2F8A" w14:textId="77777777" w:rsidR="00EA71D4" w:rsidRPr="00EA71D4" w:rsidRDefault="00EA71D4">
            <w:pPr>
              <w:pStyle w:val="aa"/>
            </w:pPr>
            <w:r w:rsidRPr="00EA71D4">
              <w:t>37</w:t>
            </w:r>
          </w:p>
        </w:tc>
        <w:tc>
          <w:tcPr>
            <w:tcW w:w="1630" w:type="pct"/>
            <w:vAlign w:val="center"/>
          </w:tcPr>
          <w:p w14:paraId="1CBE9EF2" w14:textId="77777777" w:rsidR="00EA71D4" w:rsidRPr="00EA71D4" w:rsidRDefault="00EA71D4">
            <w:pPr>
              <w:pStyle w:val="aa"/>
            </w:pPr>
            <w:r w:rsidRPr="00EA71D4">
              <w:t>氯苯</w:t>
            </w:r>
          </w:p>
        </w:tc>
        <w:tc>
          <w:tcPr>
            <w:tcW w:w="1380" w:type="pct"/>
            <w:vAlign w:val="center"/>
          </w:tcPr>
          <w:p w14:paraId="7140FB95" w14:textId="77777777" w:rsidR="00EA71D4" w:rsidRPr="002B5221" w:rsidRDefault="00EA71D4">
            <w:pPr>
              <w:pStyle w:val="aa"/>
            </w:pPr>
            <w:r w:rsidRPr="002B5221">
              <w:t>270</w:t>
            </w:r>
          </w:p>
        </w:tc>
        <w:tc>
          <w:tcPr>
            <w:tcW w:w="1473" w:type="pct"/>
            <w:vAlign w:val="center"/>
          </w:tcPr>
          <w:p w14:paraId="65006535" w14:textId="77777777" w:rsidR="00EA71D4" w:rsidRPr="00EA71D4" w:rsidRDefault="00EA71D4">
            <w:pPr>
              <w:pStyle w:val="aa"/>
            </w:pPr>
            <w:r w:rsidRPr="00EA71D4">
              <w:t>mg/kg</w:t>
            </w:r>
          </w:p>
        </w:tc>
      </w:tr>
      <w:tr w:rsidR="00EA71D4" w:rsidRPr="00EA71D4" w14:paraId="32CB7377" w14:textId="77777777" w:rsidTr="00EA71D4">
        <w:tc>
          <w:tcPr>
            <w:tcW w:w="517" w:type="pct"/>
            <w:vAlign w:val="center"/>
          </w:tcPr>
          <w:p w14:paraId="7F0D036F" w14:textId="77777777" w:rsidR="00EA71D4" w:rsidRPr="00EA71D4" w:rsidRDefault="00EA71D4">
            <w:pPr>
              <w:pStyle w:val="aa"/>
            </w:pPr>
            <w:r w:rsidRPr="00EA71D4">
              <w:t>38</w:t>
            </w:r>
          </w:p>
        </w:tc>
        <w:tc>
          <w:tcPr>
            <w:tcW w:w="1630" w:type="pct"/>
            <w:vAlign w:val="center"/>
          </w:tcPr>
          <w:p w14:paraId="3149ACA4" w14:textId="77777777" w:rsidR="00EA71D4" w:rsidRPr="00EA71D4" w:rsidRDefault="00EA71D4">
            <w:pPr>
              <w:pStyle w:val="aa"/>
            </w:pPr>
            <w:r w:rsidRPr="00EA71D4">
              <w:t>1</w:t>
            </w:r>
            <w:r w:rsidRPr="00EA71D4">
              <w:t>，</w:t>
            </w:r>
            <w:r w:rsidRPr="00EA71D4">
              <w:t>1</w:t>
            </w:r>
            <w:r w:rsidRPr="00EA71D4">
              <w:t>，</w:t>
            </w:r>
            <w:r w:rsidRPr="00EA71D4">
              <w:t>1</w:t>
            </w:r>
            <w:r w:rsidRPr="00EA71D4">
              <w:t>，</w:t>
            </w:r>
            <w:r w:rsidRPr="00EA71D4">
              <w:t>2-</w:t>
            </w:r>
            <w:r w:rsidRPr="00EA71D4">
              <w:t>四氯乙烷</w:t>
            </w:r>
          </w:p>
        </w:tc>
        <w:tc>
          <w:tcPr>
            <w:tcW w:w="1380" w:type="pct"/>
            <w:vAlign w:val="center"/>
          </w:tcPr>
          <w:p w14:paraId="6E1C9D8B" w14:textId="77777777" w:rsidR="00EA71D4" w:rsidRPr="002B5221" w:rsidRDefault="00EA71D4">
            <w:pPr>
              <w:pStyle w:val="aa"/>
            </w:pPr>
            <w:r w:rsidRPr="002B5221">
              <w:t>10</w:t>
            </w:r>
          </w:p>
        </w:tc>
        <w:tc>
          <w:tcPr>
            <w:tcW w:w="1473" w:type="pct"/>
            <w:vAlign w:val="center"/>
          </w:tcPr>
          <w:p w14:paraId="5AD4DA66" w14:textId="77777777" w:rsidR="00EA71D4" w:rsidRPr="00EA71D4" w:rsidRDefault="00EA71D4">
            <w:pPr>
              <w:pStyle w:val="aa"/>
            </w:pPr>
            <w:r w:rsidRPr="00EA71D4">
              <w:t>mg/kg</w:t>
            </w:r>
          </w:p>
        </w:tc>
      </w:tr>
      <w:tr w:rsidR="00EA71D4" w:rsidRPr="00EA71D4" w14:paraId="16B3A1C8" w14:textId="77777777" w:rsidTr="00EA71D4">
        <w:tc>
          <w:tcPr>
            <w:tcW w:w="517" w:type="pct"/>
            <w:vAlign w:val="center"/>
          </w:tcPr>
          <w:p w14:paraId="42197219" w14:textId="77777777" w:rsidR="00EA71D4" w:rsidRPr="00EA71D4" w:rsidRDefault="00EA71D4">
            <w:pPr>
              <w:pStyle w:val="aa"/>
            </w:pPr>
            <w:r w:rsidRPr="00EA71D4">
              <w:lastRenderedPageBreak/>
              <w:t>39</w:t>
            </w:r>
          </w:p>
        </w:tc>
        <w:tc>
          <w:tcPr>
            <w:tcW w:w="1630" w:type="pct"/>
            <w:vAlign w:val="center"/>
          </w:tcPr>
          <w:p w14:paraId="653B0910" w14:textId="77777777" w:rsidR="00EA71D4" w:rsidRPr="00EA71D4" w:rsidRDefault="00EA71D4">
            <w:pPr>
              <w:pStyle w:val="aa"/>
            </w:pPr>
            <w:r w:rsidRPr="00EA71D4">
              <w:t>乙苯</w:t>
            </w:r>
          </w:p>
        </w:tc>
        <w:tc>
          <w:tcPr>
            <w:tcW w:w="1380" w:type="pct"/>
            <w:vAlign w:val="center"/>
          </w:tcPr>
          <w:p w14:paraId="7EF3FF34" w14:textId="77777777" w:rsidR="00EA71D4" w:rsidRPr="002B5221" w:rsidRDefault="00EA71D4">
            <w:pPr>
              <w:pStyle w:val="aa"/>
            </w:pPr>
            <w:r w:rsidRPr="002B5221">
              <w:t>28</w:t>
            </w:r>
          </w:p>
        </w:tc>
        <w:tc>
          <w:tcPr>
            <w:tcW w:w="1473" w:type="pct"/>
            <w:vAlign w:val="center"/>
          </w:tcPr>
          <w:p w14:paraId="71925AD5" w14:textId="77777777" w:rsidR="00EA71D4" w:rsidRPr="00EA71D4" w:rsidRDefault="00EA71D4">
            <w:pPr>
              <w:pStyle w:val="aa"/>
            </w:pPr>
            <w:r w:rsidRPr="00EA71D4">
              <w:t>mg/kg</w:t>
            </w:r>
          </w:p>
        </w:tc>
      </w:tr>
      <w:tr w:rsidR="00EA71D4" w:rsidRPr="00EA71D4" w14:paraId="22BFC75B" w14:textId="77777777" w:rsidTr="00EA71D4">
        <w:tc>
          <w:tcPr>
            <w:tcW w:w="517" w:type="pct"/>
            <w:vAlign w:val="center"/>
          </w:tcPr>
          <w:p w14:paraId="045227A3" w14:textId="77777777" w:rsidR="00EA71D4" w:rsidRPr="00EA71D4" w:rsidRDefault="00EA71D4">
            <w:pPr>
              <w:pStyle w:val="aa"/>
            </w:pPr>
            <w:r w:rsidRPr="00EA71D4">
              <w:t>40</w:t>
            </w:r>
          </w:p>
        </w:tc>
        <w:tc>
          <w:tcPr>
            <w:tcW w:w="1630" w:type="pct"/>
            <w:vAlign w:val="center"/>
          </w:tcPr>
          <w:p w14:paraId="5EC7519C" w14:textId="77777777" w:rsidR="00EA71D4" w:rsidRPr="00EA71D4" w:rsidRDefault="00EA71D4">
            <w:pPr>
              <w:pStyle w:val="aa"/>
            </w:pPr>
            <w:r w:rsidRPr="00EA71D4">
              <w:t>间</w:t>
            </w:r>
            <w:r w:rsidRPr="00EA71D4">
              <w:t>/</w:t>
            </w:r>
            <w:r w:rsidRPr="00EA71D4">
              <w:rPr>
                <w:rFonts w:ascii="宋体" w:hAnsi="宋体"/>
              </w:rPr>
              <w:t>对</w:t>
            </w:r>
            <w:r w:rsidRPr="00EA71D4">
              <w:t>-</w:t>
            </w:r>
            <w:r w:rsidRPr="00EA71D4">
              <w:rPr>
                <w:rFonts w:ascii="宋体" w:hAnsi="宋体"/>
              </w:rPr>
              <w:t>二甲苯</w:t>
            </w:r>
          </w:p>
        </w:tc>
        <w:tc>
          <w:tcPr>
            <w:tcW w:w="1380" w:type="pct"/>
            <w:vAlign w:val="center"/>
          </w:tcPr>
          <w:p w14:paraId="58FA5535" w14:textId="77777777" w:rsidR="00EA71D4" w:rsidRPr="002B5221" w:rsidRDefault="00EA71D4">
            <w:pPr>
              <w:pStyle w:val="aa"/>
            </w:pPr>
            <w:r w:rsidRPr="002B5221">
              <w:t>570</w:t>
            </w:r>
          </w:p>
        </w:tc>
        <w:tc>
          <w:tcPr>
            <w:tcW w:w="1473" w:type="pct"/>
            <w:vAlign w:val="center"/>
          </w:tcPr>
          <w:p w14:paraId="16A3BE14" w14:textId="77777777" w:rsidR="00EA71D4" w:rsidRPr="00EA71D4" w:rsidRDefault="00EA71D4">
            <w:pPr>
              <w:pStyle w:val="aa"/>
            </w:pPr>
            <w:r w:rsidRPr="00EA71D4">
              <w:t>mg/kg</w:t>
            </w:r>
          </w:p>
        </w:tc>
      </w:tr>
      <w:tr w:rsidR="00EA71D4" w:rsidRPr="00EA71D4" w14:paraId="7A3090BC" w14:textId="77777777" w:rsidTr="00EA71D4">
        <w:tc>
          <w:tcPr>
            <w:tcW w:w="517" w:type="pct"/>
            <w:vAlign w:val="center"/>
          </w:tcPr>
          <w:p w14:paraId="324FA97A" w14:textId="77777777" w:rsidR="00EA71D4" w:rsidRPr="00EA71D4" w:rsidRDefault="00EA71D4">
            <w:pPr>
              <w:pStyle w:val="aa"/>
            </w:pPr>
            <w:r w:rsidRPr="00EA71D4">
              <w:t>41</w:t>
            </w:r>
          </w:p>
        </w:tc>
        <w:tc>
          <w:tcPr>
            <w:tcW w:w="1630" w:type="pct"/>
            <w:vAlign w:val="center"/>
          </w:tcPr>
          <w:p w14:paraId="352588BC" w14:textId="77777777" w:rsidR="00EA71D4" w:rsidRPr="00EA71D4" w:rsidRDefault="00EA71D4">
            <w:pPr>
              <w:pStyle w:val="aa"/>
            </w:pPr>
            <w:r w:rsidRPr="00EA71D4">
              <w:t>邻二甲苯</w:t>
            </w:r>
            <w:r w:rsidRPr="00EA71D4">
              <w:t>/</w:t>
            </w:r>
            <w:r w:rsidRPr="00EA71D4">
              <w:rPr>
                <w:rFonts w:ascii="宋体" w:hAnsi="宋体"/>
              </w:rPr>
              <w:t>苯乙烯</w:t>
            </w:r>
          </w:p>
        </w:tc>
        <w:tc>
          <w:tcPr>
            <w:tcW w:w="1380" w:type="pct"/>
            <w:vAlign w:val="center"/>
          </w:tcPr>
          <w:p w14:paraId="7572A0C4" w14:textId="77777777" w:rsidR="00EA71D4" w:rsidRPr="002B5221" w:rsidRDefault="00EA71D4">
            <w:pPr>
              <w:pStyle w:val="aa"/>
            </w:pPr>
            <w:r w:rsidRPr="002B5221">
              <w:t>640</w:t>
            </w:r>
          </w:p>
        </w:tc>
        <w:tc>
          <w:tcPr>
            <w:tcW w:w="1473" w:type="pct"/>
            <w:vAlign w:val="center"/>
          </w:tcPr>
          <w:p w14:paraId="498E7BCF" w14:textId="77777777" w:rsidR="00EA71D4" w:rsidRPr="00EA71D4" w:rsidRDefault="00EA71D4">
            <w:pPr>
              <w:pStyle w:val="aa"/>
            </w:pPr>
            <w:r w:rsidRPr="00EA71D4">
              <w:t>mg/kg</w:t>
            </w:r>
          </w:p>
        </w:tc>
      </w:tr>
      <w:tr w:rsidR="00EA71D4" w:rsidRPr="00EA71D4" w14:paraId="2D57BB86" w14:textId="77777777" w:rsidTr="00EA71D4">
        <w:tc>
          <w:tcPr>
            <w:tcW w:w="517" w:type="pct"/>
            <w:vAlign w:val="center"/>
          </w:tcPr>
          <w:p w14:paraId="342D62A6" w14:textId="77777777" w:rsidR="00EA71D4" w:rsidRPr="00EA71D4" w:rsidRDefault="00EA71D4">
            <w:pPr>
              <w:pStyle w:val="aa"/>
            </w:pPr>
            <w:r w:rsidRPr="00EA71D4">
              <w:t>42</w:t>
            </w:r>
          </w:p>
        </w:tc>
        <w:tc>
          <w:tcPr>
            <w:tcW w:w="1630" w:type="pct"/>
            <w:vAlign w:val="center"/>
          </w:tcPr>
          <w:p w14:paraId="4C2E58F0" w14:textId="77777777" w:rsidR="00EA71D4" w:rsidRPr="00EA71D4" w:rsidRDefault="00EA71D4">
            <w:pPr>
              <w:pStyle w:val="aa"/>
            </w:pPr>
            <w:r w:rsidRPr="00EA71D4">
              <w:t>1</w:t>
            </w:r>
            <w:r w:rsidRPr="00EA71D4">
              <w:t>，</w:t>
            </w:r>
            <w:r w:rsidRPr="00EA71D4">
              <w:t>1</w:t>
            </w:r>
            <w:r w:rsidRPr="00EA71D4">
              <w:t>，</w:t>
            </w:r>
            <w:r w:rsidRPr="00EA71D4">
              <w:t>2</w:t>
            </w:r>
            <w:r w:rsidRPr="00EA71D4">
              <w:t>，</w:t>
            </w:r>
            <w:r w:rsidRPr="00EA71D4">
              <w:t>2-</w:t>
            </w:r>
            <w:r w:rsidRPr="00EA71D4">
              <w:t>四氯乙烷</w:t>
            </w:r>
          </w:p>
        </w:tc>
        <w:tc>
          <w:tcPr>
            <w:tcW w:w="1380" w:type="pct"/>
            <w:vAlign w:val="center"/>
          </w:tcPr>
          <w:p w14:paraId="6C8967ED" w14:textId="77777777" w:rsidR="00EA71D4" w:rsidRPr="002B5221" w:rsidRDefault="00EA71D4">
            <w:pPr>
              <w:pStyle w:val="aa"/>
            </w:pPr>
            <w:r w:rsidRPr="002B5221">
              <w:t>6.8</w:t>
            </w:r>
          </w:p>
        </w:tc>
        <w:tc>
          <w:tcPr>
            <w:tcW w:w="1473" w:type="pct"/>
            <w:vAlign w:val="center"/>
          </w:tcPr>
          <w:p w14:paraId="6E64D54C" w14:textId="77777777" w:rsidR="00EA71D4" w:rsidRPr="00EA71D4" w:rsidRDefault="00EA71D4">
            <w:pPr>
              <w:pStyle w:val="aa"/>
            </w:pPr>
            <w:r w:rsidRPr="00EA71D4">
              <w:t>mg/kg</w:t>
            </w:r>
          </w:p>
        </w:tc>
      </w:tr>
      <w:tr w:rsidR="00EA71D4" w:rsidRPr="00EA71D4" w14:paraId="13B77051" w14:textId="77777777" w:rsidTr="00EA71D4">
        <w:tc>
          <w:tcPr>
            <w:tcW w:w="517" w:type="pct"/>
            <w:vAlign w:val="center"/>
          </w:tcPr>
          <w:p w14:paraId="19C1C159" w14:textId="77777777" w:rsidR="00EA71D4" w:rsidRPr="00EA71D4" w:rsidRDefault="00EA71D4">
            <w:pPr>
              <w:pStyle w:val="aa"/>
            </w:pPr>
            <w:r w:rsidRPr="00EA71D4">
              <w:t>43</w:t>
            </w:r>
          </w:p>
        </w:tc>
        <w:tc>
          <w:tcPr>
            <w:tcW w:w="1630" w:type="pct"/>
            <w:vAlign w:val="center"/>
          </w:tcPr>
          <w:p w14:paraId="3923399E" w14:textId="77777777" w:rsidR="00EA71D4" w:rsidRPr="00EA71D4" w:rsidRDefault="00EA71D4">
            <w:pPr>
              <w:pStyle w:val="aa"/>
            </w:pPr>
            <w:r w:rsidRPr="00EA71D4">
              <w:t>1</w:t>
            </w:r>
            <w:r w:rsidRPr="00EA71D4">
              <w:t>，</w:t>
            </w:r>
            <w:r w:rsidRPr="00EA71D4">
              <w:t>2</w:t>
            </w:r>
            <w:r w:rsidRPr="00EA71D4">
              <w:t>，</w:t>
            </w:r>
            <w:r w:rsidRPr="00EA71D4">
              <w:t>3-</w:t>
            </w:r>
            <w:r w:rsidRPr="00EA71D4">
              <w:t>三氯丙烷</w:t>
            </w:r>
          </w:p>
        </w:tc>
        <w:tc>
          <w:tcPr>
            <w:tcW w:w="1380" w:type="pct"/>
            <w:vAlign w:val="center"/>
          </w:tcPr>
          <w:p w14:paraId="448FAAF5" w14:textId="77777777" w:rsidR="00EA71D4" w:rsidRPr="002B5221" w:rsidRDefault="00EA71D4">
            <w:pPr>
              <w:pStyle w:val="aa"/>
            </w:pPr>
            <w:r w:rsidRPr="002B5221">
              <w:t>0.5</w:t>
            </w:r>
          </w:p>
        </w:tc>
        <w:tc>
          <w:tcPr>
            <w:tcW w:w="1473" w:type="pct"/>
            <w:vAlign w:val="center"/>
          </w:tcPr>
          <w:p w14:paraId="569E5889" w14:textId="77777777" w:rsidR="00EA71D4" w:rsidRPr="00EA71D4" w:rsidRDefault="00EA71D4">
            <w:pPr>
              <w:pStyle w:val="aa"/>
            </w:pPr>
            <w:r w:rsidRPr="00EA71D4">
              <w:t>mg/kg</w:t>
            </w:r>
          </w:p>
        </w:tc>
      </w:tr>
      <w:tr w:rsidR="00EA71D4" w:rsidRPr="00EA71D4" w14:paraId="1D24F75C" w14:textId="77777777" w:rsidTr="00EA71D4">
        <w:tc>
          <w:tcPr>
            <w:tcW w:w="517" w:type="pct"/>
            <w:vAlign w:val="center"/>
          </w:tcPr>
          <w:p w14:paraId="7F5C8028" w14:textId="77777777" w:rsidR="00EA71D4" w:rsidRPr="00EA71D4" w:rsidRDefault="00EA71D4">
            <w:pPr>
              <w:pStyle w:val="aa"/>
            </w:pPr>
            <w:r w:rsidRPr="00EA71D4">
              <w:t>44</w:t>
            </w:r>
          </w:p>
        </w:tc>
        <w:tc>
          <w:tcPr>
            <w:tcW w:w="1630" w:type="pct"/>
            <w:vAlign w:val="center"/>
          </w:tcPr>
          <w:p w14:paraId="1AAD693B" w14:textId="77777777" w:rsidR="00EA71D4" w:rsidRPr="00EA71D4" w:rsidRDefault="00EA71D4">
            <w:pPr>
              <w:pStyle w:val="aa"/>
            </w:pPr>
            <w:r w:rsidRPr="00EA71D4">
              <w:t>1</w:t>
            </w:r>
            <w:r w:rsidRPr="00EA71D4">
              <w:rPr>
                <w:rFonts w:ascii="宋体" w:hAnsi="宋体"/>
              </w:rPr>
              <w:t>，</w:t>
            </w:r>
            <w:r w:rsidRPr="00EA71D4">
              <w:t>4-</w:t>
            </w:r>
            <w:r w:rsidRPr="00EA71D4">
              <w:rPr>
                <w:rFonts w:ascii="宋体" w:hAnsi="宋体"/>
              </w:rPr>
              <w:t>二氯苯</w:t>
            </w:r>
          </w:p>
        </w:tc>
        <w:tc>
          <w:tcPr>
            <w:tcW w:w="1380" w:type="pct"/>
            <w:vAlign w:val="center"/>
          </w:tcPr>
          <w:p w14:paraId="77F123DC" w14:textId="77777777" w:rsidR="00EA71D4" w:rsidRPr="002B5221" w:rsidRDefault="00EA71D4">
            <w:pPr>
              <w:pStyle w:val="aa"/>
            </w:pPr>
            <w:r w:rsidRPr="002B5221">
              <w:t>20</w:t>
            </w:r>
          </w:p>
        </w:tc>
        <w:tc>
          <w:tcPr>
            <w:tcW w:w="1473" w:type="pct"/>
            <w:vAlign w:val="center"/>
          </w:tcPr>
          <w:p w14:paraId="78F9AB13" w14:textId="77777777" w:rsidR="00EA71D4" w:rsidRPr="00EA71D4" w:rsidRDefault="00EA71D4">
            <w:pPr>
              <w:pStyle w:val="aa"/>
            </w:pPr>
            <w:r w:rsidRPr="00EA71D4">
              <w:t>mg/kg</w:t>
            </w:r>
          </w:p>
        </w:tc>
      </w:tr>
      <w:tr w:rsidR="00EA71D4" w:rsidRPr="00EA71D4" w14:paraId="71A2F43E" w14:textId="77777777" w:rsidTr="00EA71D4">
        <w:tc>
          <w:tcPr>
            <w:tcW w:w="517" w:type="pct"/>
            <w:vAlign w:val="center"/>
          </w:tcPr>
          <w:p w14:paraId="2E3236DA" w14:textId="77777777" w:rsidR="00EA71D4" w:rsidRPr="00EA71D4" w:rsidRDefault="00EA71D4">
            <w:pPr>
              <w:pStyle w:val="aa"/>
            </w:pPr>
            <w:r w:rsidRPr="00EA71D4">
              <w:t>45</w:t>
            </w:r>
          </w:p>
        </w:tc>
        <w:tc>
          <w:tcPr>
            <w:tcW w:w="1630" w:type="pct"/>
            <w:vAlign w:val="center"/>
          </w:tcPr>
          <w:p w14:paraId="576F0609" w14:textId="77777777" w:rsidR="00EA71D4" w:rsidRPr="00EA71D4" w:rsidRDefault="00EA71D4">
            <w:pPr>
              <w:pStyle w:val="aa"/>
            </w:pPr>
            <w:r w:rsidRPr="00EA71D4">
              <w:t>1</w:t>
            </w:r>
            <w:r w:rsidRPr="00EA71D4">
              <w:rPr>
                <w:rFonts w:ascii="宋体" w:hAnsi="宋体"/>
              </w:rPr>
              <w:t>，</w:t>
            </w:r>
            <w:r w:rsidRPr="00EA71D4">
              <w:t>2-</w:t>
            </w:r>
            <w:r w:rsidRPr="00EA71D4">
              <w:rPr>
                <w:rFonts w:ascii="宋体" w:hAnsi="宋体"/>
              </w:rPr>
              <w:t>二氯苯</w:t>
            </w:r>
          </w:p>
        </w:tc>
        <w:tc>
          <w:tcPr>
            <w:tcW w:w="1380" w:type="pct"/>
            <w:vAlign w:val="center"/>
          </w:tcPr>
          <w:p w14:paraId="2539A041" w14:textId="77777777" w:rsidR="00EA71D4" w:rsidRPr="002B5221" w:rsidRDefault="00EA71D4">
            <w:pPr>
              <w:pStyle w:val="aa"/>
            </w:pPr>
            <w:r w:rsidRPr="002B5221">
              <w:t>560</w:t>
            </w:r>
          </w:p>
        </w:tc>
        <w:tc>
          <w:tcPr>
            <w:tcW w:w="1473" w:type="pct"/>
            <w:vAlign w:val="center"/>
          </w:tcPr>
          <w:p w14:paraId="2EC5B44F" w14:textId="77777777" w:rsidR="00EA71D4" w:rsidRPr="00EA71D4" w:rsidRDefault="00EA71D4">
            <w:pPr>
              <w:pStyle w:val="aa"/>
            </w:pPr>
            <w:r w:rsidRPr="00EA71D4">
              <w:t>mg/kg</w:t>
            </w:r>
          </w:p>
        </w:tc>
      </w:tr>
    </w:tbl>
    <w:p w14:paraId="1380DB8C" w14:textId="77777777" w:rsidR="00E579B9" w:rsidRDefault="006A1398">
      <w:pPr>
        <w:pStyle w:val="3"/>
        <w:ind w:firstLine="560"/>
      </w:pPr>
      <w:r>
        <w:t>2.7.2</w:t>
      </w:r>
      <w:r>
        <w:t>污染物排放标准</w:t>
      </w:r>
      <w:bookmarkEnd w:id="48"/>
    </w:p>
    <w:p w14:paraId="5173486C" w14:textId="77777777" w:rsidR="00E579B9" w:rsidRDefault="006A1398">
      <w:pPr>
        <w:pStyle w:val="21"/>
      </w:pPr>
      <w:r>
        <w:t>表</w:t>
      </w:r>
      <w:r>
        <w:t>2.7-2</w:t>
      </w:r>
      <w:r>
        <w:t>污染物排放标准一览表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85"/>
        <w:gridCol w:w="3575"/>
        <w:gridCol w:w="1341"/>
        <w:gridCol w:w="1123"/>
        <w:gridCol w:w="769"/>
        <w:gridCol w:w="727"/>
      </w:tblGrid>
      <w:tr w:rsidR="00E579B9" w14:paraId="47A993DA" w14:textId="77777777">
        <w:trPr>
          <w:trHeight w:val="277"/>
          <w:jc w:val="center"/>
        </w:trPr>
        <w:tc>
          <w:tcPr>
            <w:tcW w:w="1185" w:type="dxa"/>
            <w:vMerge w:val="restart"/>
            <w:shd w:val="clear" w:color="auto" w:fill="auto"/>
            <w:vAlign w:val="center"/>
          </w:tcPr>
          <w:p w14:paraId="4EAE4AC6" w14:textId="77777777" w:rsidR="00E579B9" w:rsidRDefault="006A1398">
            <w:pPr>
              <w:pStyle w:val="aa"/>
            </w:pPr>
            <w:r>
              <w:t>类别</w:t>
            </w:r>
          </w:p>
        </w:tc>
        <w:tc>
          <w:tcPr>
            <w:tcW w:w="3575" w:type="dxa"/>
            <w:vMerge w:val="restart"/>
            <w:shd w:val="clear" w:color="auto" w:fill="auto"/>
            <w:vAlign w:val="center"/>
          </w:tcPr>
          <w:p w14:paraId="0F776B38" w14:textId="77777777" w:rsidR="00E579B9" w:rsidRDefault="006A1398">
            <w:pPr>
              <w:pStyle w:val="aa"/>
            </w:pPr>
            <w:r>
              <w:t>标准名称及级（类）别</w:t>
            </w:r>
          </w:p>
        </w:tc>
        <w:tc>
          <w:tcPr>
            <w:tcW w:w="1341" w:type="dxa"/>
            <w:vMerge w:val="restart"/>
            <w:shd w:val="clear" w:color="auto" w:fill="auto"/>
            <w:vAlign w:val="center"/>
          </w:tcPr>
          <w:p w14:paraId="7358FC49" w14:textId="77777777" w:rsidR="00E579B9" w:rsidRDefault="006A1398">
            <w:pPr>
              <w:pStyle w:val="aa"/>
            </w:pPr>
            <w:r>
              <w:t>污染因子</w:t>
            </w:r>
          </w:p>
        </w:tc>
        <w:tc>
          <w:tcPr>
            <w:tcW w:w="2619" w:type="dxa"/>
            <w:gridSpan w:val="3"/>
            <w:shd w:val="clear" w:color="auto" w:fill="auto"/>
            <w:vAlign w:val="center"/>
          </w:tcPr>
          <w:p w14:paraId="37D37E85" w14:textId="77777777" w:rsidR="00E579B9" w:rsidRDefault="006A1398">
            <w:pPr>
              <w:pStyle w:val="aa"/>
            </w:pPr>
            <w:r>
              <w:t>标准值</w:t>
            </w:r>
          </w:p>
        </w:tc>
      </w:tr>
      <w:tr w:rsidR="00E579B9" w14:paraId="33D375E4" w14:textId="77777777">
        <w:trPr>
          <w:trHeight w:val="20"/>
          <w:jc w:val="center"/>
        </w:trPr>
        <w:tc>
          <w:tcPr>
            <w:tcW w:w="1185" w:type="dxa"/>
            <w:vMerge/>
            <w:vAlign w:val="center"/>
          </w:tcPr>
          <w:p w14:paraId="4F99DC60" w14:textId="77777777" w:rsidR="00E579B9" w:rsidRDefault="00E579B9">
            <w:pPr>
              <w:pStyle w:val="aa"/>
            </w:pPr>
          </w:p>
        </w:tc>
        <w:tc>
          <w:tcPr>
            <w:tcW w:w="3575" w:type="dxa"/>
            <w:vMerge/>
            <w:vAlign w:val="center"/>
          </w:tcPr>
          <w:p w14:paraId="5CA821F8" w14:textId="77777777" w:rsidR="00E579B9" w:rsidRDefault="00E579B9">
            <w:pPr>
              <w:pStyle w:val="aa"/>
            </w:pPr>
          </w:p>
        </w:tc>
        <w:tc>
          <w:tcPr>
            <w:tcW w:w="1341" w:type="dxa"/>
            <w:vMerge/>
            <w:vAlign w:val="center"/>
          </w:tcPr>
          <w:p w14:paraId="392C11CB" w14:textId="77777777" w:rsidR="00E579B9" w:rsidRDefault="00E579B9">
            <w:pPr>
              <w:pStyle w:val="aa"/>
            </w:pPr>
          </w:p>
        </w:tc>
        <w:tc>
          <w:tcPr>
            <w:tcW w:w="1123" w:type="dxa"/>
            <w:shd w:val="clear" w:color="auto" w:fill="auto"/>
            <w:vAlign w:val="center"/>
          </w:tcPr>
          <w:p w14:paraId="6AB36565" w14:textId="77777777" w:rsidR="00E579B9" w:rsidRDefault="006A1398">
            <w:pPr>
              <w:pStyle w:val="aa"/>
            </w:pPr>
            <w:r>
              <w:t>单位</w:t>
            </w:r>
          </w:p>
        </w:tc>
        <w:tc>
          <w:tcPr>
            <w:tcW w:w="1496" w:type="dxa"/>
            <w:gridSpan w:val="2"/>
            <w:shd w:val="clear" w:color="auto" w:fill="auto"/>
            <w:vAlign w:val="center"/>
          </w:tcPr>
          <w:p w14:paraId="7F45CCEC" w14:textId="77777777" w:rsidR="00E579B9" w:rsidRDefault="006A1398">
            <w:pPr>
              <w:pStyle w:val="aa"/>
            </w:pPr>
            <w:r>
              <w:t>数值</w:t>
            </w:r>
          </w:p>
        </w:tc>
      </w:tr>
      <w:tr w:rsidR="00E579B9" w14:paraId="6AB08466" w14:textId="77777777">
        <w:trPr>
          <w:trHeight w:val="340"/>
          <w:jc w:val="center"/>
        </w:trPr>
        <w:tc>
          <w:tcPr>
            <w:tcW w:w="1185" w:type="dxa"/>
            <w:vMerge w:val="restart"/>
            <w:shd w:val="clear" w:color="auto" w:fill="auto"/>
            <w:vAlign w:val="center"/>
          </w:tcPr>
          <w:p w14:paraId="525E84EB" w14:textId="77777777" w:rsidR="00E579B9" w:rsidRDefault="006A1398">
            <w:pPr>
              <w:pStyle w:val="aa"/>
            </w:pPr>
            <w:r>
              <w:t>废气</w:t>
            </w:r>
          </w:p>
        </w:tc>
        <w:tc>
          <w:tcPr>
            <w:tcW w:w="3575" w:type="dxa"/>
            <w:shd w:val="clear" w:color="auto" w:fill="auto"/>
            <w:vAlign w:val="center"/>
          </w:tcPr>
          <w:p w14:paraId="0F1E0417" w14:textId="77777777" w:rsidR="00E579B9" w:rsidRPr="002B5221" w:rsidRDefault="006A1398">
            <w:pPr>
              <w:pStyle w:val="aa"/>
            </w:pPr>
            <w:r w:rsidRPr="002B5221">
              <w:t>《大气污染物综合排放标准》（</w:t>
            </w:r>
            <w:r w:rsidRPr="002B5221">
              <w:t>GB16297-1996</w:t>
            </w:r>
            <w:r w:rsidRPr="002B5221">
              <w:t>）</w:t>
            </w:r>
            <w:r w:rsidRPr="002B5221">
              <w:rPr>
                <w:rFonts w:hint="eastAsia"/>
              </w:rPr>
              <w:t>表</w:t>
            </w:r>
            <w:r w:rsidRPr="002B5221">
              <w:rPr>
                <w:rFonts w:hint="eastAsia"/>
              </w:rPr>
              <w:t>2</w:t>
            </w:r>
            <w:r w:rsidRPr="002B5221">
              <w:t>二级标准</w:t>
            </w:r>
          </w:p>
        </w:tc>
        <w:tc>
          <w:tcPr>
            <w:tcW w:w="1341" w:type="dxa"/>
            <w:shd w:val="clear" w:color="auto" w:fill="auto"/>
            <w:vAlign w:val="center"/>
          </w:tcPr>
          <w:p w14:paraId="0D8F9C3B" w14:textId="77777777" w:rsidR="00E579B9" w:rsidRPr="002B5221" w:rsidRDefault="006A1398">
            <w:pPr>
              <w:pStyle w:val="aa"/>
            </w:pPr>
            <w:r w:rsidRPr="002B5221">
              <w:t>颗粒物</w:t>
            </w:r>
          </w:p>
        </w:tc>
        <w:tc>
          <w:tcPr>
            <w:tcW w:w="1123" w:type="dxa"/>
            <w:shd w:val="clear" w:color="auto" w:fill="auto"/>
            <w:vAlign w:val="center"/>
          </w:tcPr>
          <w:p w14:paraId="59694DE9" w14:textId="77777777" w:rsidR="00E579B9" w:rsidRPr="002B5221" w:rsidRDefault="006A1398">
            <w:pPr>
              <w:pStyle w:val="aa"/>
            </w:pPr>
            <w:r w:rsidRPr="002B5221">
              <w:t>mg/m</w:t>
            </w:r>
            <w:r w:rsidRPr="002B5221">
              <w:rPr>
                <w:vertAlign w:val="superscript"/>
              </w:rPr>
              <w:t>3</w:t>
            </w:r>
          </w:p>
        </w:tc>
        <w:tc>
          <w:tcPr>
            <w:tcW w:w="1496" w:type="dxa"/>
            <w:gridSpan w:val="2"/>
            <w:shd w:val="clear" w:color="auto" w:fill="auto"/>
            <w:vAlign w:val="center"/>
          </w:tcPr>
          <w:p w14:paraId="37DED29D" w14:textId="77777777" w:rsidR="00E579B9" w:rsidRPr="002B5221" w:rsidRDefault="006A1398">
            <w:pPr>
              <w:pStyle w:val="aa"/>
            </w:pPr>
            <w:r w:rsidRPr="002B5221">
              <w:t>1.0</w:t>
            </w:r>
            <w:r w:rsidRPr="002B5221">
              <w:t>（无组织）</w:t>
            </w:r>
          </w:p>
        </w:tc>
      </w:tr>
      <w:tr w:rsidR="00EA71D4" w14:paraId="0EED5864" w14:textId="77777777" w:rsidTr="00FB6EE0">
        <w:trPr>
          <w:trHeight w:val="340"/>
          <w:jc w:val="center"/>
        </w:trPr>
        <w:tc>
          <w:tcPr>
            <w:tcW w:w="1185" w:type="dxa"/>
            <w:vMerge/>
            <w:shd w:val="clear" w:color="auto" w:fill="auto"/>
            <w:vAlign w:val="center"/>
          </w:tcPr>
          <w:p w14:paraId="10D42848" w14:textId="77777777" w:rsidR="00EA71D4" w:rsidRDefault="00EA71D4" w:rsidP="00EA71D4">
            <w:pPr>
              <w:pStyle w:val="aa"/>
            </w:pPr>
          </w:p>
        </w:tc>
        <w:tc>
          <w:tcPr>
            <w:tcW w:w="3575" w:type="dxa"/>
            <w:vMerge w:val="restart"/>
            <w:shd w:val="clear" w:color="auto" w:fill="auto"/>
            <w:vAlign w:val="center"/>
          </w:tcPr>
          <w:p w14:paraId="361A02DC" w14:textId="77777777" w:rsidR="00EA71D4" w:rsidRPr="002B5221" w:rsidRDefault="00EA71D4" w:rsidP="00EA71D4">
            <w:pPr>
              <w:pStyle w:val="aa"/>
            </w:pPr>
            <w:r w:rsidRPr="002B5221">
              <w:rPr>
                <w:bCs/>
                <w:szCs w:val="21"/>
              </w:rPr>
              <w:t>《建筑石料、石材矿绿色矿山建设规范》（</w:t>
            </w:r>
            <w:r w:rsidRPr="002B5221">
              <w:rPr>
                <w:bCs/>
                <w:szCs w:val="21"/>
              </w:rPr>
              <w:t>DB41/T1665-2018</w:t>
            </w:r>
            <w:r w:rsidRPr="002B5221">
              <w:rPr>
                <w:bCs/>
                <w:szCs w:val="21"/>
              </w:rPr>
              <w:t>）</w:t>
            </w:r>
          </w:p>
        </w:tc>
        <w:tc>
          <w:tcPr>
            <w:tcW w:w="1341" w:type="dxa"/>
            <w:shd w:val="clear" w:color="auto" w:fill="auto"/>
            <w:vAlign w:val="center"/>
          </w:tcPr>
          <w:p w14:paraId="1EEC8E50" w14:textId="77777777" w:rsidR="00EA71D4" w:rsidRPr="002B5221" w:rsidRDefault="00EA71D4" w:rsidP="00EA71D4">
            <w:pPr>
              <w:pStyle w:val="aa"/>
            </w:pPr>
            <w:r w:rsidRPr="002B5221">
              <w:t>颗粒物</w:t>
            </w:r>
          </w:p>
        </w:tc>
        <w:tc>
          <w:tcPr>
            <w:tcW w:w="1123" w:type="dxa"/>
            <w:shd w:val="clear" w:color="auto" w:fill="auto"/>
            <w:vAlign w:val="center"/>
          </w:tcPr>
          <w:p w14:paraId="741C451D" w14:textId="77777777" w:rsidR="00EA71D4" w:rsidRPr="002B5221" w:rsidRDefault="00EA71D4" w:rsidP="00EA71D4">
            <w:pPr>
              <w:pStyle w:val="aa"/>
            </w:pPr>
            <w:r w:rsidRPr="002B5221">
              <w:t>mg/m</w:t>
            </w:r>
            <w:r w:rsidRPr="002B5221">
              <w:rPr>
                <w:vertAlign w:val="superscript"/>
              </w:rPr>
              <w:t>3</w:t>
            </w:r>
          </w:p>
        </w:tc>
        <w:tc>
          <w:tcPr>
            <w:tcW w:w="1496" w:type="dxa"/>
            <w:gridSpan w:val="2"/>
            <w:vAlign w:val="center"/>
          </w:tcPr>
          <w:p w14:paraId="7B945042" w14:textId="43D73A92" w:rsidR="00EA71D4" w:rsidRPr="002B5221" w:rsidRDefault="00EA71D4" w:rsidP="00EA71D4">
            <w:pPr>
              <w:pStyle w:val="aa"/>
            </w:pPr>
            <w:r w:rsidRPr="002B5221">
              <w:rPr>
                <w:rFonts w:cs="Times New Roman" w:hint="eastAsia"/>
                <w:szCs w:val="21"/>
              </w:rPr>
              <w:t>10</w:t>
            </w:r>
            <w:r w:rsidRPr="002B5221">
              <w:rPr>
                <w:rFonts w:cs="Times New Roman"/>
                <w:szCs w:val="21"/>
              </w:rPr>
              <w:t>(</w:t>
            </w:r>
            <w:r w:rsidRPr="002B5221">
              <w:rPr>
                <w:rFonts w:cs="Times New Roman"/>
                <w:szCs w:val="21"/>
              </w:rPr>
              <w:t>有组织</w:t>
            </w:r>
            <w:r w:rsidRPr="002B5221">
              <w:rPr>
                <w:rFonts w:cs="Times New Roman"/>
                <w:szCs w:val="21"/>
              </w:rPr>
              <w:t>)</w:t>
            </w:r>
          </w:p>
        </w:tc>
      </w:tr>
      <w:tr w:rsidR="00EA71D4" w14:paraId="5775FB67" w14:textId="77777777" w:rsidTr="00FB6EE0">
        <w:trPr>
          <w:trHeight w:val="340"/>
          <w:jc w:val="center"/>
        </w:trPr>
        <w:tc>
          <w:tcPr>
            <w:tcW w:w="1185" w:type="dxa"/>
            <w:vMerge/>
            <w:shd w:val="clear" w:color="auto" w:fill="auto"/>
            <w:vAlign w:val="center"/>
          </w:tcPr>
          <w:p w14:paraId="4264B91D" w14:textId="77777777" w:rsidR="00EA71D4" w:rsidRDefault="00EA71D4" w:rsidP="00EA71D4">
            <w:pPr>
              <w:pStyle w:val="aa"/>
            </w:pPr>
          </w:p>
        </w:tc>
        <w:tc>
          <w:tcPr>
            <w:tcW w:w="3575" w:type="dxa"/>
            <w:vMerge/>
            <w:shd w:val="clear" w:color="auto" w:fill="auto"/>
            <w:vAlign w:val="center"/>
          </w:tcPr>
          <w:p w14:paraId="2D1E5DA3" w14:textId="77777777" w:rsidR="00EA71D4" w:rsidRPr="002B5221" w:rsidRDefault="00EA71D4" w:rsidP="00EA71D4">
            <w:pPr>
              <w:pStyle w:val="aa"/>
            </w:pPr>
          </w:p>
        </w:tc>
        <w:tc>
          <w:tcPr>
            <w:tcW w:w="1341" w:type="dxa"/>
            <w:shd w:val="clear" w:color="auto" w:fill="auto"/>
            <w:vAlign w:val="center"/>
          </w:tcPr>
          <w:p w14:paraId="00FAF05D" w14:textId="77777777" w:rsidR="00EA71D4" w:rsidRPr="002B5221" w:rsidRDefault="00EA71D4" w:rsidP="00EA71D4">
            <w:pPr>
              <w:pStyle w:val="aa"/>
            </w:pPr>
            <w:r w:rsidRPr="002B5221">
              <w:t>颗粒物</w:t>
            </w:r>
          </w:p>
        </w:tc>
        <w:tc>
          <w:tcPr>
            <w:tcW w:w="1123" w:type="dxa"/>
            <w:shd w:val="clear" w:color="auto" w:fill="auto"/>
            <w:vAlign w:val="center"/>
          </w:tcPr>
          <w:p w14:paraId="35E3D177" w14:textId="77777777" w:rsidR="00EA71D4" w:rsidRPr="002B5221" w:rsidRDefault="00EA71D4" w:rsidP="00EA71D4">
            <w:pPr>
              <w:pStyle w:val="aa"/>
            </w:pPr>
            <w:r w:rsidRPr="002B5221">
              <w:t>mg/m</w:t>
            </w:r>
            <w:r w:rsidRPr="002B5221">
              <w:rPr>
                <w:vertAlign w:val="superscript"/>
              </w:rPr>
              <w:t>3</w:t>
            </w:r>
          </w:p>
        </w:tc>
        <w:tc>
          <w:tcPr>
            <w:tcW w:w="1496" w:type="dxa"/>
            <w:gridSpan w:val="2"/>
            <w:vAlign w:val="center"/>
          </w:tcPr>
          <w:p w14:paraId="7FE7861D" w14:textId="0F16DB53" w:rsidR="00EA71D4" w:rsidRPr="002B5221" w:rsidRDefault="00EA71D4" w:rsidP="00EA71D4">
            <w:pPr>
              <w:pStyle w:val="aa"/>
            </w:pPr>
            <w:r w:rsidRPr="002B5221">
              <w:rPr>
                <w:rFonts w:cs="Times New Roman" w:hint="eastAsia"/>
                <w:szCs w:val="21"/>
              </w:rPr>
              <w:t>0.5</w:t>
            </w:r>
            <w:r w:rsidRPr="002B5221">
              <w:rPr>
                <w:rFonts w:cs="Times New Roman"/>
                <w:szCs w:val="21"/>
              </w:rPr>
              <w:t>(</w:t>
            </w:r>
            <w:r w:rsidRPr="002B5221">
              <w:rPr>
                <w:rFonts w:cs="Times New Roman"/>
                <w:szCs w:val="21"/>
              </w:rPr>
              <w:t>无组织</w:t>
            </w:r>
            <w:r w:rsidRPr="002B5221">
              <w:rPr>
                <w:rFonts w:cs="Times New Roman"/>
                <w:szCs w:val="21"/>
              </w:rPr>
              <w:t>)</w:t>
            </w:r>
          </w:p>
        </w:tc>
      </w:tr>
      <w:tr w:rsidR="00EA71D4" w14:paraId="7340356E" w14:textId="77777777">
        <w:trPr>
          <w:trHeight w:val="687"/>
          <w:jc w:val="center"/>
        </w:trPr>
        <w:tc>
          <w:tcPr>
            <w:tcW w:w="1185" w:type="dxa"/>
            <w:vMerge/>
            <w:shd w:val="clear" w:color="auto" w:fill="auto"/>
            <w:vAlign w:val="center"/>
          </w:tcPr>
          <w:p w14:paraId="643A95A1" w14:textId="77777777" w:rsidR="00EA71D4" w:rsidRDefault="00EA71D4" w:rsidP="00EA71D4">
            <w:pPr>
              <w:pStyle w:val="aa"/>
            </w:pPr>
          </w:p>
        </w:tc>
        <w:tc>
          <w:tcPr>
            <w:tcW w:w="3575" w:type="dxa"/>
            <w:vMerge w:val="restart"/>
            <w:shd w:val="clear" w:color="auto" w:fill="auto"/>
            <w:vAlign w:val="center"/>
          </w:tcPr>
          <w:p w14:paraId="368B1AF4" w14:textId="77777777" w:rsidR="00EA71D4" w:rsidRPr="002B5221" w:rsidRDefault="00EA71D4" w:rsidP="00EA71D4">
            <w:pPr>
              <w:pStyle w:val="aa"/>
            </w:pPr>
            <w:r w:rsidRPr="002B5221">
              <w:rPr>
                <w:rFonts w:cs="Times New Roman"/>
                <w:szCs w:val="21"/>
              </w:rPr>
              <w:t>《</w:t>
            </w:r>
            <w:r w:rsidRPr="002B5221">
              <w:rPr>
                <w:rFonts w:cs="Times New Roman" w:hint="eastAsia"/>
                <w:szCs w:val="21"/>
              </w:rPr>
              <w:t>水泥工业大气</w:t>
            </w:r>
            <w:r w:rsidRPr="002B5221">
              <w:rPr>
                <w:rFonts w:cs="Times New Roman"/>
                <w:szCs w:val="21"/>
              </w:rPr>
              <w:t>污染物排放标准》（</w:t>
            </w:r>
            <w:r w:rsidRPr="002B5221">
              <w:rPr>
                <w:rFonts w:cs="Times New Roman"/>
                <w:szCs w:val="21"/>
              </w:rPr>
              <w:t>GB</w:t>
            </w:r>
            <w:r w:rsidRPr="002B5221">
              <w:rPr>
                <w:rFonts w:cs="Times New Roman" w:hint="eastAsia"/>
                <w:szCs w:val="21"/>
              </w:rPr>
              <w:t>4915</w:t>
            </w:r>
            <w:r w:rsidRPr="002B5221">
              <w:rPr>
                <w:rFonts w:cs="Times New Roman"/>
                <w:szCs w:val="21"/>
              </w:rPr>
              <w:t>-</w:t>
            </w:r>
            <w:r w:rsidRPr="002B5221">
              <w:rPr>
                <w:rFonts w:cs="Times New Roman" w:hint="eastAsia"/>
                <w:szCs w:val="21"/>
              </w:rPr>
              <w:t>2013</w:t>
            </w:r>
            <w:r w:rsidRPr="002B5221">
              <w:rPr>
                <w:rFonts w:cs="Times New Roman"/>
                <w:szCs w:val="21"/>
              </w:rPr>
              <w:t>）表</w:t>
            </w:r>
            <w:r w:rsidRPr="002B5221">
              <w:rPr>
                <w:rFonts w:cs="Times New Roman" w:hint="eastAsia"/>
                <w:szCs w:val="21"/>
              </w:rPr>
              <w:t>2</w:t>
            </w:r>
            <w:r w:rsidRPr="002B5221">
              <w:rPr>
                <w:rFonts w:cs="Times New Roman" w:hint="eastAsia"/>
                <w:szCs w:val="21"/>
              </w:rPr>
              <w:t>中矿山开采大气污染</w:t>
            </w:r>
            <w:proofErr w:type="gramStart"/>
            <w:r w:rsidRPr="002B5221">
              <w:rPr>
                <w:rFonts w:cs="Times New Roman" w:hint="eastAsia"/>
                <w:szCs w:val="21"/>
              </w:rPr>
              <w:t>物特别</w:t>
            </w:r>
            <w:proofErr w:type="gramEnd"/>
            <w:r w:rsidRPr="002B5221">
              <w:rPr>
                <w:rFonts w:cs="Times New Roman" w:hint="eastAsia"/>
                <w:szCs w:val="21"/>
              </w:rPr>
              <w:t>排放限值要求及表</w:t>
            </w:r>
            <w:r w:rsidRPr="002B5221">
              <w:rPr>
                <w:rFonts w:cs="Times New Roman" w:hint="eastAsia"/>
                <w:szCs w:val="21"/>
              </w:rPr>
              <w:t>3</w:t>
            </w:r>
            <w:r w:rsidRPr="002B5221">
              <w:rPr>
                <w:rFonts w:cs="Times New Roman" w:hint="eastAsia"/>
                <w:szCs w:val="21"/>
              </w:rPr>
              <w:t>中标准</w:t>
            </w:r>
          </w:p>
        </w:tc>
        <w:tc>
          <w:tcPr>
            <w:tcW w:w="1341" w:type="dxa"/>
            <w:shd w:val="clear" w:color="auto" w:fill="auto"/>
            <w:vAlign w:val="center"/>
          </w:tcPr>
          <w:p w14:paraId="1195D7D6" w14:textId="77777777" w:rsidR="00EA71D4" w:rsidRPr="002B5221" w:rsidRDefault="00EA71D4" w:rsidP="00EA71D4">
            <w:pPr>
              <w:pStyle w:val="aa"/>
            </w:pPr>
            <w:r w:rsidRPr="002B5221">
              <w:t>颗粒物</w:t>
            </w:r>
          </w:p>
        </w:tc>
        <w:tc>
          <w:tcPr>
            <w:tcW w:w="1123" w:type="dxa"/>
            <w:shd w:val="clear" w:color="auto" w:fill="auto"/>
            <w:vAlign w:val="center"/>
          </w:tcPr>
          <w:p w14:paraId="3C85F460" w14:textId="77777777" w:rsidR="00EA71D4" w:rsidRPr="002B5221" w:rsidRDefault="00EA71D4" w:rsidP="00EA71D4">
            <w:pPr>
              <w:pStyle w:val="aa"/>
            </w:pPr>
            <w:r w:rsidRPr="002B5221">
              <w:t>mg/m</w:t>
            </w:r>
            <w:r w:rsidRPr="002B5221">
              <w:rPr>
                <w:vertAlign w:val="superscript"/>
              </w:rPr>
              <w:t>3</w:t>
            </w:r>
          </w:p>
        </w:tc>
        <w:tc>
          <w:tcPr>
            <w:tcW w:w="1496" w:type="dxa"/>
            <w:gridSpan w:val="2"/>
            <w:vAlign w:val="center"/>
          </w:tcPr>
          <w:p w14:paraId="79FCD339" w14:textId="77777777" w:rsidR="00EA71D4" w:rsidRPr="002B5221" w:rsidRDefault="00EA71D4" w:rsidP="00EA71D4">
            <w:pPr>
              <w:spacing w:line="360" w:lineRule="exact"/>
              <w:ind w:firstLineChars="0" w:firstLine="0"/>
              <w:jc w:val="center"/>
              <w:rPr>
                <w:rFonts w:cs="Times New Roman"/>
                <w:sz w:val="21"/>
                <w:szCs w:val="21"/>
              </w:rPr>
            </w:pPr>
            <w:r w:rsidRPr="002B5221">
              <w:rPr>
                <w:rFonts w:cs="Times New Roman" w:hint="eastAsia"/>
                <w:sz w:val="21"/>
                <w:szCs w:val="21"/>
              </w:rPr>
              <w:t>10</w:t>
            </w:r>
            <w:r w:rsidRPr="002B5221">
              <w:rPr>
                <w:rFonts w:cs="Times New Roman"/>
                <w:sz w:val="21"/>
                <w:szCs w:val="21"/>
              </w:rPr>
              <w:t>(</w:t>
            </w:r>
            <w:r w:rsidRPr="002B5221">
              <w:rPr>
                <w:rFonts w:cs="Times New Roman"/>
                <w:sz w:val="21"/>
                <w:szCs w:val="21"/>
              </w:rPr>
              <w:t>有组织</w:t>
            </w:r>
            <w:r w:rsidRPr="002B5221">
              <w:rPr>
                <w:rFonts w:cs="Times New Roman"/>
                <w:sz w:val="21"/>
                <w:szCs w:val="21"/>
              </w:rPr>
              <w:t>)</w:t>
            </w:r>
          </w:p>
        </w:tc>
      </w:tr>
      <w:tr w:rsidR="00EA71D4" w14:paraId="480425B6" w14:textId="77777777">
        <w:trPr>
          <w:trHeight w:val="340"/>
          <w:jc w:val="center"/>
        </w:trPr>
        <w:tc>
          <w:tcPr>
            <w:tcW w:w="1185" w:type="dxa"/>
            <w:vMerge/>
            <w:shd w:val="clear" w:color="auto" w:fill="auto"/>
            <w:vAlign w:val="center"/>
          </w:tcPr>
          <w:p w14:paraId="014EA364" w14:textId="77777777" w:rsidR="00EA71D4" w:rsidRDefault="00EA71D4" w:rsidP="00EA71D4">
            <w:pPr>
              <w:pStyle w:val="aa"/>
            </w:pPr>
          </w:p>
        </w:tc>
        <w:tc>
          <w:tcPr>
            <w:tcW w:w="3575" w:type="dxa"/>
            <w:vMerge/>
            <w:shd w:val="clear" w:color="auto" w:fill="auto"/>
            <w:vAlign w:val="center"/>
          </w:tcPr>
          <w:p w14:paraId="40DEF27E" w14:textId="77777777" w:rsidR="00EA71D4" w:rsidRPr="002B5221" w:rsidRDefault="00EA71D4" w:rsidP="00EA71D4">
            <w:pPr>
              <w:pStyle w:val="aa"/>
            </w:pPr>
          </w:p>
        </w:tc>
        <w:tc>
          <w:tcPr>
            <w:tcW w:w="1341" w:type="dxa"/>
            <w:shd w:val="clear" w:color="auto" w:fill="auto"/>
            <w:vAlign w:val="center"/>
          </w:tcPr>
          <w:p w14:paraId="4409AA56" w14:textId="77777777" w:rsidR="00EA71D4" w:rsidRPr="002B5221" w:rsidRDefault="00EA71D4" w:rsidP="00EA71D4">
            <w:pPr>
              <w:pStyle w:val="aa"/>
            </w:pPr>
            <w:r w:rsidRPr="002B5221">
              <w:t>颗粒物</w:t>
            </w:r>
          </w:p>
        </w:tc>
        <w:tc>
          <w:tcPr>
            <w:tcW w:w="1123" w:type="dxa"/>
            <w:shd w:val="clear" w:color="auto" w:fill="auto"/>
            <w:vAlign w:val="center"/>
          </w:tcPr>
          <w:p w14:paraId="41D86D06" w14:textId="77777777" w:rsidR="00EA71D4" w:rsidRPr="002B5221" w:rsidRDefault="00EA71D4" w:rsidP="00EA71D4">
            <w:pPr>
              <w:pStyle w:val="aa"/>
            </w:pPr>
            <w:r w:rsidRPr="002B5221">
              <w:t>mg/m</w:t>
            </w:r>
            <w:r w:rsidRPr="002B5221">
              <w:rPr>
                <w:vertAlign w:val="superscript"/>
              </w:rPr>
              <w:t>3</w:t>
            </w:r>
          </w:p>
        </w:tc>
        <w:tc>
          <w:tcPr>
            <w:tcW w:w="1496" w:type="dxa"/>
            <w:gridSpan w:val="2"/>
            <w:vAlign w:val="center"/>
          </w:tcPr>
          <w:p w14:paraId="26DB5978" w14:textId="77777777" w:rsidR="00EA71D4" w:rsidRPr="002B5221" w:rsidRDefault="00EA71D4" w:rsidP="00EA71D4">
            <w:pPr>
              <w:spacing w:line="360" w:lineRule="exact"/>
              <w:ind w:firstLineChars="0" w:firstLine="0"/>
              <w:jc w:val="center"/>
              <w:rPr>
                <w:rFonts w:cs="Times New Roman"/>
                <w:sz w:val="21"/>
                <w:szCs w:val="21"/>
              </w:rPr>
            </w:pPr>
            <w:bookmarkStart w:id="49" w:name="_Toc153189241"/>
            <w:r w:rsidRPr="002B5221">
              <w:rPr>
                <w:rFonts w:cs="Times New Roman" w:hint="eastAsia"/>
                <w:sz w:val="21"/>
                <w:szCs w:val="21"/>
              </w:rPr>
              <w:t>0.5</w:t>
            </w:r>
            <w:r w:rsidRPr="002B5221">
              <w:rPr>
                <w:rFonts w:cs="Times New Roman"/>
                <w:sz w:val="21"/>
                <w:szCs w:val="21"/>
              </w:rPr>
              <w:t>(</w:t>
            </w:r>
            <w:r w:rsidRPr="002B5221">
              <w:rPr>
                <w:rFonts w:cs="Times New Roman"/>
                <w:sz w:val="21"/>
                <w:szCs w:val="21"/>
              </w:rPr>
              <w:t>无组织</w:t>
            </w:r>
            <w:r w:rsidRPr="002B5221">
              <w:rPr>
                <w:rFonts w:cs="Times New Roman"/>
                <w:sz w:val="21"/>
                <w:szCs w:val="21"/>
              </w:rPr>
              <w:t>)</w:t>
            </w:r>
            <w:bookmarkEnd w:id="49"/>
          </w:p>
        </w:tc>
      </w:tr>
      <w:tr w:rsidR="00EA71D4" w14:paraId="11045B5C" w14:textId="77777777">
        <w:trPr>
          <w:trHeight w:val="368"/>
          <w:jc w:val="center"/>
        </w:trPr>
        <w:tc>
          <w:tcPr>
            <w:tcW w:w="1185" w:type="dxa"/>
            <w:vMerge w:val="restart"/>
            <w:shd w:val="clear" w:color="auto" w:fill="auto"/>
            <w:vAlign w:val="center"/>
          </w:tcPr>
          <w:p w14:paraId="62279E24" w14:textId="77777777" w:rsidR="00EA71D4" w:rsidRDefault="00EA71D4" w:rsidP="00EA71D4">
            <w:pPr>
              <w:pStyle w:val="aa"/>
            </w:pPr>
            <w:r>
              <w:t>噪声</w:t>
            </w:r>
          </w:p>
        </w:tc>
        <w:tc>
          <w:tcPr>
            <w:tcW w:w="3575" w:type="dxa"/>
            <w:vMerge w:val="restart"/>
            <w:shd w:val="clear" w:color="auto" w:fill="auto"/>
            <w:vAlign w:val="center"/>
          </w:tcPr>
          <w:p w14:paraId="24EAC1EB" w14:textId="77777777" w:rsidR="00EA71D4" w:rsidRDefault="00EA71D4" w:rsidP="00EA71D4">
            <w:pPr>
              <w:pStyle w:val="aa"/>
            </w:pPr>
            <w:r>
              <w:t>《工业企业厂界环境噪声排放标准》（</w:t>
            </w:r>
            <w:r>
              <w:t>GB12348-2008</w:t>
            </w:r>
            <w:r>
              <w:t>）</w:t>
            </w:r>
            <w:r>
              <w:t>2</w:t>
            </w:r>
            <w:r>
              <w:t>类标准</w:t>
            </w:r>
          </w:p>
        </w:tc>
        <w:tc>
          <w:tcPr>
            <w:tcW w:w="1341" w:type="dxa"/>
            <w:vMerge w:val="restart"/>
            <w:shd w:val="clear" w:color="auto" w:fill="auto"/>
            <w:vAlign w:val="center"/>
          </w:tcPr>
          <w:p w14:paraId="5D1E0AFE" w14:textId="77777777" w:rsidR="00EA71D4" w:rsidRDefault="00EA71D4" w:rsidP="00EA71D4">
            <w:pPr>
              <w:pStyle w:val="aa"/>
            </w:pPr>
            <w:r>
              <w:t>厂界噪声</w:t>
            </w:r>
          </w:p>
        </w:tc>
        <w:tc>
          <w:tcPr>
            <w:tcW w:w="1123" w:type="dxa"/>
            <w:vMerge w:val="restart"/>
            <w:shd w:val="clear" w:color="auto" w:fill="auto"/>
            <w:vAlign w:val="center"/>
          </w:tcPr>
          <w:p w14:paraId="64989C12" w14:textId="77777777" w:rsidR="00EA71D4" w:rsidRDefault="00EA71D4" w:rsidP="00EA71D4">
            <w:pPr>
              <w:pStyle w:val="aa"/>
            </w:pPr>
            <w:r>
              <w:t>dB</w:t>
            </w:r>
            <w:r>
              <w:t>（</w:t>
            </w:r>
            <w:r>
              <w:t>A</w:t>
            </w:r>
            <w:r>
              <w:t>）</w:t>
            </w:r>
          </w:p>
        </w:tc>
        <w:tc>
          <w:tcPr>
            <w:tcW w:w="769" w:type="dxa"/>
            <w:shd w:val="clear" w:color="auto" w:fill="auto"/>
            <w:vAlign w:val="center"/>
          </w:tcPr>
          <w:p w14:paraId="4DA84AA9" w14:textId="77777777" w:rsidR="00EA71D4" w:rsidRDefault="00EA71D4" w:rsidP="00EA71D4">
            <w:pPr>
              <w:pStyle w:val="aa"/>
            </w:pPr>
            <w:r>
              <w:t>昼间</w:t>
            </w:r>
          </w:p>
        </w:tc>
        <w:tc>
          <w:tcPr>
            <w:tcW w:w="727" w:type="dxa"/>
            <w:shd w:val="clear" w:color="auto" w:fill="auto"/>
            <w:vAlign w:val="center"/>
          </w:tcPr>
          <w:p w14:paraId="4C45135B" w14:textId="77777777" w:rsidR="00EA71D4" w:rsidRDefault="00EA71D4" w:rsidP="00EA71D4">
            <w:pPr>
              <w:pStyle w:val="aa"/>
            </w:pPr>
            <w:r>
              <w:t>60</w:t>
            </w:r>
          </w:p>
        </w:tc>
      </w:tr>
      <w:tr w:rsidR="00EA71D4" w14:paraId="7CC62F68" w14:textId="77777777">
        <w:trPr>
          <w:trHeight w:val="85"/>
          <w:jc w:val="center"/>
        </w:trPr>
        <w:tc>
          <w:tcPr>
            <w:tcW w:w="1185" w:type="dxa"/>
            <w:vMerge/>
            <w:vAlign w:val="center"/>
          </w:tcPr>
          <w:p w14:paraId="6F318EF8" w14:textId="77777777" w:rsidR="00EA71D4" w:rsidRDefault="00EA71D4" w:rsidP="00EA71D4">
            <w:pPr>
              <w:pStyle w:val="aa"/>
            </w:pPr>
          </w:p>
        </w:tc>
        <w:tc>
          <w:tcPr>
            <w:tcW w:w="3575" w:type="dxa"/>
            <w:vMerge/>
            <w:vAlign w:val="center"/>
          </w:tcPr>
          <w:p w14:paraId="5B46A2EC" w14:textId="77777777" w:rsidR="00EA71D4" w:rsidRDefault="00EA71D4" w:rsidP="00EA71D4">
            <w:pPr>
              <w:pStyle w:val="aa"/>
            </w:pPr>
          </w:p>
        </w:tc>
        <w:tc>
          <w:tcPr>
            <w:tcW w:w="1341" w:type="dxa"/>
            <w:vMerge/>
            <w:vAlign w:val="center"/>
          </w:tcPr>
          <w:p w14:paraId="3FE5280D" w14:textId="77777777" w:rsidR="00EA71D4" w:rsidRDefault="00EA71D4" w:rsidP="00EA71D4">
            <w:pPr>
              <w:pStyle w:val="aa"/>
            </w:pPr>
          </w:p>
        </w:tc>
        <w:tc>
          <w:tcPr>
            <w:tcW w:w="1123" w:type="dxa"/>
            <w:vMerge/>
            <w:vAlign w:val="center"/>
          </w:tcPr>
          <w:p w14:paraId="553E5F47" w14:textId="77777777" w:rsidR="00EA71D4" w:rsidRDefault="00EA71D4" w:rsidP="00EA71D4">
            <w:pPr>
              <w:pStyle w:val="aa"/>
            </w:pPr>
          </w:p>
        </w:tc>
        <w:tc>
          <w:tcPr>
            <w:tcW w:w="769" w:type="dxa"/>
            <w:shd w:val="clear" w:color="auto" w:fill="auto"/>
            <w:vAlign w:val="center"/>
          </w:tcPr>
          <w:p w14:paraId="54D9F77D" w14:textId="77777777" w:rsidR="00EA71D4" w:rsidRDefault="00EA71D4" w:rsidP="00EA71D4">
            <w:pPr>
              <w:pStyle w:val="aa"/>
            </w:pPr>
            <w:r>
              <w:t>夜间</w:t>
            </w:r>
          </w:p>
        </w:tc>
        <w:tc>
          <w:tcPr>
            <w:tcW w:w="727" w:type="dxa"/>
            <w:shd w:val="clear" w:color="auto" w:fill="auto"/>
            <w:vAlign w:val="center"/>
          </w:tcPr>
          <w:p w14:paraId="48F8684D" w14:textId="77777777" w:rsidR="00EA71D4" w:rsidRDefault="00EA71D4" w:rsidP="00EA71D4">
            <w:pPr>
              <w:pStyle w:val="aa"/>
            </w:pPr>
            <w:r>
              <w:t>50</w:t>
            </w:r>
          </w:p>
        </w:tc>
      </w:tr>
      <w:tr w:rsidR="00EA71D4" w14:paraId="1973E798" w14:textId="77777777">
        <w:trPr>
          <w:trHeight w:val="277"/>
          <w:jc w:val="center"/>
        </w:trPr>
        <w:tc>
          <w:tcPr>
            <w:tcW w:w="1185" w:type="dxa"/>
            <w:vMerge/>
            <w:vAlign w:val="center"/>
          </w:tcPr>
          <w:p w14:paraId="5A159607" w14:textId="77777777" w:rsidR="00EA71D4" w:rsidRDefault="00EA71D4" w:rsidP="00EA71D4">
            <w:pPr>
              <w:pStyle w:val="aa"/>
            </w:pPr>
          </w:p>
        </w:tc>
        <w:tc>
          <w:tcPr>
            <w:tcW w:w="3575" w:type="dxa"/>
            <w:vMerge w:val="restart"/>
            <w:shd w:val="clear" w:color="auto" w:fill="auto"/>
            <w:vAlign w:val="center"/>
          </w:tcPr>
          <w:p w14:paraId="09295E17" w14:textId="77777777" w:rsidR="00EA71D4" w:rsidRDefault="00EA71D4" w:rsidP="00EA71D4">
            <w:pPr>
              <w:pStyle w:val="aa"/>
            </w:pPr>
            <w:r>
              <w:t>《建筑施工场界环境噪声标准》</w:t>
            </w:r>
            <w:r>
              <w:rPr>
                <w:rFonts w:hint="eastAsia"/>
              </w:rPr>
              <w:t>（</w:t>
            </w:r>
            <w:r>
              <w:t>GB12523-2011</w:t>
            </w:r>
            <w:r>
              <w:rPr>
                <w:rFonts w:hint="eastAsia"/>
              </w:rPr>
              <w:t>）</w:t>
            </w:r>
          </w:p>
        </w:tc>
        <w:tc>
          <w:tcPr>
            <w:tcW w:w="1341" w:type="dxa"/>
            <w:vMerge w:val="restart"/>
            <w:shd w:val="clear" w:color="auto" w:fill="auto"/>
            <w:vAlign w:val="center"/>
          </w:tcPr>
          <w:p w14:paraId="130B6024" w14:textId="77777777" w:rsidR="00EA71D4" w:rsidRDefault="00EA71D4" w:rsidP="00EA71D4">
            <w:pPr>
              <w:pStyle w:val="aa"/>
            </w:pPr>
            <w:r>
              <w:t>厂界噪声</w:t>
            </w:r>
          </w:p>
        </w:tc>
        <w:tc>
          <w:tcPr>
            <w:tcW w:w="1123" w:type="dxa"/>
            <w:vMerge w:val="restart"/>
            <w:shd w:val="clear" w:color="auto" w:fill="auto"/>
            <w:vAlign w:val="center"/>
          </w:tcPr>
          <w:p w14:paraId="3673F901" w14:textId="77777777" w:rsidR="00EA71D4" w:rsidRDefault="00EA71D4" w:rsidP="00EA71D4">
            <w:pPr>
              <w:pStyle w:val="aa"/>
            </w:pPr>
            <w:r>
              <w:t>dB</w:t>
            </w:r>
            <w:r>
              <w:t>（</w:t>
            </w:r>
            <w:r>
              <w:t>A</w:t>
            </w:r>
            <w:r>
              <w:t>）</w:t>
            </w:r>
          </w:p>
        </w:tc>
        <w:tc>
          <w:tcPr>
            <w:tcW w:w="769" w:type="dxa"/>
            <w:shd w:val="clear" w:color="auto" w:fill="auto"/>
            <w:vAlign w:val="center"/>
          </w:tcPr>
          <w:p w14:paraId="1A24707C" w14:textId="77777777" w:rsidR="00EA71D4" w:rsidRDefault="00EA71D4" w:rsidP="00EA71D4">
            <w:pPr>
              <w:pStyle w:val="aa"/>
            </w:pPr>
            <w:r>
              <w:t>昼间</w:t>
            </w:r>
          </w:p>
        </w:tc>
        <w:tc>
          <w:tcPr>
            <w:tcW w:w="727" w:type="dxa"/>
            <w:shd w:val="clear" w:color="auto" w:fill="auto"/>
            <w:vAlign w:val="center"/>
          </w:tcPr>
          <w:p w14:paraId="02FC05B7" w14:textId="77777777" w:rsidR="00EA71D4" w:rsidRDefault="00EA71D4" w:rsidP="00EA71D4">
            <w:pPr>
              <w:pStyle w:val="aa"/>
            </w:pPr>
            <w:r>
              <w:t>70</w:t>
            </w:r>
          </w:p>
        </w:tc>
      </w:tr>
      <w:tr w:rsidR="00EA71D4" w14:paraId="1B495965" w14:textId="77777777">
        <w:trPr>
          <w:trHeight w:val="27"/>
          <w:jc w:val="center"/>
        </w:trPr>
        <w:tc>
          <w:tcPr>
            <w:tcW w:w="1185" w:type="dxa"/>
            <w:vMerge/>
            <w:vAlign w:val="center"/>
          </w:tcPr>
          <w:p w14:paraId="0E8868D9" w14:textId="77777777" w:rsidR="00EA71D4" w:rsidRDefault="00EA71D4" w:rsidP="00EA71D4">
            <w:pPr>
              <w:pStyle w:val="aa"/>
            </w:pPr>
          </w:p>
        </w:tc>
        <w:tc>
          <w:tcPr>
            <w:tcW w:w="3575" w:type="dxa"/>
            <w:vMerge/>
            <w:vAlign w:val="center"/>
          </w:tcPr>
          <w:p w14:paraId="222B00E9" w14:textId="77777777" w:rsidR="00EA71D4" w:rsidRDefault="00EA71D4" w:rsidP="00EA71D4">
            <w:pPr>
              <w:pStyle w:val="aa"/>
            </w:pPr>
          </w:p>
        </w:tc>
        <w:tc>
          <w:tcPr>
            <w:tcW w:w="1341" w:type="dxa"/>
            <w:vMerge/>
            <w:vAlign w:val="center"/>
          </w:tcPr>
          <w:p w14:paraId="66CEA756" w14:textId="77777777" w:rsidR="00EA71D4" w:rsidRDefault="00EA71D4" w:rsidP="00EA71D4">
            <w:pPr>
              <w:pStyle w:val="aa"/>
            </w:pPr>
          </w:p>
        </w:tc>
        <w:tc>
          <w:tcPr>
            <w:tcW w:w="1123" w:type="dxa"/>
            <w:vMerge/>
            <w:vAlign w:val="center"/>
          </w:tcPr>
          <w:p w14:paraId="20F66D07" w14:textId="77777777" w:rsidR="00EA71D4" w:rsidRDefault="00EA71D4" w:rsidP="00EA71D4">
            <w:pPr>
              <w:pStyle w:val="aa"/>
            </w:pPr>
          </w:p>
        </w:tc>
        <w:tc>
          <w:tcPr>
            <w:tcW w:w="769" w:type="dxa"/>
            <w:shd w:val="clear" w:color="auto" w:fill="auto"/>
            <w:vAlign w:val="center"/>
          </w:tcPr>
          <w:p w14:paraId="28C176C4" w14:textId="77777777" w:rsidR="00EA71D4" w:rsidRDefault="00EA71D4" w:rsidP="00EA71D4">
            <w:pPr>
              <w:pStyle w:val="aa"/>
            </w:pPr>
            <w:r>
              <w:t>夜间</w:t>
            </w:r>
          </w:p>
        </w:tc>
        <w:tc>
          <w:tcPr>
            <w:tcW w:w="727" w:type="dxa"/>
            <w:shd w:val="clear" w:color="auto" w:fill="auto"/>
            <w:vAlign w:val="center"/>
          </w:tcPr>
          <w:p w14:paraId="20F61326" w14:textId="77777777" w:rsidR="00EA71D4" w:rsidRDefault="00EA71D4" w:rsidP="00EA71D4">
            <w:pPr>
              <w:pStyle w:val="aa"/>
            </w:pPr>
            <w:r>
              <w:t>55</w:t>
            </w:r>
          </w:p>
        </w:tc>
      </w:tr>
      <w:tr w:rsidR="00EA71D4" w14:paraId="22B6CC7E" w14:textId="77777777">
        <w:trPr>
          <w:trHeight w:hRule="exact" w:val="306"/>
          <w:jc w:val="center"/>
        </w:trPr>
        <w:tc>
          <w:tcPr>
            <w:tcW w:w="1185" w:type="dxa"/>
            <w:vMerge w:val="restart"/>
            <w:shd w:val="clear" w:color="auto" w:fill="auto"/>
            <w:vAlign w:val="center"/>
          </w:tcPr>
          <w:p w14:paraId="67F74132" w14:textId="77777777" w:rsidR="00EA71D4" w:rsidRDefault="00EA71D4" w:rsidP="00EA71D4">
            <w:pPr>
              <w:pStyle w:val="aa"/>
            </w:pPr>
            <w:r>
              <w:t>固体废物</w:t>
            </w:r>
          </w:p>
        </w:tc>
        <w:tc>
          <w:tcPr>
            <w:tcW w:w="7535" w:type="dxa"/>
            <w:gridSpan w:val="5"/>
            <w:vMerge w:val="restart"/>
            <w:shd w:val="clear" w:color="auto" w:fill="auto"/>
            <w:vAlign w:val="center"/>
          </w:tcPr>
          <w:p w14:paraId="138CFC46" w14:textId="77777777" w:rsidR="00EA71D4" w:rsidRDefault="00EA71D4" w:rsidP="00EA71D4">
            <w:pPr>
              <w:pStyle w:val="aa"/>
            </w:pPr>
            <w:r>
              <w:rPr>
                <w:rFonts w:hint="eastAsia"/>
              </w:rPr>
              <w:t>《一般工业固体废物贮存、处置场污染控制标准》（</w:t>
            </w:r>
            <w:r>
              <w:rPr>
                <w:rFonts w:hint="eastAsia"/>
              </w:rPr>
              <w:t>GB18599-2001</w:t>
            </w:r>
            <w:r>
              <w:rPr>
                <w:rFonts w:hint="eastAsia"/>
              </w:rPr>
              <w:t>）及其</w:t>
            </w:r>
            <w:r>
              <w:rPr>
                <w:rFonts w:hint="eastAsia"/>
              </w:rPr>
              <w:t>2013</w:t>
            </w:r>
            <w:r>
              <w:rPr>
                <w:rFonts w:hint="eastAsia"/>
              </w:rPr>
              <w:t>年修改单</w:t>
            </w:r>
          </w:p>
        </w:tc>
      </w:tr>
      <w:tr w:rsidR="00EA71D4" w14:paraId="088D564F" w14:textId="77777777">
        <w:trPr>
          <w:trHeight w:val="480"/>
          <w:jc w:val="center"/>
        </w:trPr>
        <w:tc>
          <w:tcPr>
            <w:tcW w:w="1185" w:type="dxa"/>
            <w:vMerge/>
            <w:vAlign w:val="center"/>
          </w:tcPr>
          <w:p w14:paraId="59CFC70D" w14:textId="77777777" w:rsidR="00EA71D4" w:rsidRDefault="00EA71D4" w:rsidP="00EA71D4">
            <w:pPr>
              <w:pStyle w:val="aa"/>
            </w:pPr>
          </w:p>
        </w:tc>
        <w:tc>
          <w:tcPr>
            <w:tcW w:w="7535" w:type="dxa"/>
            <w:gridSpan w:val="5"/>
            <w:vMerge/>
            <w:vAlign w:val="center"/>
          </w:tcPr>
          <w:p w14:paraId="1314304B" w14:textId="77777777" w:rsidR="00EA71D4" w:rsidRDefault="00EA71D4" w:rsidP="00EA71D4">
            <w:pPr>
              <w:pStyle w:val="aa"/>
            </w:pPr>
          </w:p>
        </w:tc>
      </w:tr>
    </w:tbl>
    <w:p w14:paraId="3134DCDB" w14:textId="77777777" w:rsidR="00E579B9" w:rsidRDefault="006A1398">
      <w:pPr>
        <w:pStyle w:val="2"/>
        <w:ind w:firstLine="560"/>
      </w:pPr>
      <w:bookmarkStart w:id="50" w:name="_Toc535847430"/>
      <w:bookmarkStart w:id="51" w:name="_Toc33021787"/>
      <w:r>
        <w:rPr>
          <w:rFonts w:hint="eastAsia"/>
        </w:rPr>
        <w:t>2.</w:t>
      </w:r>
      <w:r>
        <w:t>8</w:t>
      </w:r>
      <w:r>
        <w:rPr>
          <w:rFonts w:hint="eastAsia"/>
        </w:rPr>
        <w:t>评价工作等级和评价范围</w:t>
      </w:r>
      <w:bookmarkEnd w:id="50"/>
      <w:bookmarkEnd w:id="51"/>
    </w:p>
    <w:p w14:paraId="54099453" w14:textId="77777777" w:rsidR="00E579B9" w:rsidRDefault="006A1398">
      <w:pPr>
        <w:pStyle w:val="3"/>
        <w:ind w:firstLine="560"/>
      </w:pPr>
      <w:bookmarkStart w:id="52" w:name="_Toc535847431"/>
      <w:r>
        <w:t>2.8.1</w:t>
      </w:r>
      <w:r>
        <w:t>评价</w:t>
      </w:r>
      <w:r>
        <w:rPr>
          <w:rFonts w:hint="eastAsia"/>
        </w:rPr>
        <w:t>工作</w:t>
      </w:r>
      <w:r>
        <w:t>等级</w:t>
      </w:r>
      <w:bookmarkEnd w:id="52"/>
    </w:p>
    <w:p w14:paraId="0E8C1B08" w14:textId="77777777" w:rsidR="00E579B9" w:rsidRDefault="006A1398">
      <w:r>
        <w:t>根据环境要素环境影响评价技术导则和专题环境影响评价技术导则规定，各环境影响要素评价工作等级确定如下：</w:t>
      </w:r>
    </w:p>
    <w:p w14:paraId="2FF5C472" w14:textId="77777777" w:rsidR="00E579B9" w:rsidRDefault="006A1398">
      <w:pPr>
        <w:rPr>
          <w:szCs w:val="24"/>
        </w:rPr>
      </w:pPr>
      <w:r>
        <w:t>（</w:t>
      </w:r>
      <w:r>
        <w:t>1</w:t>
      </w:r>
      <w:r>
        <w:t>）环境空气</w:t>
      </w:r>
    </w:p>
    <w:p w14:paraId="027E0848" w14:textId="77777777" w:rsidR="00E579B9" w:rsidRDefault="006A1398">
      <w:pPr>
        <w:rPr>
          <w:rFonts w:cs="Times New Roman"/>
        </w:rPr>
      </w:pPr>
      <w:r>
        <w:rPr>
          <w:rFonts w:cs="Times New Roman"/>
        </w:rPr>
        <w:lastRenderedPageBreak/>
        <w:t>本项目主要环境空气污染物为露天采场、运输、装卸和</w:t>
      </w:r>
      <w:proofErr w:type="gramStart"/>
      <w:r>
        <w:rPr>
          <w:rFonts w:cs="Times New Roman"/>
        </w:rPr>
        <w:t>表土场</w:t>
      </w:r>
      <w:proofErr w:type="gramEnd"/>
      <w:r>
        <w:rPr>
          <w:rFonts w:cs="Times New Roman"/>
        </w:rPr>
        <w:t>产生的粉尘、爆破废气</w:t>
      </w:r>
      <w:r>
        <w:rPr>
          <w:rFonts w:cs="Times New Roman" w:hint="eastAsia"/>
        </w:rPr>
        <w:t>、破碎场废气</w:t>
      </w:r>
      <w:r>
        <w:rPr>
          <w:rFonts w:cs="Times New Roman"/>
        </w:rPr>
        <w:t>等。根据《环境影响评价技术导则大气环境》（</w:t>
      </w:r>
      <w:r>
        <w:rPr>
          <w:rFonts w:cs="Times New Roman"/>
        </w:rPr>
        <w:t>HJ2.2-2018</w:t>
      </w:r>
      <w:r>
        <w:rPr>
          <w:rFonts w:cs="Times New Roman"/>
        </w:rPr>
        <w:t>）推荐估算模式对本项目建成后的大气环境评价工作进行分级。结合项目的工程分析结果，选择正常排放的主要污染物及排放参数，计算各污染物的最大影响程度和最远影响范围，然后</w:t>
      </w:r>
      <w:proofErr w:type="gramStart"/>
      <w:r>
        <w:rPr>
          <w:rFonts w:cs="Times New Roman"/>
        </w:rPr>
        <w:t>按评价</w:t>
      </w:r>
      <w:proofErr w:type="gramEnd"/>
      <w:r>
        <w:rPr>
          <w:rFonts w:cs="Times New Roman"/>
        </w:rPr>
        <w:t>工作分级判据进行分级。</w:t>
      </w:r>
    </w:p>
    <w:p w14:paraId="381074D8" w14:textId="77777777" w:rsidR="00E579B9" w:rsidRDefault="006A1398">
      <w:pPr>
        <w:rPr>
          <w:rFonts w:cs="Times New Roman"/>
        </w:rPr>
      </w:pPr>
      <w:r>
        <w:rPr>
          <w:rFonts w:cs="Times New Roman"/>
        </w:rPr>
        <w:t>根据项目污染源初步调查结果，分别计算项目排放主要污染物的最大地面空气质量浓度占标率</w:t>
      </w:r>
      <w:r>
        <w:rPr>
          <w:rFonts w:cs="Times New Roman"/>
        </w:rPr>
        <w:t>P</w:t>
      </w:r>
      <w:r>
        <w:rPr>
          <w:rFonts w:cs="Times New Roman"/>
          <w:vertAlign w:val="subscript"/>
        </w:rPr>
        <w:t>i</w:t>
      </w:r>
      <w:r>
        <w:rPr>
          <w:rFonts w:cs="Times New Roman"/>
        </w:rPr>
        <w:t>（第</w:t>
      </w:r>
      <w:proofErr w:type="spellStart"/>
      <w:r>
        <w:rPr>
          <w:rFonts w:cs="Times New Roman"/>
        </w:rPr>
        <w:t>i</w:t>
      </w:r>
      <w:proofErr w:type="spellEnd"/>
      <w:proofErr w:type="gramStart"/>
      <w:r>
        <w:rPr>
          <w:rFonts w:cs="Times New Roman"/>
        </w:rPr>
        <w:t>个</w:t>
      </w:r>
      <w:proofErr w:type="gramEnd"/>
      <w:r>
        <w:rPr>
          <w:rFonts w:cs="Times New Roman"/>
        </w:rPr>
        <w:t>污染物，简称</w:t>
      </w:r>
      <w:r>
        <w:rPr>
          <w:rFonts w:cs="Times New Roman"/>
        </w:rPr>
        <w:t>“</w:t>
      </w:r>
      <w:r>
        <w:rPr>
          <w:rFonts w:cs="Times New Roman"/>
        </w:rPr>
        <w:t>最大浓度占标率</w:t>
      </w:r>
      <w:r>
        <w:rPr>
          <w:rFonts w:cs="Times New Roman"/>
        </w:rPr>
        <w:t>”</w:t>
      </w:r>
      <w:r>
        <w:rPr>
          <w:rFonts w:cs="Times New Roman"/>
        </w:rPr>
        <w:t>），及第</w:t>
      </w:r>
      <w:proofErr w:type="spellStart"/>
      <w:r>
        <w:rPr>
          <w:rFonts w:cs="Times New Roman"/>
        </w:rPr>
        <w:t>i</w:t>
      </w:r>
      <w:proofErr w:type="spellEnd"/>
      <w:proofErr w:type="gramStart"/>
      <w:r>
        <w:rPr>
          <w:rFonts w:cs="Times New Roman"/>
        </w:rPr>
        <w:t>个</w:t>
      </w:r>
      <w:proofErr w:type="gramEnd"/>
      <w:r>
        <w:rPr>
          <w:rFonts w:cs="Times New Roman"/>
        </w:rPr>
        <w:t>污染物的地面空气质量浓度达标准限值的</w:t>
      </w:r>
      <w:r>
        <w:rPr>
          <w:rFonts w:cs="Times New Roman"/>
        </w:rPr>
        <w:t>10%</w:t>
      </w:r>
      <w:r>
        <w:rPr>
          <w:rFonts w:cs="Times New Roman"/>
        </w:rPr>
        <w:t>时所对应的最远距离</w:t>
      </w:r>
      <w:r>
        <w:rPr>
          <w:rFonts w:cs="Times New Roman"/>
        </w:rPr>
        <w:t>D10%</w:t>
      </w:r>
      <w:r>
        <w:rPr>
          <w:rFonts w:cs="Times New Roman"/>
        </w:rPr>
        <w:t>。其中</w:t>
      </w:r>
      <w:r>
        <w:rPr>
          <w:rFonts w:cs="Times New Roman"/>
        </w:rPr>
        <w:t>P</w:t>
      </w:r>
      <w:r>
        <w:rPr>
          <w:rFonts w:cs="Times New Roman"/>
          <w:vertAlign w:val="subscript"/>
        </w:rPr>
        <w:t>i</w:t>
      </w:r>
      <w:r>
        <w:rPr>
          <w:rFonts w:cs="Times New Roman"/>
        </w:rPr>
        <w:t>定义为：</w:t>
      </w:r>
    </w:p>
    <w:p w14:paraId="6A5F4F45" w14:textId="77777777" w:rsidR="00E579B9" w:rsidRDefault="006A1398">
      <w:pPr>
        <w:rPr>
          <w:rFonts w:cs="Times New Roman"/>
        </w:rPr>
      </w:pPr>
      <w:r>
        <w:rPr>
          <w:rFonts w:cs="Times New Roman"/>
        </w:rPr>
        <w:t>根据工程分析结果，本项目排放的主要废气污染物为</w:t>
      </w:r>
      <w:r>
        <w:rPr>
          <w:rFonts w:cs="Times New Roman"/>
        </w:rPr>
        <w:t>TSP</w:t>
      </w:r>
      <w:r>
        <w:rPr>
          <w:rFonts w:cs="Times New Roman" w:hint="eastAsia"/>
        </w:rPr>
        <w:t>、</w:t>
      </w:r>
      <w:r>
        <w:rPr>
          <w:rFonts w:cs="Times New Roman" w:hint="eastAsia"/>
        </w:rPr>
        <w:t>P</w:t>
      </w:r>
      <w:r>
        <w:rPr>
          <w:rFonts w:cs="Times New Roman"/>
        </w:rPr>
        <w:t>M10</w:t>
      </w:r>
      <w:r>
        <w:rPr>
          <w:rFonts w:cs="Times New Roman"/>
        </w:rPr>
        <w:t>，计算</w:t>
      </w:r>
      <w:r>
        <w:rPr>
          <w:rFonts w:cs="Times New Roman"/>
        </w:rPr>
        <w:t>TSP</w:t>
      </w:r>
      <w:r>
        <w:rPr>
          <w:rFonts w:cs="Times New Roman" w:hint="eastAsia"/>
        </w:rPr>
        <w:t>、</w:t>
      </w:r>
      <w:r>
        <w:rPr>
          <w:rFonts w:cs="Times New Roman" w:hint="eastAsia"/>
        </w:rPr>
        <w:t>P</w:t>
      </w:r>
      <w:r>
        <w:rPr>
          <w:rFonts w:cs="Times New Roman"/>
        </w:rPr>
        <w:t>M10</w:t>
      </w:r>
      <w:r>
        <w:rPr>
          <w:rFonts w:cs="Times New Roman"/>
        </w:rPr>
        <w:t>的最大地面浓度占标率</w:t>
      </w:r>
      <w:r>
        <w:rPr>
          <w:rFonts w:cs="Times New Roman"/>
        </w:rPr>
        <w:t>Pi</w:t>
      </w:r>
      <w:r>
        <w:rPr>
          <w:rFonts w:cs="Times New Roman"/>
        </w:rPr>
        <w:t>（第</w:t>
      </w:r>
      <w:proofErr w:type="spellStart"/>
      <w:r>
        <w:rPr>
          <w:rFonts w:cs="Times New Roman"/>
        </w:rPr>
        <w:t>i</w:t>
      </w:r>
      <w:proofErr w:type="spellEnd"/>
      <w:proofErr w:type="gramStart"/>
      <w:r>
        <w:rPr>
          <w:rFonts w:cs="Times New Roman"/>
        </w:rPr>
        <w:t>个</w:t>
      </w:r>
      <w:proofErr w:type="gramEnd"/>
      <w:r>
        <w:rPr>
          <w:rFonts w:cs="Times New Roman"/>
        </w:rPr>
        <w:t>污染物），及第</w:t>
      </w:r>
      <w:proofErr w:type="spellStart"/>
      <w:r>
        <w:rPr>
          <w:rFonts w:cs="Times New Roman"/>
        </w:rPr>
        <w:t>i</w:t>
      </w:r>
      <w:proofErr w:type="spellEnd"/>
      <w:proofErr w:type="gramStart"/>
      <w:r>
        <w:rPr>
          <w:rFonts w:cs="Times New Roman"/>
        </w:rPr>
        <w:t>个</w:t>
      </w:r>
      <w:proofErr w:type="gramEnd"/>
      <w:r>
        <w:rPr>
          <w:rFonts w:cs="Times New Roman"/>
        </w:rPr>
        <w:t>污染物的地面浓度达标准限值</w:t>
      </w:r>
      <w:r>
        <w:rPr>
          <w:rFonts w:cs="Times New Roman"/>
        </w:rPr>
        <w:t>10%</w:t>
      </w:r>
      <w:r>
        <w:rPr>
          <w:rFonts w:cs="Times New Roman"/>
        </w:rPr>
        <w:t>时所对应的最远距离</w:t>
      </w:r>
      <w:r>
        <w:rPr>
          <w:rFonts w:cs="Times New Roman"/>
        </w:rPr>
        <w:t>D10%</w:t>
      </w:r>
      <w:r>
        <w:rPr>
          <w:rFonts w:cs="Times New Roman"/>
        </w:rPr>
        <w:t>，其中</w:t>
      </w:r>
      <w:r>
        <w:rPr>
          <w:rFonts w:cs="Times New Roman"/>
        </w:rPr>
        <w:t>Pi</w:t>
      </w:r>
      <w:r>
        <w:rPr>
          <w:rFonts w:cs="Times New Roman"/>
        </w:rPr>
        <w:t>定义为：</w:t>
      </w:r>
    </w:p>
    <w:p w14:paraId="657101E0" w14:textId="77777777" w:rsidR="00E579B9" w:rsidRDefault="006A1398">
      <w:pPr>
        <w:rPr>
          <w:rFonts w:cs="Times New Roman"/>
        </w:rPr>
      </w:pPr>
      <w:r>
        <w:rPr>
          <w:rFonts w:cs="Times New Roman"/>
        </w:rPr>
        <w:object w:dxaOrig="1894" w:dyaOrig="733" w14:anchorId="1DB5DD5D">
          <v:shape id="_x0000_i1026" type="#_x0000_t75" style="width:94.7pt;height:36.85pt" o:ole="">
            <v:imagedata r:id="rId17" o:title=""/>
          </v:shape>
          <o:OLEObject Type="Embed" ProgID="Equation.3" ShapeID="_x0000_i1026" DrawAspect="Content" ObjectID="_1644327280" r:id="rId18"/>
        </w:object>
      </w:r>
    </w:p>
    <w:p w14:paraId="6705A8AD" w14:textId="77777777" w:rsidR="00E579B9" w:rsidRDefault="006A1398">
      <w:pPr>
        <w:rPr>
          <w:rFonts w:cs="Times New Roman"/>
        </w:rPr>
      </w:pPr>
      <w:r>
        <w:rPr>
          <w:rFonts w:cs="Times New Roman"/>
        </w:rPr>
        <w:t>式中，</w:t>
      </w:r>
      <w:r>
        <w:rPr>
          <w:rFonts w:cs="Times New Roman"/>
        </w:rPr>
        <w:t>P</w:t>
      </w:r>
      <w:r>
        <w:rPr>
          <w:rFonts w:cs="Times New Roman"/>
          <w:vertAlign w:val="subscript"/>
        </w:rPr>
        <w:t>i</w:t>
      </w:r>
      <w:r>
        <w:rPr>
          <w:rFonts w:cs="Times New Roman"/>
        </w:rPr>
        <w:t>—</w:t>
      </w:r>
      <w:r>
        <w:rPr>
          <w:rFonts w:cs="Times New Roman"/>
        </w:rPr>
        <w:t>第</w:t>
      </w:r>
      <w:proofErr w:type="spellStart"/>
      <w:r>
        <w:rPr>
          <w:rFonts w:cs="Times New Roman"/>
        </w:rPr>
        <w:t>i</w:t>
      </w:r>
      <w:proofErr w:type="spellEnd"/>
      <w:proofErr w:type="gramStart"/>
      <w:r>
        <w:rPr>
          <w:rFonts w:cs="Times New Roman"/>
        </w:rPr>
        <w:t>个</w:t>
      </w:r>
      <w:proofErr w:type="gramEnd"/>
      <w:r>
        <w:rPr>
          <w:rFonts w:cs="Times New Roman"/>
        </w:rPr>
        <w:t>污染物的最大地面空气质量浓度占标率，</w:t>
      </w:r>
      <w:r>
        <w:rPr>
          <w:rFonts w:cs="Times New Roman"/>
        </w:rPr>
        <w:t>%</w:t>
      </w:r>
      <w:r>
        <w:rPr>
          <w:rFonts w:cs="Times New Roman"/>
        </w:rPr>
        <w:t>；</w:t>
      </w:r>
    </w:p>
    <w:p w14:paraId="5F24E876" w14:textId="77777777" w:rsidR="00E579B9" w:rsidRDefault="006A1398">
      <w:pPr>
        <w:rPr>
          <w:rFonts w:cs="Times New Roman"/>
        </w:rPr>
      </w:pPr>
      <w:r>
        <w:rPr>
          <w:rFonts w:cs="Times New Roman"/>
        </w:rPr>
        <w:t>C</w:t>
      </w:r>
      <w:r>
        <w:rPr>
          <w:rFonts w:cs="Times New Roman"/>
          <w:vertAlign w:val="subscript"/>
        </w:rPr>
        <w:t>i</w:t>
      </w:r>
      <w:proofErr w:type="gramStart"/>
      <w:r>
        <w:rPr>
          <w:rFonts w:cs="Times New Roman"/>
        </w:rPr>
        <w:t>—</w:t>
      </w:r>
      <w:r>
        <w:rPr>
          <w:rFonts w:cs="Times New Roman"/>
        </w:rPr>
        <w:t>采用</w:t>
      </w:r>
      <w:proofErr w:type="gramEnd"/>
      <w:r>
        <w:rPr>
          <w:rFonts w:cs="Times New Roman"/>
        </w:rPr>
        <w:t>估算模式计算出的第</w:t>
      </w:r>
      <w:proofErr w:type="spellStart"/>
      <w:r>
        <w:rPr>
          <w:rFonts w:cs="Times New Roman"/>
        </w:rPr>
        <w:t>i</w:t>
      </w:r>
      <w:proofErr w:type="spellEnd"/>
      <w:proofErr w:type="gramStart"/>
      <w:r>
        <w:rPr>
          <w:rFonts w:cs="Times New Roman"/>
        </w:rPr>
        <w:t>个</w:t>
      </w:r>
      <w:proofErr w:type="gramEnd"/>
      <w:r>
        <w:rPr>
          <w:rFonts w:cs="Times New Roman"/>
        </w:rPr>
        <w:t>污染物的最大地面浓度，</w:t>
      </w:r>
      <w:r>
        <w:rPr>
          <w:rFonts w:cs="Times New Roman"/>
        </w:rPr>
        <w:t>mg/m</w:t>
      </w:r>
      <w:r>
        <w:rPr>
          <w:rFonts w:cs="Times New Roman"/>
          <w:vertAlign w:val="superscript"/>
        </w:rPr>
        <w:t>3</w:t>
      </w:r>
      <w:r>
        <w:rPr>
          <w:rFonts w:cs="Times New Roman"/>
        </w:rPr>
        <w:t>。</w:t>
      </w:r>
    </w:p>
    <w:p w14:paraId="25F6DB20" w14:textId="77777777" w:rsidR="00E579B9" w:rsidRDefault="006A1398">
      <w:pPr>
        <w:rPr>
          <w:rFonts w:cs="Times New Roman"/>
        </w:rPr>
      </w:pPr>
      <w:r>
        <w:t>C</w:t>
      </w:r>
      <w:r>
        <w:rPr>
          <w:vertAlign w:val="subscript"/>
        </w:rPr>
        <w:t>0i</w:t>
      </w:r>
      <w:r>
        <w:t>—</w:t>
      </w:r>
      <w:r>
        <w:t>第</w:t>
      </w:r>
      <w:proofErr w:type="spellStart"/>
      <w:r>
        <w:t>i</w:t>
      </w:r>
      <w:proofErr w:type="spellEnd"/>
      <w:proofErr w:type="gramStart"/>
      <w:r>
        <w:t>个</w:t>
      </w:r>
      <w:proofErr w:type="gramEnd"/>
      <w:r>
        <w:t>污染物的环境空气质量标准，</w:t>
      </w:r>
      <w:r>
        <w:t>mg/m</w:t>
      </w:r>
      <w:r>
        <w:rPr>
          <w:vertAlign w:val="superscript"/>
        </w:rPr>
        <w:t>3</w:t>
      </w:r>
      <w:r>
        <w:t>；一般选用</w:t>
      </w:r>
      <w:r>
        <w:t>GB3095</w:t>
      </w:r>
      <w:r>
        <w:t>中</w:t>
      </w:r>
      <w:r>
        <w:t>1h</w:t>
      </w:r>
      <w:r>
        <w:t>平均质量浓度的二级浓度限值，如项目位于一类环境空气功能区，应选</w:t>
      </w:r>
      <w:proofErr w:type="gramStart"/>
      <w:r>
        <w:t>择相应</w:t>
      </w:r>
      <w:proofErr w:type="gramEnd"/>
      <w:r>
        <w:t>的一级浓度限值；对该标准中未包含的污染物，使用</w:t>
      </w:r>
      <w:r>
        <w:t>5.2</w:t>
      </w:r>
      <w:r>
        <w:t>确定的各评价因子</w:t>
      </w:r>
      <w:r>
        <w:t>1h</w:t>
      </w:r>
      <w:r>
        <w:t>平均质量浓度限值。对仅有</w:t>
      </w:r>
      <w:r>
        <w:t>8h</w:t>
      </w:r>
      <w:r>
        <w:t>平均质量浓度限值、日平均质量浓度限值或平均质量浓度限值的，可分别按</w:t>
      </w:r>
      <w:r>
        <w:t>2</w:t>
      </w:r>
      <w:r>
        <w:t>倍、</w:t>
      </w:r>
      <w:r>
        <w:t>3</w:t>
      </w:r>
      <w:r>
        <w:t>倍、</w:t>
      </w:r>
      <w:r>
        <w:t>6</w:t>
      </w:r>
      <w:r>
        <w:t>倍折算为</w:t>
      </w:r>
      <w:r>
        <w:t>1h</w:t>
      </w:r>
      <w:r>
        <w:t>平均质量浓度限值。</w:t>
      </w:r>
    </w:p>
    <w:p w14:paraId="0A410F74" w14:textId="77777777" w:rsidR="00E579B9" w:rsidRDefault="006A1398">
      <w:pPr>
        <w:pStyle w:val="21"/>
      </w:pPr>
      <w:r>
        <w:t>表</w:t>
      </w:r>
      <w:r>
        <w:t>2.8-1</w:t>
      </w:r>
      <w:r>
        <w:t>大气环境评价工作等级一览表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7"/>
        <w:gridCol w:w="5029"/>
      </w:tblGrid>
      <w:tr w:rsidR="00E579B9" w14:paraId="6F4275D5" w14:textId="77777777">
        <w:trPr>
          <w:jc w:val="center"/>
        </w:trPr>
        <w:tc>
          <w:tcPr>
            <w:tcW w:w="3917" w:type="dxa"/>
          </w:tcPr>
          <w:p w14:paraId="7CFA8AC9" w14:textId="77777777" w:rsidR="00E579B9" w:rsidRDefault="006A1398">
            <w:pPr>
              <w:pStyle w:val="aa"/>
            </w:pPr>
            <w:r>
              <w:t>评价工作等级</w:t>
            </w:r>
          </w:p>
        </w:tc>
        <w:tc>
          <w:tcPr>
            <w:tcW w:w="5029" w:type="dxa"/>
          </w:tcPr>
          <w:p w14:paraId="32AB4352" w14:textId="77777777" w:rsidR="00E579B9" w:rsidRDefault="006A1398">
            <w:pPr>
              <w:pStyle w:val="aa"/>
            </w:pPr>
            <w:r>
              <w:t>评价工作分级判据</w:t>
            </w:r>
          </w:p>
        </w:tc>
      </w:tr>
      <w:tr w:rsidR="00E579B9" w14:paraId="3DEC1B82" w14:textId="77777777">
        <w:trPr>
          <w:jc w:val="center"/>
        </w:trPr>
        <w:tc>
          <w:tcPr>
            <w:tcW w:w="3917" w:type="dxa"/>
            <w:shd w:val="clear" w:color="auto" w:fill="FFFFFF" w:themeFill="background1"/>
          </w:tcPr>
          <w:p w14:paraId="63AF4C6F" w14:textId="77777777" w:rsidR="00E579B9" w:rsidRDefault="006A1398">
            <w:pPr>
              <w:pStyle w:val="aa"/>
            </w:pPr>
            <w:r>
              <w:t>一级评价</w:t>
            </w:r>
          </w:p>
        </w:tc>
        <w:tc>
          <w:tcPr>
            <w:tcW w:w="5029" w:type="dxa"/>
            <w:shd w:val="clear" w:color="auto" w:fill="FFFFFF" w:themeFill="background1"/>
          </w:tcPr>
          <w:p w14:paraId="5714396E" w14:textId="77777777" w:rsidR="00E579B9" w:rsidRDefault="006A1398">
            <w:pPr>
              <w:pStyle w:val="aa"/>
            </w:pPr>
            <w:r>
              <w:t>P</w:t>
            </w:r>
            <w:r>
              <w:rPr>
                <w:vertAlign w:val="subscript"/>
              </w:rPr>
              <w:t>max</w:t>
            </w:r>
            <w:r>
              <w:t>≥10%</w:t>
            </w:r>
          </w:p>
        </w:tc>
      </w:tr>
      <w:tr w:rsidR="00E579B9" w14:paraId="56AA76D2" w14:textId="77777777">
        <w:trPr>
          <w:trHeight w:val="65"/>
          <w:jc w:val="center"/>
        </w:trPr>
        <w:tc>
          <w:tcPr>
            <w:tcW w:w="3917" w:type="dxa"/>
            <w:shd w:val="clear" w:color="auto" w:fill="BFBFBF" w:themeFill="background1" w:themeFillShade="BF"/>
          </w:tcPr>
          <w:p w14:paraId="25E82F4F" w14:textId="77777777" w:rsidR="00E579B9" w:rsidRDefault="006A1398">
            <w:pPr>
              <w:pStyle w:val="aa"/>
            </w:pPr>
            <w:r>
              <w:t>二级评价</w:t>
            </w:r>
          </w:p>
        </w:tc>
        <w:tc>
          <w:tcPr>
            <w:tcW w:w="5029" w:type="dxa"/>
            <w:shd w:val="clear" w:color="auto" w:fill="BFBFBF" w:themeFill="background1" w:themeFillShade="BF"/>
          </w:tcPr>
          <w:p w14:paraId="576B9E73" w14:textId="77777777" w:rsidR="00E579B9" w:rsidRDefault="006A1398">
            <w:pPr>
              <w:pStyle w:val="aa"/>
            </w:pPr>
            <w:r>
              <w:t>1%≤</w:t>
            </w:r>
            <w:proofErr w:type="spellStart"/>
            <w:r>
              <w:t>P</w:t>
            </w:r>
            <w:r>
              <w:rPr>
                <w:vertAlign w:val="subscript"/>
              </w:rPr>
              <w:t>max</w:t>
            </w:r>
            <w:proofErr w:type="spellEnd"/>
            <w:r>
              <w:t>&lt;10%</w:t>
            </w:r>
          </w:p>
        </w:tc>
      </w:tr>
      <w:tr w:rsidR="00E579B9" w14:paraId="303B08B6" w14:textId="77777777">
        <w:trPr>
          <w:jc w:val="center"/>
        </w:trPr>
        <w:tc>
          <w:tcPr>
            <w:tcW w:w="3917" w:type="dxa"/>
          </w:tcPr>
          <w:p w14:paraId="649D3658" w14:textId="77777777" w:rsidR="00E579B9" w:rsidRDefault="006A1398">
            <w:pPr>
              <w:pStyle w:val="aa"/>
            </w:pPr>
            <w:r>
              <w:t>三级评价</w:t>
            </w:r>
          </w:p>
        </w:tc>
        <w:tc>
          <w:tcPr>
            <w:tcW w:w="5029" w:type="dxa"/>
          </w:tcPr>
          <w:p w14:paraId="7E3AC8EC" w14:textId="77777777" w:rsidR="00E579B9" w:rsidRDefault="006A1398">
            <w:pPr>
              <w:pStyle w:val="aa"/>
            </w:pPr>
            <w:proofErr w:type="spellStart"/>
            <w:r>
              <w:t>P</w:t>
            </w:r>
            <w:r>
              <w:rPr>
                <w:vertAlign w:val="subscript"/>
              </w:rPr>
              <w:t>max</w:t>
            </w:r>
            <w:proofErr w:type="spellEnd"/>
            <w:r>
              <w:t>&lt;1%</w:t>
            </w:r>
          </w:p>
        </w:tc>
      </w:tr>
    </w:tbl>
    <w:p w14:paraId="63C9F513" w14:textId="1142624D" w:rsidR="00E579B9" w:rsidRDefault="006A1398">
      <w:r>
        <w:t>根据对本项目初步的工程分析，采用估算模型确定大气评价等级，详见表</w:t>
      </w:r>
      <w:r>
        <w:t>2.8-2</w:t>
      </w:r>
      <w:r>
        <w:t>。</w:t>
      </w:r>
    </w:p>
    <w:p w14:paraId="3AC1D2CE" w14:textId="38C0F078" w:rsidR="00F554CB" w:rsidRDefault="00F554CB"/>
    <w:p w14:paraId="5CD5F7F2" w14:textId="376EAA45" w:rsidR="00F554CB" w:rsidRDefault="00F554CB"/>
    <w:p w14:paraId="2B86F8E7" w14:textId="77777777" w:rsidR="00F554CB" w:rsidRDefault="00F554CB"/>
    <w:p w14:paraId="55CBB444" w14:textId="77777777" w:rsidR="00E579B9" w:rsidRDefault="006A1398">
      <w:pPr>
        <w:pStyle w:val="21"/>
      </w:pPr>
      <w:bookmarkStart w:id="53" w:name="_Toc409016488"/>
      <w:bookmarkStart w:id="54" w:name="_Toc443926409"/>
      <w:r>
        <w:lastRenderedPageBreak/>
        <w:t>表</w:t>
      </w:r>
      <w:r>
        <w:t>2.8-2</w:t>
      </w:r>
      <w:r>
        <w:t>大气评价工作等级确定一览表</w:t>
      </w:r>
      <w:bookmarkEnd w:id="53"/>
      <w:bookmarkEnd w:id="5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1252"/>
        <w:gridCol w:w="541"/>
        <w:gridCol w:w="1020"/>
        <w:gridCol w:w="1160"/>
        <w:gridCol w:w="1402"/>
        <w:gridCol w:w="935"/>
        <w:gridCol w:w="818"/>
        <w:gridCol w:w="1008"/>
      </w:tblGrid>
      <w:tr w:rsidR="00EA71D4" w14:paraId="0F0F76B5" w14:textId="27051FD2" w:rsidTr="00EA71D4">
        <w:trPr>
          <w:jc w:val="center"/>
        </w:trPr>
        <w:tc>
          <w:tcPr>
            <w:tcW w:w="1363" w:type="pct"/>
            <w:gridSpan w:val="3"/>
            <w:vAlign w:val="center"/>
          </w:tcPr>
          <w:p w14:paraId="6B26D849" w14:textId="77777777" w:rsidR="00EA71D4" w:rsidRDefault="00EA71D4">
            <w:pPr>
              <w:spacing w:line="360" w:lineRule="exact"/>
              <w:ind w:firstLineChars="0" w:firstLine="0"/>
              <w:jc w:val="center"/>
              <w:rPr>
                <w:rFonts w:cs="Times New Roman"/>
                <w:sz w:val="21"/>
                <w:szCs w:val="21"/>
              </w:rPr>
            </w:pPr>
            <w:r>
              <w:rPr>
                <w:rFonts w:cs="Times New Roman"/>
                <w:sz w:val="21"/>
                <w:szCs w:val="21"/>
              </w:rPr>
              <w:t>估算因子</w:t>
            </w:r>
          </w:p>
        </w:tc>
        <w:tc>
          <w:tcPr>
            <w:tcW w:w="585" w:type="pct"/>
            <w:vAlign w:val="center"/>
          </w:tcPr>
          <w:p w14:paraId="4C445FBB" w14:textId="77777777" w:rsidR="00EA71D4" w:rsidRDefault="00EA71D4">
            <w:pPr>
              <w:spacing w:line="360" w:lineRule="exact"/>
              <w:ind w:firstLineChars="0" w:firstLine="0"/>
              <w:jc w:val="center"/>
              <w:rPr>
                <w:rFonts w:cs="Times New Roman"/>
                <w:sz w:val="21"/>
                <w:szCs w:val="21"/>
              </w:rPr>
            </w:pPr>
            <w:r>
              <w:rPr>
                <w:rFonts w:cs="Times New Roman"/>
                <w:sz w:val="21"/>
                <w:szCs w:val="21"/>
              </w:rPr>
              <w:t>源强</w:t>
            </w:r>
            <w:r>
              <w:rPr>
                <w:rFonts w:cs="Times New Roman" w:hint="eastAsia"/>
                <w:sz w:val="21"/>
                <w:szCs w:val="21"/>
              </w:rPr>
              <w:t>（</w:t>
            </w:r>
            <w:r>
              <w:rPr>
                <w:rFonts w:cs="Times New Roman"/>
                <w:sz w:val="21"/>
                <w:szCs w:val="21"/>
              </w:rPr>
              <w:t>kg/h</w:t>
            </w:r>
            <w:r>
              <w:rPr>
                <w:rFonts w:cs="Times New Roman" w:hint="eastAsia"/>
                <w:sz w:val="21"/>
                <w:szCs w:val="21"/>
              </w:rPr>
              <w:t>）</w:t>
            </w:r>
          </w:p>
        </w:tc>
        <w:tc>
          <w:tcPr>
            <w:tcW w:w="665" w:type="pct"/>
            <w:vAlign w:val="center"/>
          </w:tcPr>
          <w:p w14:paraId="76197966" w14:textId="77777777" w:rsidR="00EA71D4" w:rsidRDefault="00EA71D4">
            <w:pPr>
              <w:spacing w:line="360" w:lineRule="exact"/>
              <w:ind w:firstLineChars="0" w:firstLine="0"/>
              <w:jc w:val="center"/>
              <w:rPr>
                <w:rFonts w:cs="Times New Roman"/>
                <w:sz w:val="21"/>
                <w:szCs w:val="21"/>
              </w:rPr>
            </w:pPr>
            <w:r>
              <w:rPr>
                <w:rFonts w:cs="Times New Roman"/>
                <w:sz w:val="21"/>
                <w:szCs w:val="21"/>
              </w:rPr>
              <w:t>评价标准</w:t>
            </w:r>
          </w:p>
        </w:tc>
        <w:tc>
          <w:tcPr>
            <w:tcW w:w="804" w:type="pct"/>
            <w:vAlign w:val="center"/>
          </w:tcPr>
          <w:p w14:paraId="4A53308B" w14:textId="77777777" w:rsidR="00EA71D4" w:rsidRDefault="00EA71D4">
            <w:pPr>
              <w:spacing w:line="360" w:lineRule="exact"/>
              <w:ind w:firstLineChars="0" w:firstLine="0"/>
              <w:jc w:val="center"/>
              <w:rPr>
                <w:rFonts w:cs="Times New Roman"/>
                <w:sz w:val="21"/>
                <w:szCs w:val="21"/>
              </w:rPr>
            </w:pPr>
            <w:proofErr w:type="spellStart"/>
            <w:r>
              <w:rPr>
                <w:rFonts w:cs="Times New Roman"/>
                <w:sz w:val="21"/>
                <w:szCs w:val="21"/>
              </w:rPr>
              <w:t>Cmax</w:t>
            </w:r>
            <w:proofErr w:type="spellEnd"/>
            <w:r>
              <w:rPr>
                <w:rFonts w:cs="Times New Roman" w:hint="eastAsia"/>
                <w:sz w:val="21"/>
                <w:szCs w:val="21"/>
              </w:rPr>
              <w:t>（</w:t>
            </w:r>
            <w:r>
              <w:rPr>
                <w:rFonts w:cs="Times New Roman"/>
                <w:sz w:val="21"/>
                <w:szCs w:val="21"/>
              </w:rPr>
              <w:t>mg/m</w:t>
            </w:r>
            <w:r>
              <w:rPr>
                <w:rFonts w:cs="Times New Roman"/>
                <w:sz w:val="21"/>
                <w:szCs w:val="21"/>
                <w:vertAlign w:val="superscript"/>
              </w:rPr>
              <w:t>3</w:t>
            </w:r>
            <w:r>
              <w:rPr>
                <w:rFonts w:cs="Times New Roman" w:hint="eastAsia"/>
                <w:sz w:val="21"/>
                <w:szCs w:val="21"/>
              </w:rPr>
              <w:t>）</w:t>
            </w:r>
          </w:p>
        </w:tc>
        <w:tc>
          <w:tcPr>
            <w:tcW w:w="536" w:type="pct"/>
            <w:vAlign w:val="center"/>
          </w:tcPr>
          <w:p w14:paraId="747A3350" w14:textId="77777777" w:rsidR="00EA71D4" w:rsidRDefault="00EA71D4">
            <w:pPr>
              <w:spacing w:line="360" w:lineRule="exact"/>
              <w:ind w:firstLineChars="0" w:firstLine="0"/>
              <w:jc w:val="center"/>
              <w:rPr>
                <w:rFonts w:cs="Times New Roman"/>
                <w:sz w:val="21"/>
                <w:szCs w:val="21"/>
              </w:rPr>
            </w:pPr>
            <w:proofErr w:type="spellStart"/>
            <w:r>
              <w:rPr>
                <w:rFonts w:cs="Times New Roman"/>
                <w:sz w:val="21"/>
                <w:szCs w:val="21"/>
              </w:rPr>
              <w:t>Pmax</w:t>
            </w:r>
            <w:proofErr w:type="spellEnd"/>
          </w:p>
        </w:tc>
        <w:tc>
          <w:tcPr>
            <w:tcW w:w="469" w:type="pct"/>
          </w:tcPr>
          <w:p w14:paraId="3C3245F9" w14:textId="7E928D6C" w:rsidR="00EA71D4" w:rsidRPr="002B5221" w:rsidRDefault="00EA71D4">
            <w:pPr>
              <w:spacing w:line="360" w:lineRule="exact"/>
              <w:ind w:firstLineChars="0" w:firstLine="0"/>
              <w:jc w:val="center"/>
              <w:rPr>
                <w:rFonts w:cs="Times New Roman"/>
                <w:sz w:val="21"/>
                <w:szCs w:val="21"/>
              </w:rPr>
            </w:pPr>
            <w:r w:rsidRPr="002B5221">
              <w:rPr>
                <w:rFonts w:cs="Times New Roman" w:hint="eastAsia"/>
                <w:sz w:val="21"/>
                <w:szCs w:val="21"/>
              </w:rPr>
              <w:t>工作等级</w:t>
            </w:r>
          </w:p>
        </w:tc>
        <w:tc>
          <w:tcPr>
            <w:tcW w:w="578" w:type="pct"/>
          </w:tcPr>
          <w:p w14:paraId="0AA2853F" w14:textId="226A19BF" w:rsidR="00EA71D4" w:rsidRPr="002B5221" w:rsidRDefault="00EA71D4">
            <w:pPr>
              <w:spacing w:line="360" w:lineRule="exact"/>
              <w:ind w:firstLineChars="0" w:firstLine="0"/>
              <w:jc w:val="center"/>
              <w:rPr>
                <w:rFonts w:cs="Times New Roman"/>
                <w:sz w:val="21"/>
                <w:szCs w:val="21"/>
              </w:rPr>
            </w:pPr>
            <w:r w:rsidRPr="002B5221">
              <w:rPr>
                <w:rFonts w:cs="Times New Roman" w:hint="eastAsia"/>
                <w:sz w:val="21"/>
                <w:szCs w:val="21"/>
              </w:rPr>
              <w:t>最终确定工作等级</w:t>
            </w:r>
          </w:p>
        </w:tc>
      </w:tr>
      <w:tr w:rsidR="00EA71D4" w14:paraId="127B33A2" w14:textId="17DE8014" w:rsidTr="00EA71D4">
        <w:trPr>
          <w:jc w:val="center"/>
        </w:trPr>
        <w:tc>
          <w:tcPr>
            <w:tcW w:w="335" w:type="pct"/>
            <w:vMerge w:val="restart"/>
            <w:vAlign w:val="center"/>
          </w:tcPr>
          <w:p w14:paraId="5F49ADEE" w14:textId="77777777" w:rsidR="00EA71D4" w:rsidRDefault="00EA71D4">
            <w:pPr>
              <w:spacing w:line="360" w:lineRule="exact"/>
              <w:ind w:firstLineChars="0" w:firstLine="0"/>
              <w:jc w:val="center"/>
              <w:rPr>
                <w:rFonts w:cs="Times New Roman"/>
                <w:sz w:val="21"/>
                <w:szCs w:val="21"/>
              </w:rPr>
            </w:pPr>
            <w:r>
              <w:rPr>
                <w:rFonts w:cs="Times New Roman"/>
                <w:sz w:val="21"/>
                <w:szCs w:val="21"/>
              </w:rPr>
              <w:t>有组织</w:t>
            </w:r>
          </w:p>
        </w:tc>
        <w:tc>
          <w:tcPr>
            <w:tcW w:w="718" w:type="pct"/>
            <w:vAlign w:val="center"/>
          </w:tcPr>
          <w:p w14:paraId="28A27BCC" w14:textId="77777777" w:rsidR="00EA71D4" w:rsidRDefault="00EA71D4">
            <w:pPr>
              <w:spacing w:line="360" w:lineRule="exact"/>
              <w:ind w:firstLineChars="0" w:firstLine="0"/>
              <w:jc w:val="center"/>
              <w:rPr>
                <w:rFonts w:cs="Times New Roman"/>
                <w:sz w:val="21"/>
                <w:szCs w:val="21"/>
              </w:rPr>
            </w:pPr>
            <w:r>
              <w:rPr>
                <w:rFonts w:cs="Times New Roman"/>
                <w:sz w:val="21"/>
                <w:szCs w:val="21"/>
              </w:rPr>
              <w:t>1#</w:t>
            </w:r>
            <w:r>
              <w:rPr>
                <w:rFonts w:cs="Times New Roman"/>
                <w:sz w:val="21"/>
                <w:szCs w:val="21"/>
              </w:rPr>
              <w:t>排气筒</w:t>
            </w:r>
          </w:p>
        </w:tc>
        <w:tc>
          <w:tcPr>
            <w:tcW w:w="309" w:type="pct"/>
            <w:vMerge w:val="restart"/>
            <w:vAlign w:val="center"/>
          </w:tcPr>
          <w:p w14:paraId="7C741001" w14:textId="77777777" w:rsidR="00EA71D4" w:rsidRDefault="00EA71D4">
            <w:pPr>
              <w:spacing w:line="360" w:lineRule="exact"/>
              <w:ind w:firstLineChars="0" w:firstLine="0"/>
              <w:jc w:val="center"/>
              <w:rPr>
                <w:rFonts w:cs="Times New Roman"/>
                <w:sz w:val="21"/>
                <w:szCs w:val="21"/>
              </w:rPr>
            </w:pPr>
            <w:r>
              <w:rPr>
                <w:rFonts w:cs="Times New Roman"/>
                <w:sz w:val="21"/>
                <w:szCs w:val="21"/>
              </w:rPr>
              <w:t>颗粒物</w:t>
            </w:r>
          </w:p>
        </w:tc>
        <w:tc>
          <w:tcPr>
            <w:tcW w:w="585" w:type="pct"/>
            <w:vAlign w:val="center"/>
          </w:tcPr>
          <w:p w14:paraId="0B9700D6" w14:textId="77777777" w:rsidR="00EA71D4" w:rsidRDefault="00EA71D4">
            <w:pPr>
              <w:spacing w:line="360" w:lineRule="exact"/>
              <w:ind w:firstLineChars="0" w:firstLine="0"/>
              <w:jc w:val="center"/>
              <w:rPr>
                <w:rFonts w:cs="Times New Roman"/>
                <w:sz w:val="21"/>
                <w:szCs w:val="21"/>
              </w:rPr>
            </w:pPr>
            <w:r>
              <w:rPr>
                <w:rFonts w:cs="Times New Roman"/>
                <w:sz w:val="21"/>
                <w:szCs w:val="21"/>
              </w:rPr>
              <w:t>0.</w:t>
            </w:r>
            <w:r>
              <w:rPr>
                <w:rFonts w:cs="Times New Roman" w:hint="eastAsia"/>
                <w:sz w:val="21"/>
                <w:szCs w:val="21"/>
              </w:rPr>
              <w:t>0161</w:t>
            </w:r>
          </w:p>
        </w:tc>
        <w:tc>
          <w:tcPr>
            <w:tcW w:w="665" w:type="pct"/>
            <w:vMerge w:val="restart"/>
            <w:vAlign w:val="center"/>
          </w:tcPr>
          <w:p w14:paraId="3B07B8A1" w14:textId="77777777" w:rsidR="00EA71D4" w:rsidRDefault="00EA71D4">
            <w:pPr>
              <w:spacing w:line="360" w:lineRule="exact"/>
              <w:ind w:firstLineChars="0" w:firstLine="0"/>
              <w:jc w:val="center"/>
              <w:rPr>
                <w:rFonts w:cs="Times New Roman"/>
                <w:sz w:val="21"/>
                <w:szCs w:val="21"/>
              </w:rPr>
            </w:pPr>
            <w:r>
              <w:rPr>
                <w:rFonts w:cs="Times New Roman"/>
                <w:sz w:val="21"/>
                <w:szCs w:val="21"/>
              </w:rPr>
              <w:t>0.45mg/m</w:t>
            </w:r>
            <w:r>
              <w:rPr>
                <w:rFonts w:cs="Times New Roman"/>
                <w:sz w:val="21"/>
                <w:szCs w:val="21"/>
                <w:vertAlign w:val="superscript"/>
              </w:rPr>
              <w:t>3</w:t>
            </w:r>
          </w:p>
        </w:tc>
        <w:tc>
          <w:tcPr>
            <w:tcW w:w="804" w:type="pct"/>
            <w:vAlign w:val="center"/>
          </w:tcPr>
          <w:p w14:paraId="3242DCBE" w14:textId="77777777" w:rsidR="00EA71D4" w:rsidRDefault="00EA71D4">
            <w:pPr>
              <w:spacing w:line="360" w:lineRule="exact"/>
              <w:ind w:firstLineChars="0" w:firstLine="0"/>
              <w:jc w:val="center"/>
              <w:rPr>
                <w:rFonts w:cs="Times New Roman"/>
                <w:sz w:val="21"/>
                <w:szCs w:val="21"/>
              </w:rPr>
            </w:pPr>
            <w:r>
              <w:rPr>
                <w:rFonts w:cs="Times New Roman" w:hint="eastAsia"/>
                <w:sz w:val="21"/>
                <w:szCs w:val="21"/>
              </w:rPr>
              <w:t>0.0129</w:t>
            </w:r>
          </w:p>
        </w:tc>
        <w:tc>
          <w:tcPr>
            <w:tcW w:w="536" w:type="pct"/>
            <w:vAlign w:val="center"/>
          </w:tcPr>
          <w:p w14:paraId="4A1B4036" w14:textId="77777777" w:rsidR="00EA71D4" w:rsidRDefault="00EA71D4">
            <w:pPr>
              <w:spacing w:line="360" w:lineRule="exact"/>
              <w:ind w:firstLineChars="0" w:firstLine="0"/>
              <w:jc w:val="center"/>
              <w:rPr>
                <w:rFonts w:cs="Times New Roman"/>
                <w:sz w:val="21"/>
                <w:szCs w:val="21"/>
              </w:rPr>
            </w:pPr>
            <w:r>
              <w:rPr>
                <w:rFonts w:cs="Times New Roman" w:hint="eastAsia"/>
                <w:sz w:val="21"/>
                <w:szCs w:val="21"/>
              </w:rPr>
              <w:t>2.86</w:t>
            </w:r>
            <w:r>
              <w:rPr>
                <w:rFonts w:cs="Times New Roman"/>
                <w:sz w:val="21"/>
                <w:szCs w:val="21"/>
              </w:rPr>
              <w:t>%</w:t>
            </w:r>
          </w:p>
        </w:tc>
        <w:tc>
          <w:tcPr>
            <w:tcW w:w="469" w:type="pct"/>
            <w:vAlign w:val="center"/>
          </w:tcPr>
          <w:p w14:paraId="46D7883C" w14:textId="7E5FE54A" w:rsidR="00EA71D4" w:rsidRPr="002B5221" w:rsidRDefault="00EA71D4">
            <w:pPr>
              <w:spacing w:line="360" w:lineRule="exact"/>
              <w:ind w:firstLineChars="0" w:firstLine="0"/>
              <w:jc w:val="center"/>
              <w:rPr>
                <w:rFonts w:cs="Times New Roman"/>
                <w:sz w:val="21"/>
                <w:szCs w:val="21"/>
              </w:rPr>
            </w:pPr>
            <w:r w:rsidRPr="002B5221">
              <w:rPr>
                <w:rFonts w:cs="Times New Roman" w:hint="eastAsia"/>
                <w:sz w:val="21"/>
                <w:szCs w:val="21"/>
              </w:rPr>
              <w:t>二级</w:t>
            </w:r>
          </w:p>
        </w:tc>
        <w:tc>
          <w:tcPr>
            <w:tcW w:w="578" w:type="pct"/>
            <w:vMerge w:val="restart"/>
          </w:tcPr>
          <w:p w14:paraId="0357E100" w14:textId="77777777" w:rsidR="00EA71D4" w:rsidRPr="002B5221" w:rsidRDefault="00EA71D4">
            <w:pPr>
              <w:spacing w:line="360" w:lineRule="exact"/>
              <w:ind w:firstLineChars="0" w:firstLine="0"/>
              <w:jc w:val="center"/>
              <w:rPr>
                <w:rFonts w:cs="Times New Roman"/>
                <w:sz w:val="21"/>
                <w:szCs w:val="21"/>
              </w:rPr>
            </w:pPr>
          </w:p>
          <w:p w14:paraId="311A4D9D" w14:textId="77777777" w:rsidR="00EA71D4" w:rsidRPr="002B5221" w:rsidRDefault="00EA71D4">
            <w:pPr>
              <w:spacing w:line="360" w:lineRule="exact"/>
              <w:ind w:firstLineChars="0" w:firstLine="0"/>
              <w:jc w:val="center"/>
              <w:rPr>
                <w:rFonts w:cs="Times New Roman"/>
                <w:sz w:val="21"/>
                <w:szCs w:val="21"/>
              </w:rPr>
            </w:pPr>
          </w:p>
          <w:p w14:paraId="491EF84E" w14:textId="77777777" w:rsidR="00EA71D4" w:rsidRPr="002B5221" w:rsidRDefault="00EA71D4">
            <w:pPr>
              <w:spacing w:line="360" w:lineRule="exact"/>
              <w:ind w:firstLineChars="0" w:firstLine="0"/>
              <w:jc w:val="center"/>
              <w:rPr>
                <w:rFonts w:cs="Times New Roman"/>
                <w:sz w:val="21"/>
                <w:szCs w:val="21"/>
              </w:rPr>
            </w:pPr>
          </w:p>
          <w:p w14:paraId="4DE44FF6" w14:textId="5F3452EF" w:rsidR="00EA71D4" w:rsidRPr="002B5221" w:rsidRDefault="00EA71D4">
            <w:pPr>
              <w:spacing w:line="360" w:lineRule="exact"/>
              <w:ind w:firstLineChars="0" w:firstLine="0"/>
              <w:jc w:val="center"/>
              <w:rPr>
                <w:rFonts w:cs="Times New Roman"/>
                <w:sz w:val="21"/>
                <w:szCs w:val="21"/>
              </w:rPr>
            </w:pPr>
            <w:r w:rsidRPr="002B5221">
              <w:rPr>
                <w:rFonts w:cs="Times New Roman" w:hint="eastAsia"/>
                <w:sz w:val="21"/>
                <w:szCs w:val="21"/>
              </w:rPr>
              <w:t>二级</w:t>
            </w:r>
          </w:p>
        </w:tc>
      </w:tr>
      <w:tr w:rsidR="00EA71D4" w14:paraId="25165663" w14:textId="4ADC8242" w:rsidTr="00EA71D4">
        <w:trPr>
          <w:jc w:val="center"/>
        </w:trPr>
        <w:tc>
          <w:tcPr>
            <w:tcW w:w="335" w:type="pct"/>
            <w:vMerge/>
            <w:vAlign w:val="center"/>
          </w:tcPr>
          <w:p w14:paraId="1B78836E" w14:textId="77777777" w:rsidR="00EA71D4" w:rsidRDefault="00EA71D4">
            <w:pPr>
              <w:spacing w:line="360" w:lineRule="exact"/>
              <w:ind w:firstLineChars="0" w:firstLine="0"/>
              <w:jc w:val="center"/>
              <w:rPr>
                <w:rFonts w:cs="Times New Roman"/>
                <w:sz w:val="21"/>
                <w:szCs w:val="21"/>
              </w:rPr>
            </w:pPr>
          </w:p>
        </w:tc>
        <w:tc>
          <w:tcPr>
            <w:tcW w:w="718" w:type="pct"/>
            <w:vAlign w:val="center"/>
          </w:tcPr>
          <w:p w14:paraId="7956C190" w14:textId="77777777" w:rsidR="00EA71D4" w:rsidRDefault="00EA71D4">
            <w:pPr>
              <w:spacing w:line="360" w:lineRule="exact"/>
              <w:ind w:firstLineChars="0" w:firstLine="0"/>
              <w:jc w:val="center"/>
              <w:rPr>
                <w:rFonts w:cs="Times New Roman"/>
                <w:sz w:val="21"/>
                <w:szCs w:val="21"/>
              </w:rPr>
            </w:pPr>
            <w:r>
              <w:rPr>
                <w:rFonts w:cs="Times New Roman"/>
                <w:sz w:val="21"/>
                <w:szCs w:val="21"/>
              </w:rPr>
              <w:t>2#</w:t>
            </w:r>
            <w:r>
              <w:rPr>
                <w:rFonts w:cs="Times New Roman"/>
                <w:sz w:val="21"/>
                <w:szCs w:val="21"/>
              </w:rPr>
              <w:t>排气筒</w:t>
            </w:r>
          </w:p>
        </w:tc>
        <w:tc>
          <w:tcPr>
            <w:tcW w:w="309" w:type="pct"/>
            <w:vMerge/>
            <w:vAlign w:val="center"/>
          </w:tcPr>
          <w:p w14:paraId="104CB0C5" w14:textId="77777777" w:rsidR="00EA71D4" w:rsidRDefault="00EA71D4">
            <w:pPr>
              <w:spacing w:line="360" w:lineRule="exact"/>
              <w:ind w:firstLine="420"/>
              <w:jc w:val="center"/>
              <w:rPr>
                <w:rFonts w:cs="Times New Roman"/>
                <w:sz w:val="21"/>
                <w:szCs w:val="21"/>
              </w:rPr>
            </w:pPr>
          </w:p>
        </w:tc>
        <w:tc>
          <w:tcPr>
            <w:tcW w:w="585" w:type="pct"/>
            <w:vAlign w:val="center"/>
          </w:tcPr>
          <w:p w14:paraId="692627FE" w14:textId="77777777" w:rsidR="00EA71D4" w:rsidRDefault="00EA71D4">
            <w:pPr>
              <w:spacing w:line="360" w:lineRule="exact"/>
              <w:ind w:firstLineChars="0" w:firstLine="0"/>
              <w:jc w:val="center"/>
              <w:rPr>
                <w:rFonts w:cs="Times New Roman"/>
                <w:sz w:val="21"/>
                <w:szCs w:val="21"/>
              </w:rPr>
            </w:pPr>
            <w:r>
              <w:rPr>
                <w:rFonts w:cs="Times New Roman"/>
                <w:sz w:val="21"/>
                <w:szCs w:val="21"/>
              </w:rPr>
              <w:t>0.</w:t>
            </w:r>
            <w:r>
              <w:rPr>
                <w:rFonts w:cs="Times New Roman" w:hint="eastAsia"/>
                <w:sz w:val="21"/>
                <w:szCs w:val="21"/>
              </w:rPr>
              <w:t>0166</w:t>
            </w:r>
          </w:p>
        </w:tc>
        <w:tc>
          <w:tcPr>
            <w:tcW w:w="665" w:type="pct"/>
            <w:vMerge/>
            <w:tcBorders>
              <w:bottom w:val="single" w:sz="4" w:space="0" w:color="auto"/>
            </w:tcBorders>
            <w:vAlign w:val="center"/>
          </w:tcPr>
          <w:p w14:paraId="77D91E7A" w14:textId="77777777" w:rsidR="00EA71D4" w:rsidRDefault="00EA71D4">
            <w:pPr>
              <w:spacing w:line="360" w:lineRule="exact"/>
              <w:ind w:firstLine="420"/>
              <w:jc w:val="center"/>
              <w:rPr>
                <w:rFonts w:cs="Times New Roman"/>
                <w:sz w:val="21"/>
                <w:szCs w:val="21"/>
              </w:rPr>
            </w:pPr>
          </w:p>
        </w:tc>
        <w:tc>
          <w:tcPr>
            <w:tcW w:w="804" w:type="pct"/>
            <w:tcBorders>
              <w:bottom w:val="single" w:sz="4" w:space="0" w:color="auto"/>
            </w:tcBorders>
            <w:vAlign w:val="center"/>
          </w:tcPr>
          <w:p w14:paraId="5F731B0A" w14:textId="77777777" w:rsidR="00EA71D4" w:rsidRDefault="00EA71D4">
            <w:pPr>
              <w:spacing w:line="360" w:lineRule="exact"/>
              <w:ind w:firstLineChars="0" w:firstLine="0"/>
              <w:jc w:val="center"/>
              <w:rPr>
                <w:rFonts w:cs="Times New Roman"/>
                <w:sz w:val="21"/>
                <w:szCs w:val="21"/>
              </w:rPr>
            </w:pPr>
            <w:r>
              <w:rPr>
                <w:rFonts w:cs="Times New Roman"/>
                <w:sz w:val="21"/>
                <w:szCs w:val="21"/>
              </w:rPr>
              <w:t>0.0</w:t>
            </w:r>
            <w:r>
              <w:rPr>
                <w:rFonts w:cs="Times New Roman" w:hint="eastAsia"/>
                <w:sz w:val="21"/>
                <w:szCs w:val="21"/>
              </w:rPr>
              <w:t>133</w:t>
            </w:r>
          </w:p>
        </w:tc>
        <w:tc>
          <w:tcPr>
            <w:tcW w:w="536" w:type="pct"/>
            <w:vAlign w:val="center"/>
          </w:tcPr>
          <w:p w14:paraId="5DE13E0D" w14:textId="77777777" w:rsidR="00EA71D4" w:rsidRDefault="00EA71D4">
            <w:pPr>
              <w:spacing w:line="360" w:lineRule="exact"/>
              <w:ind w:firstLineChars="0" w:firstLine="0"/>
              <w:jc w:val="center"/>
              <w:rPr>
                <w:rFonts w:cs="Times New Roman"/>
                <w:sz w:val="21"/>
                <w:szCs w:val="21"/>
              </w:rPr>
            </w:pPr>
            <w:r>
              <w:rPr>
                <w:rFonts w:cs="Times New Roman" w:hint="eastAsia"/>
                <w:sz w:val="21"/>
                <w:szCs w:val="21"/>
              </w:rPr>
              <w:t>2.95</w:t>
            </w:r>
            <w:r>
              <w:rPr>
                <w:rFonts w:cs="Times New Roman"/>
                <w:sz w:val="21"/>
                <w:szCs w:val="21"/>
              </w:rPr>
              <w:t>%</w:t>
            </w:r>
          </w:p>
        </w:tc>
        <w:tc>
          <w:tcPr>
            <w:tcW w:w="469" w:type="pct"/>
            <w:vAlign w:val="center"/>
          </w:tcPr>
          <w:p w14:paraId="65C5ABB7" w14:textId="7AE4D03B" w:rsidR="00EA71D4" w:rsidRPr="002B5221" w:rsidRDefault="00EA71D4">
            <w:pPr>
              <w:spacing w:line="360" w:lineRule="exact"/>
              <w:ind w:firstLineChars="0" w:firstLine="0"/>
              <w:jc w:val="center"/>
              <w:rPr>
                <w:rFonts w:cs="Times New Roman"/>
                <w:sz w:val="21"/>
                <w:szCs w:val="21"/>
              </w:rPr>
            </w:pPr>
            <w:r w:rsidRPr="002B5221">
              <w:rPr>
                <w:rFonts w:cs="Times New Roman" w:hint="eastAsia"/>
                <w:sz w:val="21"/>
                <w:szCs w:val="21"/>
              </w:rPr>
              <w:t>二级</w:t>
            </w:r>
          </w:p>
        </w:tc>
        <w:tc>
          <w:tcPr>
            <w:tcW w:w="578" w:type="pct"/>
            <w:vMerge/>
          </w:tcPr>
          <w:p w14:paraId="087DFB6A" w14:textId="77777777" w:rsidR="00EA71D4" w:rsidRDefault="00EA71D4">
            <w:pPr>
              <w:spacing w:line="360" w:lineRule="exact"/>
              <w:ind w:firstLineChars="0" w:firstLine="0"/>
              <w:jc w:val="center"/>
              <w:rPr>
                <w:rFonts w:cs="Times New Roman"/>
                <w:sz w:val="21"/>
                <w:szCs w:val="21"/>
              </w:rPr>
            </w:pPr>
          </w:p>
        </w:tc>
      </w:tr>
      <w:tr w:rsidR="00EA71D4" w14:paraId="1BE89916" w14:textId="6422D863" w:rsidTr="00EA71D4">
        <w:trPr>
          <w:jc w:val="center"/>
        </w:trPr>
        <w:tc>
          <w:tcPr>
            <w:tcW w:w="335" w:type="pct"/>
            <w:vMerge w:val="restart"/>
            <w:vAlign w:val="center"/>
          </w:tcPr>
          <w:p w14:paraId="64FCC963" w14:textId="77777777" w:rsidR="00EA71D4" w:rsidRDefault="00EA71D4" w:rsidP="00EA71D4">
            <w:pPr>
              <w:spacing w:line="360" w:lineRule="exact"/>
              <w:ind w:firstLineChars="0" w:firstLine="0"/>
              <w:jc w:val="center"/>
              <w:rPr>
                <w:rFonts w:cs="Times New Roman"/>
                <w:sz w:val="21"/>
                <w:szCs w:val="21"/>
              </w:rPr>
            </w:pPr>
            <w:r>
              <w:rPr>
                <w:rFonts w:cs="Times New Roman"/>
                <w:sz w:val="21"/>
                <w:szCs w:val="21"/>
              </w:rPr>
              <w:t>无组织</w:t>
            </w:r>
          </w:p>
        </w:tc>
        <w:tc>
          <w:tcPr>
            <w:tcW w:w="718" w:type="pct"/>
            <w:vAlign w:val="center"/>
          </w:tcPr>
          <w:p w14:paraId="50C6C85C" w14:textId="77777777" w:rsidR="00EA71D4" w:rsidRDefault="00EA71D4" w:rsidP="00EA71D4">
            <w:pPr>
              <w:spacing w:line="360" w:lineRule="exact"/>
              <w:ind w:firstLineChars="0" w:firstLine="0"/>
              <w:jc w:val="center"/>
              <w:rPr>
                <w:rFonts w:cs="Times New Roman"/>
                <w:sz w:val="21"/>
                <w:szCs w:val="21"/>
              </w:rPr>
            </w:pPr>
            <w:r>
              <w:rPr>
                <w:rFonts w:cs="Times New Roman" w:hint="eastAsia"/>
                <w:sz w:val="21"/>
                <w:szCs w:val="21"/>
              </w:rPr>
              <w:t>露天采场</w:t>
            </w:r>
          </w:p>
        </w:tc>
        <w:tc>
          <w:tcPr>
            <w:tcW w:w="309" w:type="pct"/>
            <w:vMerge/>
            <w:vAlign w:val="center"/>
          </w:tcPr>
          <w:p w14:paraId="750152C0" w14:textId="77777777" w:rsidR="00EA71D4" w:rsidRDefault="00EA71D4" w:rsidP="00EA71D4">
            <w:pPr>
              <w:spacing w:line="360" w:lineRule="exact"/>
              <w:ind w:firstLine="420"/>
              <w:jc w:val="center"/>
              <w:rPr>
                <w:rFonts w:cs="Times New Roman"/>
                <w:sz w:val="21"/>
                <w:szCs w:val="21"/>
              </w:rPr>
            </w:pPr>
          </w:p>
        </w:tc>
        <w:tc>
          <w:tcPr>
            <w:tcW w:w="585" w:type="pct"/>
            <w:vAlign w:val="center"/>
          </w:tcPr>
          <w:p w14:paraId="4ED08E14" w14:textId="77777777" w:rsidR="00EA71D4" w:rsidRDefault="00EA71D4" w:rsidP="00EA71D4">
            <w:pPr>
              <w:spacing w:line="360" w:lineRule="exact"/>
              <w:ind w:firstLineChars="0" w:firstLine="0"/>
              <w:jc w:val="center"/>
              <w:rPr>
                <w:rFonts w:cs="Times New Roman"/>
                <w:sz w:val="21"/>
                <w:szCs w:val="21"/>
              </w:rPr>
            </w:pPr>
            <w:r>
              <w:rPr>
                <w:rFonts w:cs="Times New Roman" w:hint="eastAsia"/>
                <w:sz w:val="21"/>
                <w:szCs w:val="21"/>
              </w:rPr>
              <w:t>0.514</w:t>
            </w:r>
          </w:p>
        </w:tc>
        <w:tc>
          <w:tcPr>
            <w:tcW w:w="665" w:type="pct"/>
            <w:vMerge w:val="restart"/>
            <w:tcBorders>
              <w:top w:val="single" w:sz="4" w:space="0" w:color="auto"/>
            </w:tcBorders>
            <w:vAlign w:val="center"/>
          </w:tcPr>
          <w:p w14:paraId="31E778B2" w14:textId="77777777" w:rsidR="00EA71D4" w:rsidRDefault="00EA71D4" w:rsidP="00EA71D4">
            <w:pPr>
              <w:spacing w:line="360" w:lineRule="exact"/>
              <w:ind w:firstLineChars="0" w:firstLine="0"/>
              <w:rPr>
                <w:rFonts w:cs="Times New Roman"/>
                <w:sz w:val="21"/>
                <w:szCs w:val="21"/>
              </w:rPr>
            </w:pPr>
            <w:r>
              <w:rPr>
                <w:rFonts w:cs="Times New Roman"/>
                <w:sz w:val="21"/>
                <w:szCs w:val="21"/>
              </w:rPr>
              <w:t>0.</w:t>
            </w:r>
            <w:r>
              <w:rPr>
                <w:rFonts w:cs="Times New Roman" w:hint="eastAsia"/>
                <w:sz w:val="21"/>
                <w:szCs w:val="21"/>
              </w:rPr>
              <w:t>9</w:t>
            </w:r>
            <w:r>
              <w:rPr>
                <w:rFonts w:cs="Times New Roman"/>
                <w:sz w:val="21"/>
                <w:szCs w:val="21"/>
              </w:rPr>
              <w:t>mg/m</w:t>
            </w:r>
            <w:r>
              <w:rPr>
                <w:rFonts w:cs="Times New Roman"/>
                <w:sz w:val="21"/>
                <w:szCs w:val="21"/>
                <w:vertAlign w:val="superscript"/>
              </w:rPr>
              <w:t>3</w:t>
            </w:r>
          </w:p>
        </w:tc>
        <w:tc>
          <w:tcPr>
            <w:tcW w:w="804" w:type="pct"/>
            <w:tcBorders>
              <w:top w:val="single" w:sz="4" w:space="0" w:color="auto"/>
              <w:bottom w:val="single" w:sz="4" w:space="0" w:color="auto"/>
            </w:tcBorders>
            <w:vAlign w:val="center"/>
          </w:tcPr>
          <w:p w14:paraId="180E1FEE" w14:textId="77777777" w:rsidR="00EA71D4" w:rsidRDefault="00EA71D4" w:rsidP="00EA71D4">
            <w:pPr>
              <w:spacing w:line="360" w:lineRule="exact"/>
              <w:ind w:firstLineChars="0" w:firstLine="0"/>
              <w:jc w:val="center"/>
              <w:rPr>
                <w:rFonts w:cs="Times New Roman"/>
                <w:sz w:val="21"/>
                <w:szCs w:val="21"/>
              </w:rPr>
            </w:pPr>
            <w:r>
              <w:rPr>
                <w:rFonts w:cs="Times New Roman" w:hint="eastAsia"/>
                <w:sz w:val="21"/>
                <w:szCs w:val="21"/>
              </w:rPr>
              <w:t>0.0314</w:t>
            </w:r>
          </w:p>
        </w:tc>
        <w:tc>
          <w:tcPr>
            <w:tcW w:w="536" w:type="pct"/>
            <w:vAlign w:val="center"/>
          </w:tcPr>
          <w:p w14:paraId="70EBAA13" w14:textId="77777777" w:rsidR="00EA71D4" w:rsidRDefault="00EA71D4" w:rsidP="00EA71D4">
            <w:pPr>
              <w:spacing w:line="360" w:lineRule="exact"/>
              <w:ind w:firstLineChars="0" w:firstLine="0"/>
              <w:jc w:val="center"/>
              <w:rPr>
                <w:rFonts w:cs="Times New Roman"/>
                <w:sz w:val="21"/>
                <w:szCs w:val="21"/>
              </w:rPr>
            </w:pPr>
            <w:r>
              <w:rPr>
                <w:rFonts w:cs="Times New Roman" w:hint="eastAsia"/>
                <w:sz w:val="21"/>
                <w:szCs w:val="21"/>
              </w:rPr>
              <w:t>3.49</w:t>
            </w:r>
            <w:r>
              <w:rPr>
                <w:rFonts w:cs="Times New Roman"/>
                <w:sz w:val="21"/>
                <w:szCs w:val="21"/>
              </w:rPr>
              <w:t>%</w:t>
            </w:r>
          </w:p>
        </w:tc>
        <w:tc>
          <w:tcPr>
            <w:tcW w:w="469" w:type="pct"/>
          </w:tcPr>
          <w:p w14:paraId="6071025F" w14:textId="00B3CBFC" w:rsidR="00EA71D4" w:rsidRPr="002B5221" w:rsidRDefault="00EA71D4" w:rsidP="00EA71D4">
            <w:pPr>
              <w:spacing w:line="360" w:lineRule="exact"/>
              <w:ind w:firstLineChars="0" w:firstLine="0"/>
              <w:jc w:val="center"/>
              <w:rPr>
                <w:rFonts w:cs="Times New Roman"/>
                <w:sz w:val="21"/>
                <w:szCs w:val="21"/>
              </w:rPr>
            </w:pPr>
            <w:r w:rsidRPr="002B5221">
              <w:rPr>
                <w:rFonts w:cs="Times New Roman" w:hint="eastAsia"/>
                <w:sz w:val="21"/>
                <w:szCs w:val="21"/>
              </w:rPr>
              <w:t>二级</w:t>
            </w:r>
          </w:p>
        </w:tc>
        <w:tc>
          <w:tcPr>
            <w:tcW w:w="578" w:type="pct"/>
            <w:vMerge/>
          </w:tcPr>
          <w:p w14:paraId="27D447BA" w14:textId="77777777" w:rsidR="00EA71D4" w:rsidRDefault="00EA71D4" w:rsidP="00EA71D4">
            <w:pPr>
              <w:spacing w:line="360" w:lineRule="exact"/>
              <w:ind w:firstLineChars="0" w:firstLine="0"/>
              <w:jc w:val="center"/>
              <w:rPr>
                <w:rFonts w:cs="Times New Roman"/>
                <w:sz w:val="21"/>
                <w:szCs w:val="21"/>
              </w:rPr>
            </w:pPr>
          </w:p>
        </w:tc>
      </w:tr>
      <w:tr w:rsidR="00EA71D4" w14:paraId="5DC9DBDD" w14:textId="15D0646B" w:rsidTr="00EA71D4">
        <w:trPr>
          <w:jc w:val="center"/>
        </w:trPr>
        <w:tc>
          <w:tcPr>
            <w:tcW w:w="335" w:type="pct"/>
            <w:vMerge/>
            <w:vAlign w:val="center"/>
          </w:tcPr>
          <w:p w14:paraId="45458FF9" w14:textId="77777777" w:rsidR="00EA71D4" w:rsidRDefault="00EA71D4" w:rsidP="00EA71D4">
            <w:pPr>
              <w:spacing w:line="360" w:lineRule="exact"/>
              <w:ind w:firstLineChars="0" w:firstLine="0"/>
              <w:jc w:val="center"/>
              <w:rPr>
                <w:rFonts w:cs="Times New Roman"/>
                <w:sz w:val="21"/>
                <w:szCs w:val="21"/>
              </w:rPr>
            </w:pPr>
          </w:p>
        </w:tc>
        <w:tc>
          <w:tcPr>
            <w:tcW w:w="718" w:type="pct"/>
            <w:vAlign w:val="center"/>
          </w:tcPr>
          <w:p w14:paraId="18B11907" w14:textId="77777777" w:rsidR="00EA71D4" w:rsidRDefault="00EA71D4" w:rsidP="00EA71D4">
            <w:pPr>
              <w:spacing w:line="360" w:lineRule="exact"/>
              <w:ind w:firstLineChars="0" w:firstLine="0"/>
              <w:jc w:val="center"/>
              <w:rPr>
                <w:rFonts w:cs="Times New Roman"/>
                <w:sz w:val="21"/>
                <w:szCs w:val="21"/>
              </w:rPr>
            </w:pPr>
            <w:r>
              <w:rPr>
                <w:rFonts w:cs="Times New Roman" w:hint="eastAsia"/>
                <w:sz w:val="21"/>
                <w:szCs w:val="21"/>
              </w:rPr>
              <w:t>破碎场地</w:t>
            </w:r>
          </w:p>
        </w:tc>
        <w:tc>
          <w:tcPr>
            <w:tcW w:w="309" w:type="pct"/>
            <w:vMerge/>
            <w:vAlign w:val="center"/>
          </w:tcPr>
          <w:p w14:paraId="5D19E5A7" w14:textId="77777777" w:rsidR="00EA71D4" w:rsidRDefault="00EA71D4" w:rsidP="00EA71D4">
            <w:pPr>
              <w:spacing w:line="360" w:lineRule="exact"/>
              <w:ind w:firstLine="420"/>
              <w:jc w:val="center"/>
              <w:rPr>
                <w:rFonts w:cs="Times New Roman"/>
                <w:sz w:val="21"/>
                <w:szCs w:val="21"/>
              </w:rPr>
            </w:pPr>
          </w:p>
        </w:tc>
        <w:tc>
          <w:tcPr>
            <w:tcW w:w="585" w:type="pct"/>
            <w:vAlign w:val="center"/>
          </w:tcPr>
          <w:p w14:paraId="458C15C7" w14:textId="77777777" w:rsidR="00EA71D4" w:rsidRDefault="00EA71D4" w:rsidP="00EA71D4">
            <w:pPr>
              <w:spacing w:line="360" w:lineRule="exact"/>
              <w:ind w:firstLineChars="0" w:firstLine="0"/>
              <w:jc w:val="center"/>
              <w:rPr>
                <w:rFonts w:cs="Times New Roman"/>
                <w:sz w:val="21"/>
                <w:szCs w:val="21"/>
              </w:rPr>
            </w:pPr>
            <w:r>
              <w:rPr>
                <w:rFonts w:cs="Times New Roman" w:hint="eastAsia"/>
                <w:sz w:val="21"/>
                <w:szCs w:val="21"/>
              </w:rPr>
              <w:t>0.1719</w:t>
            </w:r>
          </w:p>
        </w:tc>
        <w:tc>
          <w:tcPr>
            <w:tcW w:w="665" w:type="pct"/>
            <w:vMerge/>
            <w:vAlign w:val="center"/>
          </w:tcPr>
          <w:p w14:paraId="2A2C5287" w14:textId="77777777" w:rsidR="00EA71D4" w:rsidRDefault="00EA71D4" w:rsidP="00EA71D4">
            <w:pPr>
              <w:spacing w:line="360" w:lineRule="exact"/>
              <w:ind w:firstLineChars="0" w:firstLine="0"/>
              <w:rPr>
                <w:rFonts w:cs="Times New Roman"/>
                <w:sz w:val="21"/>
                <w:szCs w:val="21"/>
              </w:rPr>
            </w:pPr>
          </w:p>
        </w:tc>
        <w:tc>
          <w:tcPr>
            <w:tcW w:w="804" w:type="pct"/>
            <w:tcBorders>
              <w:top w:val="single" w:sz="4" w:space="0" w:color="auto"/>
              <w:bottom w:val="single" w:sz="4" w:space="0" w:color="auto"/>
            </w:tcBorders>
            <w:vAlign w:val="center"/>
          </w:tcPr>
          <w:p w14:paraId="0166D9B7" w14:textId="77777777" w:rsidR="00EA71D4" w:rsidRDefault="00EA71D4" w:rsidP="00EA71D4">
            <w:pPr>
              <w:spacing w:line="360" w:lineRule="exact"/>
              <w:ind w:firstLineChars="0" w:firstLine="0"/>
              <w:jc w:val="center"/>
              <w:rPr>
                <w:rFonts w:cs="Times New Roman"/>
                <w:sz w:val="21"/>
                <w:szCs w:val="21"/>
              </w:rPr>
            </w:pPr>
            <w:r>
              <w:rPr>
                <w:rFonts w:cs="Times New Roman" w:hint="eastAsia"/>
                <w:sz w:val="21"/>
                <w:szCs w:val="21"/>
              </w:rPr>
              <w:t>0.0315</w:t>
            </w:r>
          </w:p>
        </w:tc>
        <w:tc>
          <w:tcPr>
            <w:tcW w:w="536" w:type="pct"/>
            <w:vAlign w:val="center"/>
          </w:tcPr>
          <w:p w14:paraId="61BAFEB2" w14:textId="77777777" w:rsidR="00EA71D4" w:rsidRDefault="00EA71D4" w:rsidP="00EA71D4">
            <w:pPr>
              <w:spacing w:line="360" w:lineRule="exact"/>
              <w:ind w:firstLineChars="0" w:firstLine="0"/>
              <w:jc w:val="center"/>
              <w:rPr>
                <w:rFonts w:cs="Times New Roman"/>
                <w:sz w:val="21"/>
                <w:szCs w:val="21"/>
              </w:rPr>
            </w:pPr>
            <w:r>
              <w:rPr>
                <w:rFonts w:cs="Times New Roman" w:hint="eastAsia"/>
                <w:sz w:val="21"/>
                <w:szCs w:val="21"/>
              </w:rPr>
              <w:t>3.50</w:t>
            </w:r>
            <w:r>
              <w:rPr>
                <w:rFonts w:cs="Times New Roman"/>
                <w:sz w:val="21"/>
                <w:szCs w:val="21"/>
              </w:rPr>
              <w:t>%</w:t>
            </w:r>
          </w:p>
        </w:tc>
        <w:tc>
          <w:tcPr>
            <w:tcW w:w="469" w:type="pct"/>
          </w:tcPr>
          <w:p w14:paraId="21EAB605" w14:textId="68ED6C7B" w:rsidR="00EA71D4" w:rsidRPr="002B5221" w:rsidRDefault="00EA71D4" w:rsidP="00EA71D4">
            <w:pPr>
              <w:spacing w:line="360" w:lineRule="exact"/>
              <w:ind w:firstLineChars="0" w:firstLine="0"/>
              <w:jc w:val="center"/>
              <w:rPr>
                <w:rFonts w:cs="Times New Roman"/>
                <w:sz w:val="21"/>
                <w:szCs w:val="21"/>
              </w:rPr>
            </w:pPr>
            <w:r w:rsidRPr="002B5221">
              <w:rPr>
                <w:rFonts w:cs="Times New Roman" w:hint="eastAsia"/>
                <w:sz w:val="21"/>
                <w:szCs w:val="21"/>
              </w:rPr>
              <w:t>二级</w:t>
            </w:r>
          </w:p>
        </w:tc>
        <w:tc>
          <w:tcPr>
            <w:tcW w:w="578" w:type="pct"/>
            <w:vMerge/>
          </w:tcPr>
          <w:p w14:paraId="76A91909" w14:textId="77777777" w:rsidR="00EA71D4" w:rsidRDefault="00EA71D4" w:rsidP="00EA71D4">
            <w:pPr>
              <w:spacing w:line="360" w:lineRule="exact"/>
              <w:ind w:firstLineChars="0" w:firstLine="0"/>
              <w:jc w:val="center"/>
              <w:rPr>
                <w:rFonts w:cs="Times New Roman"/>
                <w:sz w:val="21"/>
                <w:szCs w:val="21"/>
              </w:rPr>
            </w:pPr>
          </w:p>
        </w:tc>
      </w:tr>
      <w:tr w:rsidR="00EA71D4" w14:paraId="4868E78C" w14:textId="50326900" w:rsidTr="00EA71D4">
        <w:trPr>
          <w:trHeight w:val="62"/>
          <w:jc w:val="center"/>
        </w:trPr>
        <w:tc>
          <w:tcPr>
            <w:tcW w:w="335" w:type="pct"/>
            <w:vMerge/>
            <w:vAlign w:val="center"/>
          </w:tcPr>
          <w:p w14:paraId="2404937D" w14:textId="77777777" w:rsidR="00EA71D4" w:rsidRDefault="00EA71D4" w:rsidP="00EA71D4">
            <w:pPr>
              <w:spacing w:line="360" w:lineRule="exact"/>
              <w:ind w:firstLineChars="0" w:firstLine="0"/>
              <w:jc w:val="center"/>
              <w:rPr>
                <w:rFonts w:cs="Times New Roman"/>
                <w:sz w:val="21"/>
                <w:szCs w:val="21"/>
              </w:rPr>
            </w:pPr>
          </w:p>
        </w:tc>
        <w:tc>
          <w:tcPr>
            <w:tcW w:w="718" w:type="pct"/>
            <w:vAlign w:val="center"/>
          </w:tcPr>
          <w:p w14:paraId="5E9AF2F5" w14:textId="77777777" w:rsidR="00EA71D4" w:rsidRDefault="00EA71D4" w:rsidP="00EA71D4">
            <w:pPr>
              <w:spacing w:line="360" w:lineRule="exact"/>
              <w:ind w:firstLineChars="0" w:firstLine="0"/>
              <w:jc w:val="center"/>
              <w:rPr>
                <w:rFonts w:cs="Times New Roman"/>
                <w:sz w:val="21"/>
                <w:szCs w:val="21"/>
              </w:rPr>
            </w:pPr>
            <w:proofErr w:type="gramStart"/>
            <w:r>
              <w:rPr>
                <w:rFonts w:cs="Times New Roman" w:hint="eastAsia"/>
                <w:sz w:val="21"/>
                <w:szCs w:val="21"/>
              </w:rPr>
              <w:t>表土场</w:t>
            </w:r>
            <w:proofErr w:type="gramEnd"/>
          </w:p>
        </w:tc>
        <w:tc>
          <w:tcPr>
            <w:tcW w:w="309" w:type="pct"/>
            <w:vMerge/>
            <w:vAlign w:val="center"/>
          </w:tcPr>
          <w:p w14:paraId="796784F4" w14:textId="77777777" w:rsidR="00EA71D4" w:rsidRDefault="00EA71D4" w:rsidP="00EA71D4">
            <w:pPr>
              <w:spacing w:line="360" w:lineRule="exact"/>
              <w:ind w:firstLine="420"/>
              <w:jc w:val="center"/>
              <w:rPr>
                <w:rFonts w:cs="Times New Roman"/>
                <w:sz w:val="21"/>
                <w:szCs w:val="21"/>
              </w:rPr>
            </w:pPr>
          </w:p>
        </w:tc>
        <w:tc>
          <w:tcPr>
            <w:tcW w:w="585" w:type="pct"/>
            <w:vAlign w:val="center"/>
          </w:tcPr>
          <w:p w14:paraId="136490AF" w14:textId="77777777" w:rsidR="00EA71D4" w:rsidRDefault="00EA71D4" w:rsidP="00EA71D4">
            <w:pPr>
              <w:spacing w:line="360" w:lineRule="exact"/>
              <w:ind w:firstLineChars="0" w:firstLine="0"/>
              <w:jc w:val="center"/>
              <w:rPr>
                <w:rFonts w:cs="Times New Roman"/>
                <w:sz w:val="21"/>
                <w:szCs w:val="21"/>
              </w:rPr>
            </w:pPr>
            <w:r>
              <w:rPr>
                <w:rFonts w:cs="Times New Roman" w:hint="eastAsia"/>
                <w:sz w:val="21"/>
                <w:szCs w:val="21"/>
              </w:rPr>
              <w:t>0.1071</w:t>
            </w:r>
          </w:p>
        </w:tc>
        <w:tc>
          <w:tcPr>
            <w:tcW w:w="665" w:type="pct"/>
            <w:vMerge/>
            <w:vAlign w:val="center"/>
          </w:tcPr>
          <w:p w14:paraId="140F4FC9" w14:textId="77777777" w:rsidR="00EA71D4" w:rsidRDefault="00EA71D4" w:rsidP="00EA71D4">
            <w:pPr>
              <w:spacing w:line="360" w:lineRule="exact"/>
              <w:ind w:firstLineChars="0" w:firstLine="0"/>
              <w:rPr>
                <w:rFonts w:cs="Times New Roman"/>
                <w:sz w:val="21"/>
                <w:szCs w:val="21"/>
              </w:rPr>
            </w:pPr>
          </w:p>
        </w:tc>
        <w:tc>
          <w:tcPr>
            <w:tcW w:w="804" w:type="pct"/>
            <w:tcBorders>
              <w:top w:val="single" w:sz="4" w:space="0" w:color="auto"/>
            </w:tcBorders>
            <w:vAlign w:val="center"/>
          </w:tcPr>
          <w:p w14:paraId="2A748D11" w14:textId="77777777" w:rsidR="00EA71D4" w:rsidRDefault="00EA71D4" w:rsidP="00EA71D4">
            <w:pPr>
              <w:spacing w:line="360" w:lineRule="exact"/>
              <w:ind w:firstLineChars="0" w:firstLine="0"/>
              <w:jc w:val="center"/>
              <w:rPr>
                <w:rFonts w:cs="Times New Roman"/>
                <w:sz w:val="21"/>
                <w:szCs w:val="21"/>
              </w:rPr>
            </w:pPr>
            <w:r>
              <w:rPr>
                <w:rFonts w:cs="Times New Roman" w:hint="eastAsia"/>
                <w:sz w:val="21"/>
                <w:szCs w:val="21"/>
              </w:rPr>
              <w:t>0.0355</w:t>
            </w:r>
          </w:p>
        </w:tc>
        <w:tc>
          <w:tcPr>
            <w:tcW w:w="536" w:type="pct"/>
            <w:vAlign w:val="center"/>
          </w:tcPr>
          <w:p w14:paraId="54547DBF" w14:textId="77777777" w:rsidR="00EA71D4" w:rsidRDefault="00EA71D4" w:rsidP="00EA71D4">
            <w:pPr>
              <w:spacing w:line="360" w:lineRule="exact"/>
              <w:ind w:firstLineChars="0" w:firstLine="0"/>
              <w:jc w:val="center"/>
              <w:rPr>
                <w:rFonts w:cs="Times New Roman"/>
                <w:sz w:val="21"/>
                <w:szCs w:val="21"/>
              </w:rPr>
            </w:pPr>
            <w:r>
              <w:rPr>
                <w:rFonts w:cs="Times New Roman" w:hint="eastAsia"/>
                <w:sz w:val="21"/>
                <w:szCs w:val="21"/>
              </w:rPr>
              <w:t>3.95</w:t>
            </w:r>
            <w:r>
              <w:rPr>
                <w:rFonts w:cs="Times New Roman"/>
                <w:sz w:val="21"/>
                <w:szCs w:val="21"/>
              </w:rPr>
              <w:t>%</w:t>
            </w:r>
          </w:p>
        </w:tc>
        <w:tc>
          <w:tcPr>
            <w:tcW w:w="469" w:type="pct"/>
          </w:tcPr>
          <w:p w14:paraId="246B5CA0" w14:textId="77678E7C" w:rsidR="00EA71D4" w:rsidRPr="002B5221" w:rsidRDefault="00EA71D4" w:rsidP="00EA71D4">
            <w:pPr>
              <w:spacing w:line="360" w:lineRule="exact"/>
              <w:ind w:firstLineChars="0" w:firstLine="0"/>
              <w:jc w:val="center"/>
              <w:rPr>
                <w:rFonts w:cs="Times New Roman"/>
                <w:sz w:val="21"/>
                <w:szCs w:val="21"/>
              </w:rPr>
            </w:pPr>
            <w:r w:rsidRPr="002B5221">
              <w:rPr>
                <w:rFonts w:cs="Times New Roman" w:hint="eastAsia"/>
                <w:sz w:val="21"/>
                <w:szCs w:val="21"/>
              </w:rPr>
              <w:t>二级</w:t>
            </w:r>
          </w:p>
        </w:tc>
        <w:tc>
          <w:tcPr>
            <w:tcW w:w="578" w:type="pct"/>
            <w:vMerge/>
          </w:tcPr>
          <w:p w14:paraId="38F31338" w14:textId="77777777" w:rsidR="00EA71D4" w:rsidRDefault="00EA71D4" w:rsidP="00EA71D4">
            <w:pPr>
              <w:spacing w:line="360" w:lineRule="exact"/>
              <w:ind w:firstLineChars="0" w:firstLine="0"/>
              <w:jc w:val="center"/>
              <w:rPr>
                <w:rFonts w:cs="Times New Roman"/>
                <w:sz w:val="21"/>
                <w:szCs w:val="21"/>
              </w:rPr>
            </w:pPr>
          </w:p>
        </w:tc>
      </w:tr>
    </w:tbl>
    <w:p w14:paraId="7B87B38F" w14:textId="77777777" w:rsidR="00E579B9" w:rsidRDefault="006A1398">
      <w:pPr>
        <w:rPr>
          <w:szCs w:val="24"/>
        </w:rPr>
      </w:pPr>
      <w:r>
        <w:t>（</w:t>
      </w:r>
      <w:r>
        <w:t>2</w:t>
      </w:r>
      <w:r>
        <w:t>）地表水</w:t>
      </w:r>
    </w:p>
    <w:p w14:paraId="20005CA7" w14:textId="77777777" w:rsidR="00E579B9" w:rsidRDefault="006A1398">
      <w:pPr>
        <w:widowControl w:val="0"/>
        <w:jc w:val="both"/>
        <w:rPr>
          <w:rFonts w:cs="Times New Roman"/>
          <w:szCs w:val="24"/>
        </w:rPr>
      </w:pPr>
      <w:r>
        <w:rPr>
          <w:rFonts w:ascii="宋体" w:hAnsi="宋体" w:cs="Times New Roman" w:hint="eastAsia"/>
          <w:szCs w:val="24"/>
        </w:rPr>
        <w:t>本项目采区矿坑积水自然蒸发，不外排；生活污水经地埋式一体化污水处理系统处理后用于采区防尘洒水和绿化，不排放。本项目运营期无废水外排，根据</w:t>
      </w:r>
      <w:r>
        <w:rPr>
          <w:rFonts w:ascii="宋体" w:hAnsi="宋体" w:cs="Times New Roman"/>
          <w:szCs w:val="24"/>
        </w:rPr>
        <w:t>《环境影响评价技术导则地</w:t>
      </w:r>
      <w:r>
        <w:rPr>
          <w:rFonts w:ascii="宋体" w:hAnsi="宋体" w:cs="Times New Roman" w:hint="eastAsia"/>
          <w:szCs w:val="24"/>
        </w:rPr>
        <w:t>表</w:t>
      </w:r>
      <w:r>
        <w:rPr>
          <w:rFonts w:ascii="宋体" w:hAnsi="宋体" w:cs="Times New Roman"/>
          <w:szCs w:val="24"/>
        </w:rPr>
        <w:t>水环境》</w:t>
      </w:r>
      <w:r>
        <w:rPr>
          <w:rFonts w:ascii="宋体" w:hAnsi="宋体" w:cs="Times New Roman" w:hint="eastAsia"/>
          <w:szCs w:val="24"/>
        </w:rPr>
        <w:t>（</w:t>
      </w:r>
      <w:r>
        <w:rPr>
          <w:rFonts w:cs="Times New Roman"/>
          <w:szCs w:val="24"/>
        </w:rPr>
        <w:t>HJ/T2.3-</w:t>
      </w:r>
      <w:r>
        <w:rPr>
          <w:rFonts w:cs="Times New Roman" w:hint="eastAsia"/>
          <w:szCs w:val="24"/>
        </w:rPr>
        <w:t>2018</w:t>
      </w:r>
      <w:r>
        <w:rPr>
          <w:rFonts w:ascii="宋体" w:hAnsi="宋体" w:cs="Times New Roman" w:hint="eastAsia"/>
          <w:szCs w:val="24"/>
        </w:rPr>
        <w:t>），确定本项目地表水评价等级为三级</w:t>
      </w:r>
      <w:r>
        <w:rPr>
          <w:rFonts w:cs="Times New Roman" w:hint="eastAsia"/>
          <w:szCs w:val="24"/>
        </w:rPr>
        <w:t>B</w:t>
      </w:r>
      <w:r>
        <w:rPr>
          <w:rFonts w:ascii="宋体" w:hAnsi="宋体" w:cs="Times New Roman" w:hint="eastAsia"/>
          <w:szCs w:val="24"/>
        </w:rPr>
        <w:t>。</w:t>
      </w:r>
    </w:p>
    <w:p w14:paraId="48EF3521" w14:textId="77777777" w:rsidR="00E579B9" w:rsidRDefault="006A1398">
      <w:pPr>
        <w:rPr>
          <w:szCs w:val="24"/>
        </w:rPr>
      </w:pPr>
      <w:r>
        <w:t>（</w:t>
      </w:r>
      <w:r>
        <w:t>3</w:t>
      </w:r>
      <w:r>
        <w:t>）地下水</w:t>
      </w:r>
    </w:p>
    <w:p w14:paraId="1BD61140" w14:textId="77777777" w:rsidR="00E579B9" w:rsidRDefault="006A1398">
      <w:r>
        <w:t>根据《环境影响评价技术导则地下水环境》（</w:t>
      </w:r>
      <w:r>
        <w:t>HJ610-2016</w:t>
      </w:r>
      <w:r>
        <w:t>）中关于</w:t>
      </w:r>
      <w:r>
        <w:t>“</w:t>
      </w:r>
      <w:r>
        <w:t>根据建设项目对地下水环境影响的程度，结合《建设项目环境影响评价分类管理名录》（自</w:t>
      </w:r>
      <w:r>
        <w:t>2018</w:t>
      </w:r>
      <w:r>
        <w:t>年</w:t>
      </w:r>
      <w:r>
        <w:t>4</w:t>
      </w:r>
      <w:r>
        <w:t>月</w:t>
      </w:r>
      <w:r>
        <w:t>28</w:t>
      </w:r>
      <w:r>
        <w:t>日起施行），将建设项目分为四类，</w:t>
      </w:r>
      <w:r>
        <w:t>I</w:t>
      </w:r>
      <w:r>
        <w:t>类、</w:t>
      </w:r>
      <w:r>
        <w:t>II</w:t>
      </w:r>
      <w:r>
        <w:t>类、</w:t>
      </w:r>
      <w:r>
        <w:t>III</w:t>
      </w:r>
      <w:r>
        <w:t>类建设项目的地下水环境影响评价应执行本标准，</w:t>
      </w:r>
      <w:r>
        <w:rPr>
          <w:rFonts w:ascii="宋体" w:hAnsi="宋体" w:cs="宋体" w:hint="eastAsia"/>
        </w:rPr>
        <w:t>Ⅳ</w:t>
      </w:r>
      <w:r>
        <w:t>类建设项目不开展地下水环境影响评价</w:t>
      </w:r>
      <w:r>
        <w:t>”</w:t>
      </w:r>
      <w:r>
        <w:t>。本项目属于</w:t>
      </w:r>
      <w:r>
        <w:rPr>
          <w:rFonts w:ascii="宋体" w:hAnsi="宋体" w:cs="宋体" w:hint="eastAsia"/>
        </w:rPr>
        <w:t>Ⅳ</w:t>
      </w:r>
      <w:r>
        <w:t>类建设项目，不需开展地下水环境影响评价。</w:t>
      </w:r>
    </w:p>
    <w:p w14:paraId="7E608B0E" w14:textId="77777777" w:rsidR="00E579B9" w:rsidRDefault="006A1398">
      <w:r>
        <w:t>结合本项目实际情况，本次评价主要为项目建设对地下水水质及区域居民用水的影响进行简要分析。</w:t>
      </w:r>
    </w:p>
    <w:p w14:paraId="58C38AE0" w14:textId="77777777" w:rsidR="00E579B9" w:rsidRDefault="006A1398">
      <w:pPr>
        <w:rPr>
          <w:szCs w:val="24"/>
        </w:rPr>
      </w:pPr>
      <w:r>
        <w:t>（</w:t>
      </w:r>
      <w:r>
        <w:t>4</w:t>
      </w:r>
      <w:r>
        <w:t>）声环境</w:t>
      </w:r>
    </w:p>
    <w:p w14:paraId="60B397B4" w14:textId="77777777" w:rsidR="00E579B9" w:rsidRDefault="006A1398">
      <w:r>
        <w:t>本项目所在地为乡村，区域环境噪声执行《声环境质量标准》</w:t>
      </w:r>
      <w:r>
        <w:t>2</w:t>
      </w:r>
      <w:r>
        <w:t>类标准，主要噪声源为</w:t>
      </w:r>
      <w:r>
        <w:rPr>
          <w:bCs/>
          <w:color w:val="000000" w:themeColor="text1"/>
        </w:rPr>
        <w:t>露采区所用设备主要为潜孔钻机、挖掘机、装载机、等设备噪声、矿区内运输汽车噪声</w:t>
      </w:r>
      <w:r>
        <w:t>和爆破噪声。</w:t>
      </w:r>
    </w:p>
    <w:p w14:paraId="64CFB68B" w14:textId="77777777" w:rsidR="00E579B9" w:rsidRDefault="006A1398">
      <w:r>
        <w:t>本项目所处的声环境功能区为</w:t>
      </w:r>
      <w:r>
        <w:t>GB3096</w:t>
      </w:r>
      <w:r>
        <w:t>中的</w:t>
      </w:r>
      <w:r>
        <w:t>2</w:t>
      </w:r>
      <w:r>
        <w:t>类地区。矿区</w:t>
      </w:r>
      <w:r>
        <w:t>200m</w:t>
      </w:r>
      <w:r>
        <w:t>噪声评价范围内分布无居民，评价范围内噪声值增加量不大，且受噪声影响的人口数量不会增</w:t>
      </w:r>
      <w:r>
        <w:lastRenderedPageBreak/>
        <w:t>加。根据《环境影响评价技术导则声环境》（</w:t>
      </w:r>
      <w:r>
        <w:t>HJ/T2.4-2009</w:t>
      </w:r>
      <w:r>
        <w:t>）中有关声环境影响评价工作等级划分原则要求，确定本</w:t>
      </w:r>
      <w:proofErr w:type="gramStart"/>
      <w:r>
        <w:t>项目声</w:t>
      </w:r>
      <w:proofErr w:type="gramEnd"/>
      <w:r>
        <w:t>环境影响评价工作等级定为二级。</w:t>
      </w:r>
    </w:p>
    <w:p w14:paraId="0F9AF0C1" w14:textId="77777777" w:rsidR="00E579B9" w:rsidRDefault="006A1398">
      <w:r>
        <w:t>声环境评价范围：矿区边界向外</w:t>
      </w:r>
      <w:r>
        <w:t>200m</w:t>
      </w:r>
      <w:r>
        <w:t>范围。</w:t>
      </w:r>
    </w:p>
    <w:p w14:paraId="4612D210" w14:textId="77777777" w:rsidR="00E579B9" w:rsidRDefault="006A1398">
      <w:pPr>
        <w:rPr>
          <w:szCs w:val="24"/>
        </w:rPr>
      </w:pPr>
      <w:r>
        <w:t>（</w:t>
      </w:r>
      <w:r>
        <w:t>5</w:t>
      </w:r>
      <w:r>
        <w:t>）生态环境</w:t>
      </w:r>
    </w:p>
    <w:p w14:paraId="5B118142" w14:textId="77777777" w:rsidR="00E579B9" w:rsidRDefault="006A1398">
      <w:r>
        <w:t>根据《环境影响评价技术导则生态影响》（</w:t>
      </w:r>
      <w:r>
        <w:t>HJ19-2011</w:t>
      </w:r>
      <w:r>
        <w:t>）评价工作分级划分原则，以及项目的性质、规模及所在地区生态环境特征及功能要求，确定该项目的生态环境影响评价等级。</w:t>
      </w:r>
    </w:p>
    <w:p w14:paraId="4998ABD3" w14:textId="3AA64A6E" w:rsidR="00E579B9" w:rsidRDefault="006A1398">
      <w:r>
        <w:t>本次项目矿区面积为</w:t>
      </w:r>
      <w:r>
        <w:rPr>
          <w:rFonts w:hint="eastAsia"/>
        </w:rPr>
        <w:t>0.2965</w:t>
      </w:r>
      <w:r>
        <w:t>km</w:t>
      </w:r>
      <w:r>
        <w:rPr>
          <w:vertAlign w:val="superscript"/>
        </w:rPr>
        <w:t>2</w:t>
      </w:r>
      <w:r>
        <w:t>，</w:t>
      </w:r>
      <w:r>
        <w:rPr>
          <w:rFonts w:hint="eastAsia"/>
        </w:rPr>
        <w:t>破碎加工厂占地面积</w:t>
      </w:r>
      <w:r>
        <w:rPr>
          <w:rFonts w:hint="eastAsia"/>
        </w:rPr>
        <w:t>0.046</w:t>
      </w:r>
      <w:r>
        <w:t>km</w:t>
      </w:r>
      <w:r>
        <w:rPr>
          <w:vertAlign w:val="superscript"/>
        </w:rPr>
        <w:t>2</w:t>
      </w:r>
      <w:r>
        <w:rPr>
          <w:rFonts w:hint="eastAsia"/>
        </w:rPr>
        <w:t>，</w:t>
      </w:r>
      <w:r>
        <w:t>工程占地及工程影响范围小于</w:t>
      </w:r>
      <w:r>
        <w:t>2km</w:t>
      </w:r>
      <w:r>
        <w:rPr>
          <w:vertAlign w:val="superscript"/>
        </w:rPr>
        <w:t>2</w:t>
      </w:r>
      <w:r>
        <w:t>；不会明显改变矿区土地利用类型；项目占地及影响不涉及特殊和重要生态敏感区</w:t>
      </w:r>
      <w:r w:rsidR="00C74622">
        <w:rPr>
          <w:rFonts w:hint="eastAsia"/>
        </w:rPr>
        <w:t>，</w:t>
      </w:r>
      <w:r w:rsidR="00C74622" w:rsidRPr="002B5221">
        <w:rPr>
          <w:rFonts w:hint="eastAsia"/>
        </w:rPr>
        <w:t>本项目位于伏牛山山地丘陵保土水源涵养区，为省级水土流失重点治理区</w:t>
      </w:r>
      <w:r w:rsidRPr="002B5221">
        <w:t>。因此，项目生</w:t>
      </w:r>
      <w:r>
        <w:t>态影响评价级别定为三级。</w:t>
      </w:r>
    </w:p>
    <w:p w14:paraId="28514D27" w14:textId="77777777" w:rsidR="00E579B9" w:rsidRDefault="006A1398">
      <w:pPr>
        <w:pStyle w:val="21"/>
      </w:pPr>
      <w:r>
        <w:t>表</w:t>
      </w:r>
      <w:r>
        <w:t>2.8-3</w:t>
      </w:r>
      <w:r>
        <w:t>生态影响评价工作等级划分依据</w:t>
      </w:r>
    </w:p>
    <w:tbl>
      <w:tblPr>
        <w:tblW w:w="8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bottom w:w="57" w:type="dxa"/>
        </w:tblCellMar>
        <w:tblLook w:val="04A0" w:firstRow="1" w:lastRow="0" w:firstColumn="1" w:lastColumn="0" w:noHBand="0" w:noVBand="1"/>
      </w:tblPr>
      <w:tblGrid>
        <w:gridCol w:w="2004"/>
        <w:gridCol w:w="1892"/>
        <w:gridCol w:w="2661"/>
        <w:gridCol w:w="1940"/>
      </w:tblGrid>
      <w:tr w:rsidR="00E579B9" w14:paraId="10C9545F" w14:textId="77777777">
        <w:trPr>
          <w:trHeight w:val="284"/>
          <w:jc w:val="center"/>
        </w:trPr>
        <w:tc>
          <w:tcPr>
            <w:tcW w:w="2004" w:type="dxa"/>
            <w:vMerge w:val="restart"/>
            <w:vAlign w:val="center"/>
          </w:tcPr>
          <w:p w14:paraId="5209A7B6" w14:textId="77777777" w:rsidR="00E579B9" w:rsidRDefault="006A1398">
            <w:pPr>
              <w:pStyle w:val="aa"/>
            </w:pPr>
            <w:r>
              <w:t>影响区域生态敏感性</w:t>
            </w:r>
          </w:p>
        </w:tc>
        <w:tc>
          <w:tcPr>
            <w:tcW w:w="6493" w:type="dxa"/>
            <w:gridSpan w:val="3"/>
            <w:vAlign w:val="center"/>
          </w:tcPr>
          <w:p w14:paraId="5773CE97" w14:textId="77777777" w:rsidR="00E579B9" w:rsidRDefault="006A1398">
            <w:pPr>
              <w:pStyle w:val="aa"/>
            </w:pPr>
            <w:r>
              <w:t>工程占地（水域）范围</w:t>
            </w:r>
          </w:p>
        </w:tc>
      </w:tr>
      <w:tr w:rsidR="00E579B9" w14:paraId="2853D809" w14:textId="77777777">
        <w:trPr>
          <w:trHeight w:val="442"/>
          <w:jc w:val="center"/>
        </w:trPr>
        <w:tc>
          <w:tcPr>
            <w:tcW w:w="2004" w:type="dxa"/>
            <w:vMerge/>
            <w:vAlign w:val="center"/>
          </w:tcPr>
          <w:p w14:paraId="16B66800" w14:textId="77777777" w:rsidR="00E579B9" w:rsidRDefault="00E579B9">
            <w:pPr>
              <w:pStyle w:val="aa"/>
            </w:pPr>
          </w:p>
        </w:tc>
        <w:tc>
          <w:tcPr>
            <w:tcW w:w="1892" w:type="dxa"/>
            <w:vAlign w:val="center"/>
          </w:tcPr>
          <w:p w14:paraId="6EC09746" w14:textId="77777777" w:rsidR="00E579B9" w:rsidRDefault="006A1398">
            <w:pPr>
              <w:pStyle w:val="aa"/>
            </w:pPr>
            <w:r>
              <w:t>面积</w:t>
            </w:r>
            <w:r>
              <w:t>≥20km</w:t>
            </w:r>
            <w:r>
              <w:rPr>
                <w:vertAlign w:val="superscript"/>
              </w:rPr>
              <w:t>2</w:t>
            </w:r>
          </w:p>
          <w:p w14:paraId="6D783903" w14:textId="77777777" w:rsidR="00E579B9" w:rsidRDefault="006A1398">
            <w:pPr>
              <w:pStyle w:val="aa"/>
            </w:pPr>
            <w:r>
              <w:t>或长度</w:t>
            </w:r>
            <w:r>
              <w:t>≥100km</w:t>
            </w:r>
          </w:p>
        </w:tc>
        <w:tc>
          <w:tcPr>
            <w:tcW w:w="2661" w:type="dxa"/>
            <w:vAlign w:val="center"/>
          </w:tcPr>
          <w:p w14:paraId="3830072D" w14:textId="77777777" w:rsidR="00E579B9" w:rsidRDefault="006A1398">
            <w:pPr>
              <w:pStyle w:val="aa"/>
            </w:pPr>
            <w:r>
              <w:t>面积</w:t>
            </w:r>
            <w:r>
              <w:t>2km</w:t>
            </w:r>
            <w:r>
              <w:rPr>
                <w:vertAlign w:val="superscript"/>
              </w:rPr>
              <w:t>2</w:t>
            </w:r>
            <w:r>
              <w:t>~20km</w:t>
            </w:r>
            <w:r>
              <w:rPr>
                <w:vertAlign w:val="superscript"/>
              </w:rPr>
              <w:t>2</w:t>
            </w:r>
          </w:p>
          <w:p w14:paraId="25901028" w14:textId="77777777" w:rsidR="00E579B9" w:rsidRDefault="006A1398">
            <w:pPr>
              <w:pStyle w:val="aa"/>
            </w:pPr>
            <w:r>
              <w:t>或长度</w:t>
            </w:r>
            <w:r>
              <w:t>50km~100km</w:t>
            </w:r>
          </w:p>
        </w:tc>
        <w:tc>
          <w:tcPr>
            <w:tcW w:w="1940" w:type="dxa"/>
            <w:vAlign w:val="center"/>
          </w:tcPr>
          <w:p w14:paraId="22C89AF6" w14:textId="77777777" w:rsidR="00E579B9" w:rsidRDefault="006A1398">
            <w:pPr>
              <w:pStyle w:val="aa"/>
            </w:pPr>
            <w:r>
              <w:t>面积</w:t>
            </w:r>
            <w:r>
              <w:t>≤2km</w:t>
            </w:r>
            <w:r>
              <w:rPr>
                <w:vertAlign w:val="superscript"/>
              </w:rPr>
              <w:t>2</w:t>
            </w:r>
          </w:p>
          <w:p w14:paraId="04ED8D56" w14:textId="77777777" w:rsidR="00E579B9" w:rsidRDefault="006A1398">
            <w:pPr>
              <w:pStyle w:val="aa"/>
            </w:pPr>
            <w:r>
              <w:t>或长度</w:t>
            </w:r>
            <w:r>
              <w:t>≤50km</w:t>
            </w:r>
          </w:p>
        </w:tc>
      </w:tr>
      <w:tr w:rsidR="00E579B9" w14:paraId="0AE564F8" w14:textId="77777777">
        <w:trPr>
          <w:trHeight w:val="284"/>
          <w:jc w:val="center"/>
        </w:trPr>
        <w:tc>
          <w:tcPr>
            <w:tcW w:w="2004" w:type="dxa"/>
            <w:vAlign w:val="center"/>
          </w:tcPr>
          <w:p w14:paraId="3393A929" w14:textId="77777777" w:rsidR="00E579B9" w:rsidRDefault="006A1398">
            <w:pPr>
              <w:pStyle w:val="aa"/>
            </w:pPr>
            <w:r>
              <w:t>特殊生态敏感区</w:t>
            </w:r>
          </w:p>
        </w:tc>
        <w:tc>
          <w:tcPr>
            <w:tcW w:w="1892" w:type="dxa"/>
            <w:vAlign w:val="center"/>
          </w:tcPr>
          <w:p w14:paraId="42CD6635" w14:textId="77777777" w:rsidR="00E579B9" w:rsidRDefault="006A1398">
            <w:pPr>
              <w:pStyle w:val="aa"/>
            </w:pPr>
            <w:r>
              <w:t>一级</w:t>
            </w:r>
          </w:p>
        </w:tc>
        <w:tc>
          <w:tcPr>
            <w:tcW w:w="2661" w:type="dxa"/>
            <w:vAlign w:val="center"/>
          </w:tcPr>
          <w:p w14:paraId="5CD6D0B3" w14:textId="77777777" w:rsidR="00E579B9" w:rsidRDefault="006A1398">
            <w:pPr>
              <w:pStyle w:val="aa"/>
            </w:pPr>
            <w:r>
              <w:t>一级</w:t>
            </w:r>
          </w:p>
        </w:tc>
        <w:tc>
          <w:tcPr>
            <w:tcW w:w="1940" w:type="dxa"/>
            <w:vAlign w:val="center"/>
          </w:tcPr>
          <w:p w14:paraId="38114DE0" w14:textId="77777777" w:rsidR="00E579B9" w:rsidRDefault="006A1398">
            <w:pPr>
              <w:pStyle w:val="aa"/>
            </w:pPr>
            <w:r>
              <w:t>一级</w:t>
            </w:r>
          </w:p>
        </w:tc>
      </w:tr>
      <w:tr w:rsidR="00E579B9" w14:paraId="51B2BCFC" w14:textId="77777777">
        <w:trPr>
          <w:trHeight w:val="284"/>
          <w:jc w:val="center"/>
        </w:trPr>
        <w:tc>
          <w:tcPr>
            <w:tcW w:w="2004" w:type="dxa"/>
            <w:vAlign w:val="center"/>
          </w:tcPr>
          <w:p w14:paraId="1D5F225D" w14:textId="77777777" w:rsidR="00E579B9" w:rsidRDefault="006A1398">
            <w:pPr>
              <w:pStyle w:val="aa"/>
            </w:pPr>
            <w:r>
              <w:t>重要生态敏感区</w:t>
            </w:r>
          </w:p>
        </w:tc>
        <w:tc>
          <w:tcPr>
            <w:tcW w:w="1892" w:type="dxa"/>
            <w:vAlign w:val="center"/>
          </w:tcPr>
          <w:p w14:paraId="65B5F9F6" w14:textId="77777777" w:rsidR="00E579B9" w:rsidRDefault="006A1398">
            <w:pPr>
              <w:pStyle w:val="aa"/>
            </w:pPr>
            <w:r>
              <w:t>一级</w:t>
            </w:r>
          </w:p>
        </w:tc>
        <w:tc>
          <w:tcPr>
            <w:tcW w:w="2661" w:type="dxa"/>
            <w:vAlign w:val="center"/>
          </w:tcPr>
          <w:p w14:paraId="11434AB5" w14:textId="77777777" w:rsidR="00E579B9" w:rsidRDefault="006A1398">
            <w:pPr>
              <w:pStyle w:val="aa"/>
            </w:pPr>
            <w:r>
              <w:t>三级</w:t>
            </w:r>
          </w:p>
        </w:tc>
        <w:tc>
          <w:tcPr>
            <w:tcW w:w="1940" w:type="dxa"/>
            <w:vAlign w:val="center"/>
          </w:tcPr>
          <w:p w14:paraId="5D95AA4A" w14:textId="77777777" w:rsidR="00E579B9" w:rsidRDefault="006A1398">
            <w:pPr>
              <w:pStyle w:val="aa"/>
            </w:pPr>
            <w:r>
              <w:t>三级</w:t>
            </w:r>
          </w:p>
        </w:tc>
      </w:tr>
      <w:tr w:rsidR="00E579B9" w14:paraId="6C831474" w14:textId="77777777">
        <w:trPr>
          <w:trHeight w:val="284"/>
          <w:jc w:val="center"/>
        </w:trPr>
        <w:tc>
          <w:tcPr>
            <w:tcW w:w="2004" w:type="dxa"/>
            <w:vAlign w:val="center"/>
          </w:tcPr>
          <w:p w14:paraId="51090329" w14:textId="77777777" w:rsidR="00E579B9" w:rsidRDefault="006A1398">
            <w:pPr>
              <w:pStyle w:val="aa"/>
            </w:pPr>
            <w:r>
              <w:t>一般区域</w:t>
            </w:r>
          </w:p>
        </w:tc>
        <w:tc>
          <w:tcPr>
            <w:tcW w:w="1892" w:type="dxa"/>
            <w:vAlign w:val="center"/>
          </w:tcPr>
          <w:p w14:paraId="61CB2026" w14:textId="77777777" w:rsidR="00E579B9" w:rsidRDefault="006A1398">
            <w:pPr>
              <w:pStyle w:val="aa"/>
            </w:pPr>
            <w:r>
              <w:t>二级</w:t>
            </w:r>
          </w:p>
        </w:tc>
        <w:tc>
          <w:tcPr>
            <w:tcW w:w="2661" w:type="dxa"/>
            <w:vAlign w:val="center"/>
          </w:tcPr>
          <w:p w14:paraId="489D2CFE" w14:textId="77777777" w:rsidR="00E579B9" w:rsidRDefault="006A1398">
            <w:pPr>
              <w:pStyle w:val="aa"/>
            </w:pPr>
            <w:r>
              <w:t>三级</w:t>
            </w:r>
          </w:p>
        </w:tc>
        <w:tc>
          <w:tcPr>
            <w:tcW w:w="1940" w:type="dxa"/>
            <w:shd w:val="clear" w:color="auto" w:fill="D9D9D9" w:themeFill="background1" w:themeFillShade="D9"/>
            <w:vAlign w:val="center"/>
          </w:tcPr>
          <w:p w14:paraId="50D3E849" w14:textId="77777777" w:rsidR="00E579B9" w:rsidRDefault="006A1398">
            <w:pPr>
              <w:pStyle w:val="aa"/>
            </w:pPr>
            <w:r>
              <w:t>三级</w:t>
            </w:r>
          </w:p>
        </w:tc>
      </w:tr>
      <w:tr w:rsidR="00E579B9" w14:paraId="5BA37832" w14:textId="77777777">
        <w:trPr>
          <w:trHeight w:val="284"/>
          <w:jc w:val="center"/>
        </w:trPr>
        <w:tc>
          <w:tcPr>
            <w:tcW w:w="8497" w:type="dxa"/>
            <w:gridSpan w:val="4"/>
            <w:vAlign w:val="center"/>
          </w:tcPr>
          <w:p w14:paraId="7BB4A178" w14:textId="77777777" w:rsidR="00E579B9" w:rsidRDefault="006A1398">
            <w:pPr>
              <w:pStyle w:val="aa"/>
            </w:pPr>
            <w:r>
              <w:rPr>
                <w:b/>
              </w:rPr>
              <w:t>特殊生态敏感区：</w:t>
            </w:r>
            <w:r>
              <w:t>指具有极重要的生态服务功能，生态系统极为脆弱或已有较为严重的生态问题，如遭到占用、损失或破坏后所造成的生态影响后果严重且难以预防、生态功能难以恢复和替代的区域，包括自然保护区、世界文化和自然遗产地等。</w:t>
            </w:r>
          </w:p>
        </w:tc>
      </w:tr>
      <w:tr w:rsidR="00E579B9" w14:paraId="236091CB" w14:textId="77777777">
        <w:trPr>
          <w:trHeight w:val="543"/>
          <w:jc w:val="center"/>
        </w:trPr>
        <w:tc>
          <w:tcPr>
            <w:tcW w:w="8497" w:type="dxa"/>
            <w:gridSpan w:val="4"/>
            <w:vAlign w:val="center"/>
          </w:tcPr>
          <w:p w14:paraId="2946FCE4" w14:textId="77777777" w:rsidR="00E579B9" w:rsidRDefault="006A1398">
            <w:pPr>
              <w:pStyle w:val="aa"/>
            </w:pPr>
            <w:r>
              <w:rPr>
                <w:b/>
              </w:rPr>
              <w:t>重要生态敏感区：</w:t>
            </w:r>
            <w:r>
              <w:t>具有相对重要的生态服务功能或生态系统较为脆弱，如遭到占用、损失或破坏后所造成的生态影响后果较严重，但可以通过一定措施加以预防、恢复和替代的区域，包括风景名胜区、森林公园、地质公园、重要湿地、原始天然林、珍稀濒危野生动植物天然集中分布区、重要水生生物的自然产卵场及索饵场、越冬场和洄游通道、天然渔场等。</w:t>
            </w:r>
          </w:p>
        </w:tc>
      </w:tr>
      <w:tr w:rsidR="00E579B9" w14:paraId="2429967F" w14:textId="77777777">
        <w:trPr>
          <w:trHeight w:val="57"/>
          <w:jc w:val="center"/>
        </w:trPr>
        <w:tc>
          <w:tcPr>
            <w:tcW w:w="8497" w:type="dxa"/>
            <w:gridSpan w:val="4"/>
            <w:vAlign w:val="center"/>
          </w:tcPr>
          <w:p w14:paraId="4AC5DFDA" w14:textId="77777777" w:rsidR="00E579B9" w:rsidRDefault="006A1398">
            <w:pPr>
              <w:pStyle w:val="aa"/>
            </w:pPr>
            <w:r>
              <w:rPr>
                <w:b/>
              </w:rPr>
              <w:t>一般区域：</w:t>
            </w:r>
            <w:r>
              <w:t>除特殊生态敏感区和重要生态敏感区以外的其他区域。</w:t>
            </w:r>
          </w:p>
        </w:tc>
      </w:tr>
    </w:tbl>
    <w:p w14:paraId="6A7F59FB" w14:textId="77777777" w:rsidR="00E579B9" w:rsidRDefault="006A1398">
      <w:r>
        <w:t>生态环境评价范围：根据本项目资源及周围敏感点的分布，考虑生态系统的完整性及当地丘陵、岗地地形，根据山势走向、植被分布情况，确定的</w:t>
      </w:r>
      <w:r>
        <w:rPr>
          <w:rFonts w:hint="eastAsia"/>
        </w:rPr>
        <w:t>生态环境</w:t>
      </w:r>
      <w:r>
        <w:t>评价范围</w:t>
      </w:r>
      <w:r>
        <w:rPr>
          <w:rFonts w:hint="eastAsia"/>
        </w:rPr>
        <w:t>为</w:t>
      </w:r>
      <w:r>
        <w:rPr>
          <w:rFonts w:hint="eastAsia"/>
          <w:szCs w:val="24"/>
        </w:rPr>
        <w:t>：</w:t>
      </w:r>
      <w:r>
        <w:rPr>
          <w:rFonts w:cs="Times New Roman"/>
          <w:szCs w:val="21"/>
        </w:rPr>
        <w:t>矿区范围向外扩展</w:t>
      </w:r>
      <w:r>
        <w:rPr>
          <w:rFonts w:cs="Times New Roman"/>
          <w:szCs w:val="21"/>
        </w:rPr>
        <w:t>500</w:t>
      </w:r>
      <w:r>
        <w:rPr>
          <w:rFonts w:cs="Times New Roman" w:hint="eastAsia"/>
          <w:szCs w:val="21"/>
        </w:rPr>
        <w:t>-1000</w:t>
      </w:r>
      <w:r>
        <w:rPr>
          <w:rFonts w:cs="Times New Roman"/>
          <w:szCs w:val="21"/>
        </w:rPr>
        <w:t>m</w:t>
      </w:r>
      <w:r>
        <w:rPr>
          <w:rFonts w:cs="Times New Roman"/>
          <w:szCs w:val="21"/>
        </w:rPr>
        <w:t>左右，面积约</w:t>
      </w:r>
      <w:r>
        <w:rPr>
          <w:rFonts w:cs="Times New Roman" w:hint="eastAsia"/>
          <w:szCs w:val="21"/>
        </w:rPr>
        <w:t>295h</w:t>
      </w:r>
      <w:r>
        <w:rPr>
          <w:rFonts w:cs="Times New Roman"/>
          <w:szCs w:val="21"/>
        </w:rPr>
        <w:t>m</w:t>
      </w:r>
      <w:r>
        <w:rPr>
          <w:rFonts w:cs="Times New Roman" w:hint="eastAsia"/>
          <w:szCs w:val="21"/>
          <w:vertAlign w:val="superscript"/>
        </w:rPr>
        <w:t>2</w:t>
      </w:r>
      <w:r>
        <w:rPr>
          <w:rFonts w:cs="Times New Roman" w:hint="eastAsia"/>
          <w:szCs w:val="21"/>
        </w:rPr>
        <w:t>。</w:t>
      </w:r>
    </w:p>
    <w:p w14:paraId="32ABD5D7" w14:textId="77777777" w:rsidR="00E579B9" w:rsidRDefault="006A1398">
      <w:pPr>
        <w:rPr>
          <w:rFonts w:cs="Times New Roman"/>
          <w:szCs w:val="24"/>
        </w:rPr>
      </w:pPr>
      <w:r>
        <w:rPr>
          <w:rFonts w:ascii="宋体" w:hAnsi="宋体" w:cs="Times New Roman" w:hint="eastAsia"/>
          <w:szCs w:val="24"/>
        </w:rPr>
        <w:lastRenderedPageBreak/>
        <w:t>（</w:t>
      </w:r>
      <w:r>
        <w:rPr>
          <w:rFonts w:cs="Times New Roman" w:hint="eastAsia"/>
          <w:szCs w:val="24"/>
        </w:rPr>
        <w:t>6</w:t>
      </w:r>
      <w:r>
        <w:rPr>
          <w:rFonts w:ascii="宋体" w:hAnsi="宋体" w:cs="Times New Roman" w:hint="eastAsia"/>
          <w:szCs w:val="24"/>
        </w:rPr>
        <w:t>）土壤环境</w:t>
      </w:r>
      <w:r>
        <w:rPr>
          <w:rFonts w:ascii="宋体" w:hAnsi="宋体" w:cs="Times New Roman"/>
          <w:szCs w:val="24"/>
        </w:rPr>
        <w:t>评价等级</w:t>
      </w:r>
    </w:p>
    <w:p w14:paraId="053762EA" w14:textId="77777777" w:rsidR="00E579B9" w:rsidRDefault="006A1398">
      <w:pPr>
        <w:rPr>
          <w:rFonts w:ascii="宋体" w:hAnsi="宋体" w:cs="Times New Roman"/>
          <w:szCs w:val="24"/>
        </w:rPr>
      </w:pPr>
      <w:r>
        <w:rPr>
          <w:rFonts w:ascii="宋体" w:hAnsi="宋体" w:cs="Times New Roman"/>
          <w:szCs w:val="24"/>
        </w:rPr>
        <w:t>本项目属水泥用石大理岩矿开采项目，根据《环境影响评价技术导则土壤环境》（</w:t>
      </w:r>
      <w:r>
        <w:rPr>
          <w:rFonts w:cs="Times New Roman"/>
          <w:szCs w:val="24"/>
        </w:rPr>
        <w:t>HJ964-2018</w:t>
      </w:r>
      <w:r>
        <w:rPr>
          <w:rFonts w:ascii="宋体" w:hAnsi="宋体" w:cs="Times New Roman"/>
          <w:szCs w:val="24"/>
        </w:rPr>
        <w:t>）中附录</w:t>
      </w:r>
      <w:r>
        <w:rPr>
          <w:rFonts w:cs="Times New Roman"/>
          <w:szCs w:val="24"/>
        </w:rPr>
        <w:t>A</w:t>
      </w:r>
      <w:r>
        <w:rPr>
          <w:rFonts w:ascii="宋体" w:hAnsi="宋体" w:cs="Times New Roman"/>
          <w:szCs w:val="24"/>
        </w:rPr>
        <w:t>，本项目属</w:t>
      </w:r>
      <w:r>
        <w:rPr>
          <w:rFonts w:ascii="宋体" w:hAnsi="宋体" w:cs="Times New Roman" w:hint="eastAsia"/>
          <w:szCs w:val="24"/>
        </w:rPr>
        <w:t>Ⅲ</w:t>
      </w:r>
      <w:r>
        <w:rPr>
          <w:rFonts w:ascii="宋体" w:hAnsi="宋体" w:cs="Times New Roman"/>
          <w:szCs w:val="24"/>
        </w:rPr>
        <w:t>类项目，具体判定见表</w:t>
      </w:r>
      <w:r>
        <w:rPr>
          <w:rFonts w:cs="Times New Roman"/>
          <w:szCs w:val="24"/>
        </w:rPr>
        <w:t>2.8-4</w:t>
      </w:r>
      <w:r>
        <w:rPr>
          <w:rFonts w:ascii="宋体" w:hAnsi="宋体" w:cs="Times New Roman"/>
          <w:szCs w:val="24"/>
        </w:rPr>
        <w:t>。</w:t>
      </w:r>
    </w:p>
    <w:p w14:paraId="38DA5B43" w14:textId="77777777" w:rsidR="00E579B9" w:rsidRDefault="006A1398">
      <w:pPr>
        <w:widowControl w:val="0"/>
        <w:spacing w:line="520" w:lineRule="exact"/>
        <w:jc w:val="center"/>
        <w:rPr>
          <w:rFonts w:eastAsia="黑体" w:hAnsi="Calibri" w:cs="Times New Roman"/>
          <w:kern w:val="0"/>
          <w:szCs w:val="24"/>
        </w:rPr>
      </w:pPr>
      <w:r>
        <w:rPr>
          <w:rFonts w:ascii="黑体" w:eastAsia="黑体" w:hAnsi="黑体" w:cs="Times New Roman"/>
          <w:kern w:val="0"/>
          <w:szCs w:val="24"/>
        </w:rPr>
        <w:t>表</w:t>
      </w:r>
      <w:r>
        <w:rPr>
          <w:rFonts w:eastAsia="黑体" w:hAnsi="Calibri" w:cs="宋体"/>
          <w:kern w:val="0"/>
          <w:szCs w:val="24"/>
        </w:rPr>
        <w:t>2.8-4</w:t>
      </w:r>
      <w:r>
        <w:rPr>
          <w:rFonts w:ascii="黑体" w:eastAsia="黑体" w:hAnsi="黑体" w:cs="宋体" w:hint="eastAsia"/>
          <w:kern w:val="0"/>
          <w:szCs w:val="24"/>
        </w:rPr>
        <w:t>土壤环境影响评价项目类别</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702"/>
        <w:gridCol w:w="2975"/>
        <w:gridCol w:w="1379"/>
        <w:gridCol w:w="1789"/>
      </w:tblGrid>
      <w:tr w:rsidR="00E579B9" w14:paraId="2EA47B4E" w14:textId="77777777">
        <w:tc>
          <w:tcPr>
            <w:tcW w:w="1101" w:type="dxa"/>
            <w:vMerge w:val="restart"/>
            <w:tcBorders>
              <w:top w:val="single" w:sz="4" w:space="0" w:color="000000"/>
              <w:left w:val="single" w:sz="4" w:space="0" w:color="000000"/>
              <w:bottom w:val="single" w:sz="4" w:space="0" w:color="000000"/>
              <w:right w:val="single" w:sz="4" w:space="0" w:color="000000"/>
            </w:tcBorders>
            <w:vAlign w:val="center"/>
          </w:tcPr>
          <w:p w14:paraId="2BEBF248"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行业类别</w:t>
            </w:r>
          </w:p>
        </w:tc>
        <w:tc>
          <w:tcPr>
            <w:tcW w:w="7845" w:type="dxa"/>
            <w:gridSpan w:val="4"/>
            <w:tcBorders>
              <w:top w:val="single" w:sz="4" w:space="0" w:color="000000"/>
              <w:left w:val="nil"/>
              <w:bottom w:val="single" w:sz="4" w:space="0" w:color="000000"/>
              <w:right w:val="single" w:sz="4" w:space="0" w:color="000000"/>
            </w:tcBorders>
            <w:vAlign w:val="center"/>
          </w:tcPr>
          <w:p w14:paraId="15BA7EF0"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项目类别</w:t>
            </w:r>
          </w:p>
        </w:tc>
      </w:tr>
      <w:tr w:rsidR="00E579B9" w14:paraId="1E8D0EFC" w14:textId="77777777">
        <w:tc>
          <w:tcPr>
            <w:tcW w:w="1101" w:type="dxa"/>
            <w:vMerge/>
            <w:tcBorders>
              <w:top w:val="single" w:sz="4" w:space="0" w:color="000000"/>
              <w:left w:val="single" w:sz="4" w:space="0" w:color="000000"/>
              <w:bottom w:val="single" w:sz="4" w:space="0" w:color="000000"/>
              <w:right w:val="single" w:sz="4" w:space="0" w:color="000000"/>
            </w:tcBorders>
            <w:vAlign w:val="center"/>
          </w:tcPr>
          <w:p w14:paraId="771B2910" w14:textId="77777777" w:rsidR="00E579B9" w:rsidRDefault="00E579B9">
            <w:pPr>
              <w:spacing w:line="240" w:lineRule="auto"/>
              <w:ind w:firstLineChars="0" w:firstLine="0"/>
              <w:rPr>
                <w:rFonts w:cs="Times New Roman"/>
                <w:sz w:val="21"/>
                <w:szCs w:val="21"/>
              </w:rPr>
            </w:pPr>
          </w:p>
        </w:tc>
        <w:tc>
          <w:tcPr>
            <w:tcW w:w="1702" w:type="dxa"/>
            <w:tcBorders>
              <w:top w:val="single" w:sz="4" w:space="0" w:color="000000"/>
              <w:left w:val="nil"/>
              <w:bottom w:val="single" w:sz="4" w:space="0" w:color="000000"/>
              <w:right w:val="single" w:sz="4" w:space="0" w:color="000000"/>
            </w:tcBorders>
            <w:vAlign w:val="center"/>
          </w:tcPr>
          <w:p w14:paraId="680340D3" w14:textId="77777777" w:rsidR="00E579B9" w:rsidRDefault="006A1398">
            <w:pPr>
              <w:widowControl w:val="0"/>
              <w:spacing w:line="360" w:lineRule="exact"/>
              <w:ind w:firstLineChars="0" w:firstLine="0"/>
              <w:jc w:val="center"/>
              <w:rPr>
                <w:rFonts w:cs="Times New Roman"/>
                <w:sz w:val="21"/>
                <w:szCs w:val="21"/>
              </w:rPr>
            </w:pPr>
            <w:r>
              <w:rPr>
                <w:rFonts w:ascii="宋体" w:hAnsi="宋体" w:cs="Times New Roman" w:hint="eastAsia"/>
                <w:sz w:val="21"/>
                <w:szCs w:val="21"/>
              </w:rPr>
              <w:t>Ⅰ</w:t>
            </w:r>
            <w:r>
              <w:rPr>
                <w:rFonts w:cs="Times New Roman"/>
                <w:sz w:val="21"/>
                <w:szCs w:val="21"/>
              </w:rPr>
              <w:t>类</w:t>
            </w:r>
          </w:p>
        </w:tc>
        <w:tc>
          <w:tcPr>
            <w:tcW w:w="2975" w:type="dxa"/>
            <w:tcBorders>
              <w:top w:val="single" w:sz="4" w:space="0" w:color="000000"/>
              <w:left w:val="nil"/>
              <w:bottom w:val="single" w:sz="4" w:space="0" w:color="000000"/>
              <w:right w:val="single" w:sz="4" w:space="0" w:color="000000"/>
            </w:tcBorders>
            <w:vAlign w:val="center"/>
          </w:tcPr>
          <w:p w14:paraId="5FDABBC9" w14:textId="77777777" w:rsidR="00E579B9" w:rsidRDefault="006A1398">
            <w:pPr>
              <w:widowControl w:val="0"/>
              <w:spacing w:line="360" w:lineRule="exact"/>
              <w:ind w:firstLineChars="0" w:firstLine="0"/>
              <w:jc w:val="center"/>
              <w:rPr>
                <w:rFonts w:cs="Times New Roman"/>
                <w:sz w:val="21"/>
                <w:szCs w:val="21"/>
              </w:rPr>
            </w:pPr>
            <w:r>
              <w:rPr>
                <w:rFonts w:ascii="宋体" w:hAnsi="宋体" w:cs="Times New Roman" w:hint="eastAsia"/>
                <w:sz w:val="21"/>
                <w:szCs w:val="21"/>
              </w:rPr>
              <w:t>Ⅱ</w:t>
            </w:r>
            <w:r>
              <w:rPr>
                <w:rFonts w:cs="Times New Roman"/>
                <w:sz w:val="21"/>
                <w:szCs w:val="21"/>
              </w:rPr>
              <w:t>类</w:t>
            </w:r>
          </w:p>
        </w:tc>
        <w:tc>
          <w:tcPr>
            <w:tcW w:w="1379" w:type="dxa"/>
            <w:tcBorders>
              <w:top w:val="single" w:sz="4" w:space="0" w:color="000000"/>
              <w:left w:val="nil"/>
              <w:bottom w:val="single" w:sz="4" w:space="0" w:color="000000"/>
              <w:right w:val="single" w:sz="4" w:space="0" w:color="000000"/>
            </w:tcBorders>
            <w:vAlign w:val="center"/>
          </w:tcPr>
          <w:p w14:paraId="656305C1" w14:textId="77777777" w:rsidR="00E579B9" w:rsidRDefault="006A1398">
            <w:pPr>
              <w:widowControl w:val="0"/>
              <w:spacing w:line="360" w:lineRule="exact"/>
              <w:ind w:firstLineChars="0" w:firstLine="0"/>
              <w:jc w:val="center"/>
              <w:rPr>
                <w:rFonts w:cs="Times New Roman"/>
                <w:b/>
                <w:bCs/>
                <w:sz w:val="21"/>
                <w:szCs w:val="21"/>
              </w:rPr>
            </w:pPr>
            <w:r>
              <w:rPr>
                <w:rFonts w:ascii="宋体" w:hAnsi="宋体" w:cs="Times New Roman" w:hint="eastAsia"/>
                <w:b/>
                <w:bCs/>
                <w:sz w:val="21"/>
                <w:szCs w:val="21"/>
              </w:rPr>
              <w:t>Ⅲ</w:t>
            </w:r>
            <w:r>
              <w:rPr>
                <w:rFonts w:cs="Times New Roman"/>
                <w:b/>
                <w:bCs/>
                <w:sz w:val="21"/>
                <w:szCs w:val="21"/>
              </w:rPr>
              <w:t>类</w:t>
            </w:r>
          </w:p>
        </w:tc>
        <w:tc>
          <w:tcPr>
            <w:tcW w:w="1789" w:type="dxa"/>
            <w:tcBorders>
              <w:top w:val="single" w:sz="4" w:space="0" w:color="000000"/>
              <w:left w:val="nil"/>
              <w:bottom w:val="single" w:sz="4" w:space="0" w:color="000000"/>
              <w:right w:val="single" w:sz="4" w:space="0" w:color="000000"/>
            </w:tcBorders>
            <w:vAlign w:val="center"/>
          </w:tcPr>
          <w:p w14:paraId="22E0A0FF" w14:textId="77777777" w:rsidR="00E579B9" w:rsidRDefault="006A1398">
            <w:pPr>
              <w:widowControl w:val="0"/>
              <w:spacing w:line="360" w:lineRule="exact"/>
              <w:ind w:firstLineChars="0" w:firstLine="0"/>
              <w:jc w:val="center"/>
              <w:rPr>
                <w:rFonts w:cs="Times New Roman"/>
                <w:sz w:val="21"/>
                <w:szCs w:val="21"/>
              </w:rPr>
            </w:pPr>
            <w:r>
              <w:rPr>
                <w:rFonts w:ascii="宋体" w:hAnsi="宋体" w:cs="Times New Roman" w:hint="eastAsia"/>
                <w:sz w:val="21"/>
                <w:szCs w:val="21"/>
              </w:rPr>
              <w:t>Ⅳ</w:t>
            </w:r>
            <w:r>
              <w:rPr>
                <w:rFonts w:cs="Times New Roman"/>
                <w:sz w:val="21"/>
                <w:szCs w:val="21"/>
              </w:rPr>
              <w:t>类</w:t>
            </w:r>
          </w:p>
        </w:tc>
      </w:tr>
      <w:tr w:rsidR="00E579B9" w14:paraId="5D265F1E" w14:textId="77777777">
        <w:tc>
          <w:tcPr>
            <w:tcW w:w="1101" w:type="dxa"/>
            <w:tcBorders>
              <w:top w:val="single" w:sz="4" w:space="0" w:color="000000"/>
              <w:left w:val="single" w:sz="4" w:space="0" w:color="000000"/>
              <w:bottom w:val="single" w:sz="4" w:space="0" w:color="000000"/>
              <w:right w:val="single" w:sz="4" w:space="0" w:color="000000"/>
            </w:tcBorders>
            <w:vAlign w:val="center"/>
          </w:tcPr>
          <w:p w14:paraId="2484A3CE"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采矿业</w:t>
            </w:r>
          </w:p>
        </w:tc>
        <w:tc>
          <w:tcPr>
            <w:tcW w:w="1702" w:type="dxa"/>
            <w:tcBorders>
              <w:top w:val="single" w:sz="4" w:space="0" w:color="000000"/>
              <w:left w:val="nil"/>
              <w:bottom w:val="single" w:sz="4" w:space="0" w:color="000000"/>
              <w:right w:val="single" w:sz="4" w:space="0" w:color="000000"/>
            </w:tcBorders>
            <w:vAlign w:val="center"/>
          </w:tcPr>
          <w:p w14:paraId="0F8CC98A"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金属矿、石油、页岩油开采</w:t>
            </w:r>
          </w:p>
        </w:tc>
        <w:tc>
          <w:tcPr>
            <w:tcW w:w="2975" w:type="dxa"/>
            <w:tcBorders>
              <w:top w:val="single" w:sz="4" w:space="0" w:color="000000"/>
              <w:left w:val="nil"/>
              <w:bottom w:val="single" w:sz="4" w:space="0" w:color="000000"/>
              <w:right w:val="single" w:sz="4" w:space="0" w:color="000000"/>
            </w:tcBorders>
            <w:vAlign w:val="center"/>
          </w:tcPr>
          <w:p w14:paraId="271C7359"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化学矿采选；石棉矿采选；煤矿采选、天然气开采、页岩气开采、砂岩气开采、煤层气开采（含净化、液化）</w:t>
            </w:r>
          </w:p>
        </w:tc>
        <w:tc>
          <w:tcPr>
            <w:tcW w:w="1379" w:type="dxa"/>
            <w:tcBorders>
              <w:top w:val="single" w:sz="4" w:space="0" w:color="000000"/>
              <w:left w:val="nil"/>
              <w:bottom w:val="single" w:sz="4" w:space="0" w:color="000000"/>
              <w:right w:val="single" w:sz="4" w:space="0" w:color="000000"/>
            </w:tcBorders>
            <w:vAlign w:val="center"/>
          </w:tcPr>
          <w:p w14:paraId="0981EA5D" w14:textId="77777777" w:rsidR="00E579B9" w:rsidRDefault="006A1398">
            <w:pPr>
              <w:widowControl w:val="0"/>
              <w:spacing w:line="360" w:lineRule="exact"/>
              <w:ind w:firstLineChars="0" w:firstLine="0"/>
              <w:jc w:val="center"/>
              <w:rPr>
                <w:rFonts w:cs="Times New Roman"/>
                <w:b/>
                <w:bCs/>
                <w:sz w:val="21"/>
                <w:szCs w:val="21"/>
              </w:rPr>
            </w:pPr>
            <w:r>
              <w:rPr>
                <w:rFonts w:cs="Times New Roman"/>
                <w:b/>
                <w:bCs/>
                <w:sz w:val="21"/>
                <w:szCs w:val="21"/>
              </w:rPr>
              <w:t>其他</w:t>
            </w:r>
          </w:p>
        </w:tc>
        <w:tc>
          <w:tcPr>
            <w:tcW w:w="1789" w:type="dxa"/>
            <w:tcBorders>
              <w:top w:val="single" w:sz="4" w:space="0" w:color="000000"/>
              <w:left w:val="nil"/>
              <w:bottom w:val="single" w:sz="4" w:space="0" w:color="000000"/>
              <w:right w:val="single" w:sz="4" w:space="0" w:color="000000"/>
            </w:tcBorders>
            <w:vAlign w:val="center"/>
          </w:tcPr>
          <w:p w14:paraId="58089AC5"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w:t>
            </w:r>
          </w:p>
        </w:tc>
      </w:tr>
    </w:tbl>
    <w:p w14:paraId="241BDCCA" w14:textId="77777777" w:rsidR="00E579B9" w:rsidRDefault="006A1398">
      <w:pPr>
        <w:widowControl w:val="0"/>
        <w:spacing w:line="520" w:lineRule="exact"/>
        <w:jc w:val="both"/>
        <w:rPr>
          <w:rFonts w:cs="Times New Roman"/>
          <w:szCs w:val="24"/>
        </w:rPr>
      </w:pPr>
      <w:r>
        <w:rPr>
          <w:rFonts w:ascii="宋体" w:hAnsi="宋体" w:cs="Times New Roman" w:hint="eastAsia"/>
          <w:szCs w:val="24"/>
        </w:rPr>
        <w:t>本项目属生态影响型项目，项目所在地土壤环境敏感程度判定依据见表</w:t>
      </w:r>
      <w:r>
        <w:rPr>
          <w:rFonts w:cs="Times New Roman"/>
          <w:szCs w:val="24"/>
        </w:rPr>
        <w:t>2.8-5</w:t>
      </w:r>
      <w:r>
        <w:rPr>
          <w:rFonts w:ascii="宋体" w:hAnsi="宋体" w:cs="Times New Roman" w:hint="eastAsia"/>
          <w:szCs w:val="24"/>
        </w:rPr>
        <w:t>。</w:t>
      </w:r>
    </w:p>
    <w:p w14:paraId="5BF1F185" w14:textId="77777777" w:rsidR="00E579B9" w:rsidRDefault="006A1398">
      <w:pPr>
        <w:widowControl w:val="0"/>
        <w:spacing w:line="520" w:lineRule="exact"/>
        <w:jc w:val="center"/>
        <w:rPr>
          <w:rFonts w:eastAsia="黑体" w:hAnsi="Calibri" w:cs="Times New Roman"/>
          <w:kern w:val="0"/>
          <w:szCs w:val="24"/>
        </w:rPr>
      </w:pPr>
      <w:r>
        <w:rPr>
          <w:rFonts w:ascii="黑体" w:eastAsia="黑体" w:hAnsi="黑体" w:cs="Times New Roman"/>
          <w:kern w:val="0"/>
          <w:szCs w:val="24"/>
        </w:rPr>
        <w:t>表</w:t>
      </w:r>
      <w:r>
        <w:rPr>
          <w:rFonts w:eastAsia="黑体" w:hAnsi="Calibri" w:cs="宋体"/>
          <w:kern w:val="0"/>
          <w:szCs w:val="24"/>
        </w:rPr>
        <w:t>2.8-5</w:t>
      </w:r>
      <w:r>
        <w:rPr>
          <w:rFonts w:ascii="黑体" w:eastAsia="黑体" w:hAnsi="黑体" w:cs="宋体" w:hint="eastAsia"/>
          <w:kern w:val="0"/>
          <w:szCs w:val="24"/>
        </w:rPr>
        <w:t>生态影响型敏感程度分级表</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5528"/>
        <w:gridCol w:w="1276"/>
        <w:gridCol w:w="1041"/>
      </w:tblGrid>
      <w:tr w:rsidR="00E579B9" w14:paraId="3B678651" w14:textId="77777777">
        <w:tc>
          <w:tcPr>
            <w:tcW w:w="1101" w:type="dxa"/>
            <w:vMerge w:val="restart"/>
            <w:tcBorders>
              <w:top w:val="single" w:sz="4" w:space="0" w:color="000000"/>
              <w:left w:val="single" w:sz="4" w:space="0" w:color="000000"/>
              <w:bottom w:val="single" w:sz="4" w:space="0" w:color="000000"/>
              <w:right w:val="single" w:sz="4" w:space="0" w:color="000000"/>
            </w:tcBorders>
            <w:vAlign w:val="center"/>
          </w:tcPr>
          <w:p w14:paraId="6BCB67B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敏感程度</w:t>
            </w:r>
          </w:p>
        </w:tc>
        <w:tc>
          <w:tcPr>
            <w:tcW w:w="7845" w:type="dxa"/>
            <w:gridSpan w:val="3"/>
            <w:tcBorders>
              <w:top w:val="single" w:sz="4" w:space="0" w:color="000000"/>
              <w:left w:val="nil"/>
              <w:bottom w:val="single" w:sz="4" w:space="0" w:color="000000"/>
              <w:right w:val="single" w:sz="4" w:space="0" w:color="000000"/>
            </w:tcBorders>
            <w:vAlign w:val="center"/>
          </w:tcPr>
          <w:p w14:paraId="75579121"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判别依据</w:t>
            </w:r>
          </w:p>
        </w:tc>
      </w:tr>
      <w:tr w:rsidR="00E579B9" w14:paraId="3B8263CD" w14:textId="77777777">
        <w:tc>
          <w:tcPr>
            <w:tcW w:w="1101" w:type="dxa"/>
            <w:vMerge/>
            <w:tcBorders>
              <w:top w:val="single" w:sz="4" w:space="0" w:color="000000"/>
              <w:left w:val="single" w:sz="4" w:space="0" w:color="000000"/>
              <w:bottom w:val="single" w:sz="4" w:space="0" w:color="000000"/>
              <w:right w:val="single" w:sz="4" w:space="0" w:color="000000"/>
            </w:tcBorders>
            <w:vAlign w:val="center"/>
          </w:tcPr>
          <w:p w14:paraId="0D98977D" w14:textId="77777777" w:rsidR="00E579B9" w:rsidRDefault="00E579B9">
            <w:pPr>
              <w:spacing w:line="240" w:lineRule="auto"/>
              <w:ind w:firstLineChars="0" w:firstLine="0"/>
              <w:rPr>
                <w:rFonts w:cs="Times New Roman"/>
                <w:sz w:val="21"/>
                <w:szCs w:val="21"/>
              </w:rPr>
            </w:pPr>
          </w:p>
        </w:tc>
        <w:tc>
          <w:tcPr>
            <w:tcW w:w="5528" w:type="dxa"/>
            <w:tcBorders>
              <w:top w:val="single" w:sz="4" w:space="0" w:color="000000"/>
              <w:left w:val="nil"/>
              <w:bottom w:val="single" w:sz="4" w:space="0" w:color="000000"/>
              <w:right w:val="single" w:sz="4" w:space="0" w:color="000000"/>
            </w:tcBorders>
            <w:vAlign w:val="center"/>
          </w:tcPr>
          <w:p w14:paraId="31F8438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盐化</w:t>
            </w:r>
          </w:p>
        </w:tc>
        <w:tc>
          <w:tcPr>
            <w:tcW w:w="1276" w:type="dxa"/>
            <w:tcBorders>
              <w:top w:val="single" w:sz="4" w:space="0" w:color="000000"/>
              <w:left w:val="nil"/>
              <w:bottom w:val="single" w:sz="4" w:space="0" w:color="000000"/>
              <w:right w:val="single" w:sz="4" w:space="0" w:color="000000"/>
            </w:tcBorders>
            <w:vAlign w:val="center"/>
          </w:tcPr>
          <w:p w14:paraId="1C430622"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酸化</w:t>
            </w:r>
          </w:p>
        </w:tc>
        <w:tc>
          <w:tcPr>
            <w:tcW w:w="1041" w:type="dxa"/>
            <w:tcBorders>
              <w:top w:val="single" w:sz="4" w:space="0" w:color="000000"/>
              <w:left w:val="nil"/>
              <w:bottom w:val="single" w:sz="4" w:space="0" w:color="000000"/>
              <w:right w:val="single" w:sz="4" w:space="0" w:color="000000"/>
            </w:tcBorders>
            <w:vAlign w:val="center"/>
          </w:tcPr>
          <w:p w14:paraId="524EFE66"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碱化</w:t>
            </w:r>
          </w:p>
        </w:tc>
      </w:tr>
      <w:tr w:rsidR="00E579B9" w14:paraId="6F9B775E" w14:textId="77777777">
        <w:tc>
          <w:tcPr>
            <w:tcW w:w="1101" w:type="dxa"/>
            <w:tcBorders>
              <w:top w:val="single" w:sz="4" w:space="0" w:color="000000"/>
              <w:left w:val="single" w:sz="4" w:space="0" w:color="000000"/>
              <w:bottom w:val="single" w:sz="4" w:space="0" w:color="000000"/>
              <w:right w:val="single" w:sz="4" w:space="0" w:color="000000"/>
            </w:tcBorders>
            <w:vAlign w:val="center"/>
          </w:tcPr>
          <w:p w14:paraId="143B73A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敏感</w:t>
            </w:r>
          </w:p>
        </w:tc>
        <w:tc>
          <w:tcPr>
            <w:tcW w:w="5528" w:type="dxa"/>
            <w:tcBorders>
              <w:top w:val="single" w:sz="4" w:space="0" w:color="000000"/>
              <w:left w:val="nil"/>
              <w:bottom w:val="single" w:sz="4" w:space="0" w:color="000000"/>
              <w:right w:val="single" w:sz="4" w:space="0" w:color="000000"/>
            </w:tcBorders>
            <w:vAlign w:val="center"/>
          </w:tcPr>
          <w:p w14:paraId="47D0D91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建设项目所在地干燥度</w:t>
            </w:r>
            <w:r>
              <w:rPr>
                <w:rFonts w:cs="Times New Roman" w:hint="eastAsia"/>
                <w:sz w:val="21"/>
                <w:szCs w:val="21"/>
                <w:vertAlign w:val="superscript"/>
              </w:rPr>
              <w:t>①</w:t>
            </w:r>
            <w:r>
              <w:rPr>
                <w:rFonts w:cs="Times New Roman" w:hint="eastAsia"/>
                <w:sz w:val="21"/>
                <w:szCs w:val="21"/>
              </w:rPr>
              <w:t>＞</w:t>
            </w:r>
            <w:r>
              <w:rPr>
                <w:rFonts w:cs="Times New Roman" w:hint="eastAsia"/>
                <w:sz w:val="21"/>
                <w:szCs w:val="21"/>
              </w:rPr>
              <w:t>2.5</w:t>
            </w:r>
            <w:r>
              <w:rPr>
                <w:rFonts w:ascii="宋体" w:hAnsi="宋体" w:cs="Times New Roman" w:hint="eastAsia"/>
                <w:sz w:val="21"/>
                <w:szCs w:val="21"/>
              </w:rPr>
              <w:t>且常年地下水位平均埋深＜</w:t>
            </w:r>
            <w:r>
              <w:rPr>
                <w:rFonts w:cs="Times New Roman" w:hint="eastAsia"/>
                <w:sz w:val="21"/>
                <w:szCs w:val="21"/>
              </w:rPr>
              <w:t>1.5m</w:t>
            </w:r>
            <w:r>
              <w:rPr>
                <w:rFonts w:ascii="宋体" w:hAnsi="宋体" w:cs="Times New Roman" w:hint="eastAsia"/>
                <w:sz w:val="21"/>
                <w:szCs w:val="21"/>
              </w:rPr>
              <w:t>的地势平坦区域；或土壤含盐量＞</w:t>
            </w:r>
            <w:r>
              <w:rPr>
                <w:rFonts w:cs="Times New Roman" w:hint="eastAsia"/>
                <w:sz w:val="21"/>
                <w:szCs w:val="21"/>
              </w:rPr>
              <w:t>4g/kg</w:t>
            </w:r>
            <w:r>
              <w:rPr>
                <w:rFonts w:ascii="宋体" w:hAnsi="宋体" w:cs="Times New Roman" w:hint="eastAsia"/>
                <w:sz w:val="21"/>
                <w:szCs w:val="21"/>
              </w:rPr>
              <w:t>的区域</w:t>
            </w:r>
          </w:p>
        </w:tc>
        <w:tc>
          <w:tcPr>
            <w:tcW w:w="1276" w:type="dxa"/>
            <w:tcBorders>
              <w:top w:val="single" w:sz="4" w:space="0" w:color="000000"/>
              <w:left w:val="nil"/>
              <w:bottom w:val="single" w:sz="4" w:space="0" w:color="000000"/>
              <w:right w:val="single" w:sz="4" w:space="0" w:color="000000"/>
            </w:tcBorders>
            <w:vAlign w:val="center"/>
          </w:tcPr>
          <w:p w14:paraId="3225E24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pH</w:t>
            </w:r>
            <w:r>
              <w:rPr>
                <w:rFonts w:ascii="宋体" w:hAnsi="宋体" w:cs="Times New Roman" w:hint="eastAsia"/>
                <w:sz w:val="21"/>
                <w:szCs w:val="21"/>
              </w:rPr>
              <w:t>≤</w:t>
            </w:r>
            <w:r>
              <w:rPr>
                <w:rFonts w:cs="Times New Roman" w:hint="eastAsia"/>
                <w:sz w:val="21"/>
                <w:szCs w:val="21"/>
              </w:rPr>
              <w:t>4.5</w:t>
            </w:r>
          </w:p>
        </w:tc>
        <w:tc>
          <w:tcPr>
            <w:tcW w:w="1041" w:type="dxa"/>
            <w:tcBorders>
              <w:top w:val="single" w:sz="4" w:space="0" w:color="000000"/>
              <w:left w:val="nil"/>
              <w:bottom w:val="single" w:sz="4" w:space="0" w:color="000000"/>
              <w:right w:val="single" w:sz="4" w:space="0" w:color="000000"/>
            </w:tcBorders>
            <w:vAlign w:val="center"/>
          </w:tcPr>
          <w:p w14:paraId="7266DF8F"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pH</w:t>
            </w:r>
            <w:r>
              <w:rPr>
                <w:rFonts w:ascii="宋体" w:hAnsi="宋体" w:cs="Times New Roman" w:hint="eastAsia"/>
                <w:sz w:val="21"/>
                <w:szCs w:val="21"/>
              </w:rPr>
              <w:t>≥</w:t>
            </w:r>
            <w:r>
              <w:rPr>
                <w:rFonts w:cs="Times New Roman" w:hint="eastAsia"/>
                <w:sz w:val="21"/>
                <w:szCs w:val="21"/>
              </w:rPr>
              <w:t>9.0</w:t>
            </w:r>
          </w:p>
        </w:tc>
      </w:tr>
      <w:tr w:rsidR="00E579B9" w14:paraId="30940A5D" w14:textId="77777777">
        <w:tc>
          <w:tcPr>
            <w:tcW w:w="1101" w:type="dxa"/>
            <w:tcBorders>
              <w:top w:val="single" w:sz="4" w:space="0" w:color="000000"/>
              <w:left w:val="single" w:sz="4" w:space="0" w:color="000000"/>
              <w:bottom w:val="single" w:sz="4" w:space="0" w:color="000000"/>
              <w:right w:val="single" w:sz="4" w:space="0" w:color="000000"/>
            </w:tcBorders>
            <w:vAlign w:val="center"/>
          </w:tcPr>
          <w:p w14:paraId="3A3F4C42"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较敏感</w:t>
            </w:r>
          </w:p>
        </w:tc>
        <w:tc>
          <w:tcPr>
            <w:tcW w:w="5528" w:type="dxa"/>
            <w:tcBorders>
              <w:top w:val="single" w:sz="4" w:space="0" w:color="000000"/>
              <w:left w:val="nil"/>
              <w:bottom w:val="single" w:sz="4" w:space="0" w:color="000000"/>
              <w:right w:val="single" w:sz="4" w:space="0" w:color="000000"/>
            </w:tcBorders>
            <w:vAlign w:val="center"/>
          </w:tcPr>
          <w:p w14:paraId="295D443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建设项目所在地干燥度＞</w:t>
            </w:r>
            <w:r>
              <w:rPr>
                <w:rFonts w:cs="Times New Roman" w:hint="eastAsia"/>
                <w:sz w:val="21"/>
                <w:szCs w:val="21"/>
              </w:rPr>
              <w:t>2.5</w:t>
            </w:r>
            <w:r>
              <w:rPr>
                <w:rFonts w:ascii="宋体" w:hAnsi="宋体" w:cs="Times New Roman" w:hint="eastAsia"/>
                <w:sz w:val="21"/>
                <w:szCs w:val="21"/>
              </w:rPr>
              <w:t>且常年地下水位平均埋深≥</w:t>
            </w:r>
            <w:r>
              <w:rPr>
                <w:rFonts w:cs="Times New Roman" w:hint="eastAsia"/>
                <w:sz w:val="21"/>
                <w:szCs w:val="21"/>
              </w:rPr>
              <w:t>1.5m</w:t>
            </w:r>
            <w:r>
              <w:rPr>
                <w:rFonts w:ascii="宋体" w:hAnsi="宋体" w:cs="Times New Roman" w:hint="eastAsia"/>
                <w:sz w:val="21"/>
                <w:szCs w:val="21"/>
              </w:rPr>
              <w:t>的，或</w:t>
            </w:r>
            <w:r>
              <w:rPr>
                <w:rFonts w:cs="Times New Roman" w:hint="eastAsia"/>
                <w:sz w:val="21"/>
                <w:szCs w:val="21"/>
              </w:rPr>
              <w:t>1.8</w:t>
            </w:r>
            <w:r>
              <w:rPr>
                <w:rFonts w:ascii="宋体" w:hAnsi="宋体" w:cs="Times New Roman" w:hint="eastAsia"/>
                <w:sz w:val="21"/>
                <w:szCs w:val="21"/>
              </w:rPr>
              <w:t>＜干燥度≤</w:t>
            </w:r>
            <w:r>
              <w:rPr>
                <w:rFonts w:cs="Times New Roman" w:hint="eastAsia"/>
                <w:sz w:val="21"/>
                <w:szCs w:val="21"/>
              </w:rPr>
              <w:t>2.5</w:t>
            </w:r>
            <w:r>
              <w:rPr>
                <w:rFonts w:ascii="宋体" w:hAnsi="宋体" w:cs="Times New Roman" w:hint="eastAsia"/>
                <w:sz w:val="21"/>
                <w:szCs w:val="21"/>
              </w:rPr>
              <w:t>且常年地下水位平均埋深＜</w:t>
            </w:r>
            <w:r>
              <w:rPr>
                <w:rFonts w:cs="Times New Roman" w:hint="eastAsia"/>
                <w:sz w:val="21"/>
                <w:szCs w:val="21"/>
              </w:rPr>
              <w:t>1.8m</w:t>
            </w:r>
            <w:r>
              <w:rPr>
                <w:rFonts w:ascii="宋体" w:hAnsi="宋体" w:cs="Times New Roman" w:hint="eastAsia"/>
                <w:sz w:val="21"/>
                <w:szCs w:val="21"/>
              </w:rPr>
              <w:t>的地势平坦区域；建设项目所在地干燥度＞</w:t>
            </w:r>
            <w:r>
              <w:rPr>
                <w:rFonts w:cs="Times New Roman" w:hint="eastAsia"/>
                <w:sz w:val="21"/>
                <w:szCs w:val="21"/>
              </w:rPr>
              <w:t>2.5</w:t>
            </w:r>
            <w:r>
              <w:rPr>
                <w:rFonts w:ascii="宋体" w:hAnsi="宋体" w:cs="Times New Roman" w:hint="eastAsia"/>
                <w:sz w:val="21"/>
                <w:szCs w:val="21"/>
              </w:rPr>
              <w:t>或常年地下水平均埋深＜</w:t>
            </w:r>
            <w:r>
              <w:rPr>
                <w:rFonts w:cs="Times New Roman" w:hint="eastAsia"/>
                <w:sz w:val="21"/>
                <w:szCs w:val="21"/>
              </w:rPr>
              <w:t>1.5m</w:t>
            </w:r>
            <w:r>
              <w:rPr>
                <w:rFonts w:ascii="宋体" w:hAnsi="宋体" w:cs="Times New Roman" w:hint="eastAsia"/>
                <w:sz w:val="21"/>
                <w:szCs w:val="21"/>
              </w:rPr>
              <w:t>的平原区；或</w:t>
            </w:r>
            <w:r>
              <w:rPr>
                <w:rFonts w:cs="Times New Roman" w:hint="eastAsia"/>
                <w:sz w:val="21"/>
                <w:szCs w:val="21"/>
              </w:rPr>
              <w:t>2g/kg</w:t>
            </w:r>
            <w:r>
              <w:rPr>
                <w:rFonts w:ascii="宋体" w:hAnsi="宋体" w:cs="Times New Roman" w:hint="eastAsia"/>
                <w:sz w:val="21"/>
                <w:szCs w:val="21"/>
              </w:rPr>
              <w:t>＜土壤含盐量≤</w:t>
            </w:r>
            <w:r>
              <w:rPr>
                <w:rFonts w:cs="Times New Roman" w:hint="eastAsia"/>
                <w:sz w:val="21"/>
                <w:szCs w:val="21"/>
              </w:rPr>
              <w:t>4g/kg</w:t>
            </w:r>
            <w:r>
              <w:rPr>
                <w:rFonts w:ascii="宋体" w:hAnsi="宋体" w:cs="Times New Roman" w:hint="eastAsia"/>
                <w:sz w:val="21"/>
                <w:szCs w:val="21"/>
              </w:rPr>
              <w:t>的区域</w:t>
            </w:r>
          </w:p>
        </w:tc>
        <w:tc>
          <w:tcPr>
            <w:tcW w:w="1276" w:type="dxa"/>
            <w:tcBorders>
              <w:top w:val="single" w:sz="4" w:space="0" w:color="000000"/>
              <w:left w:val="nil"/>
              <w:bottom w:val="single" w:sz="4" w:space="0" w:color="000000"/>
              <w:right w:val="single" w:sz="4" w:space="0" w:color="000000"/>
            </w:tcBorders>
            <w:vAlign w:val="center"/>
          </w:tcPr>
          <w:p w14:paraId="7A0F9DD7"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4.5</w:t>
            </w:r>
            <w:r>
              <w:rPr>
                <w:rFonts w:ascii="宋体" w:hAnsi="宋体" w:cs="Times New Roman" w:hint="eastAsia"/>
                <w:sz w:val="21"/>
                <w:szCs w:val="21"/>
              </w:rPr>
              <w:t>＜</w:t>
            </w:r>
            <w:r>
              <w:rPr>
                <w:rFonts w:cs="Times New Roman" w:hint="eastAsia"/>
                <w:sz w:val="21"/>
                <w:szCs w:val="21"/>
              </w:rPr>
              <w:t>pH</w:t>
            </w:r>
            <w:r>
              <w:rPr>
                <w:rFonts w:ascii="宋体" w:hAnsi="宋体" w:cs="Times New Roman" w:hint="eastAsia"/>
                <w:sz w:val="21"/>
                <w:szCs w:val="21"/>
              </w:rPr>
              <w:t>≤</w:t>
            </w:r>
            <w:r>
              <w:rPr>
                <w:rFonts w:cs="Times New Roman" w:hint="eastAsia"/>
                <w:sz w:val="21"/>
                <w:szCs w:val="21"/>
              </w:rPr>
              <w:t>5.5</w:t>
            </w:r>
          </w:p>
        </w:tc>
        <w:tc>
          <w:tcPr>
            <w:tcW w:w="1041" w:type="dxa"/>
            <w:tcBorders>
              <w:top w:val="single" w:sz="4" w:space="0" w:color="000000"/>
              <w:left w:val="nil"/>
              <w:bottom w:val="single" w:sz="4" w:space="0" w:color="000000"/>
              <w:right w:val="single" w:sz="4" w:space="0" w:color="000000"/>
            </w:tcBorders>
            <w:vAlign w:val="center"/>
          </w:tcPr>
          <w:p w14:paraId="44273E76"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8.5</w:t>
            </w:r>
            <w:r>
              <w:rPr>
                <w:rFonts w:ascii="宋体" w:hAnsi="宋体" w:cs="Times New Roman" w:hint="eastAsia"/>
                <w:sz w:val="21"/>
                <w:szCs w:val="21"/>
              </w:rPr>
              <w:t>≤</w:t>
            </w:r>
            <w:r>
              <w:rPr>
                <w:rFonts w:cs="Times New Roman" w:hint="eastAsia"/>
                <w:sz w:val="21"/>
                <w:szCs w:val="21"/>
              </w:rPr>
              <w:t>pH</w:t>
            </w:r>
            <w:r>
              <w:rPr>
                <w:rFonts w:ascii="宋体" w:hAnsi="宋体" w:cs="Times New Roman" w:hint="eastAsia"/>
                <w:sz w:val="21"/>
                <w:szCs w:val="21"/>
              </w:rPr>
              <w:t>＜</w:t>
            </w:r>
            <w:r>
              <w:rPr>
                <w:rFonts w:cs="Times New Roman" w:hint="eastAsia"/>
                <w:sz w:val="21"/>
                <w:szCs w:val="21"/>
              </w:rPr>
              <w:t>9.0</w:t>
            </w:r>
          </w:p>
        </w:tc>
      </w:tr>
      <w:tr w:rsidR="00E579B9" w14:paraId="03CE5812" w14:textId="77777777">
        <w:tc>
          <w:tcPr>
            <w:tcW w:w="1101" w:type="dxa"/>
            <w:tcBorders>
              <w:top w:val="single" w:sz="4" w:space="0" w:color="000000"/>
              <w:left w:val="single" w:sz="4" w:space="0" w:color="000000"/>
              <w:bottom w:val="single" w:sz="4" w:space="0" w:color="000000"/>
              <w:right w:val="single" w:sz="4" w:space="0" w:color="000000"/>
            </w:tcBorders>
            <w:vAlign w:val="center"/>
          </w:tcPr>
          <w:p w14:paraId="3A5E4EED" w14:textId="77777777" w:rsidR="00E579B9" w:rsidRDefault="006A1398">
            <w:pPr>
              <w:widowControl w:val="0"/>
              <w:spacing w:line="360" w:lineRule="exact"/>
              <w:ind w:firstLineChars="0" w:firstLine="0"/>
              <w:jc w:val="center"/>
              <w:rPr>
                <w:rFonts w:cs="Times New Roman"/>
                <w:b/>
                <w:bCs/>
                <w:sz w:val="21"/>
                <w:szCs w:val="21"/>
              </w:rPr>
            </w:pPr>
            <w:r>
              <w:rPr>
                <w:rFonts w:cs="Times New Roman" w:hint="eastAsia"/>
                <w:b/>
                <w:bCs/>
                <w:sz w:val="21"/>
                <w:szCs w:val="21"/>
              </w:rPr>
              <w:t>不敏感</w:t>
            </w:r>
          </w:p>
        </w:tc>
        <w:tc>
          <w:tcPr>
            <w:tcW w:w="5528" w:type="dxa"/>
            <w:tcBorders>
              <w:top w:val="single" w:sz="4" w:space="0" w:color="000000"/>
              <w:left w:val="nil"/>
              <w:bottom w:val="single" w:sz="4" w:space="0" w:color="000000"/>
              <w:right w:val="single" w:sz="4" w:space="0" w:color="000000"/>
            </w:tcBorders>
            <w:vAlign w:val="center"/>
          </w:tcPr>
          <w:p w14:paraId="4F06BC54" w14:textId="77777777" w:rsidR="00E579B9" w:rsidRDefault="006A1398">
            <w:pPr>
              <w:widowControl w:val="0"/>
              <w:spacing w:line="360" w:lineRule="exact"/>
              <w:ind w:firstLineChars="0" w:firstLine="0"/>
              <w:jc w:val="center"/>
              <w:rPr>
                <w:rFonts w:cs="Times New Roman"/>
                <w:b/>
                <w:bCs/>
                <w:sz w:val="21"/>
                <w:szCs w:val="21"/>
              </w:rPr>
            </w:pPr>
            <w:r>
              <w:rPr>
                <w:rFonts w:cs="Times New Roman" w:hint="eastAsia"/>
                <w:b/>
                <w:bCs/>
                <w:sz w:val="21"/>
                <w:szCs w:val="21"/>
              </w:rPr>
              <w:t>其他</w:t>
            </w:r>
          </w:p>
        </w:tc>
        <w:tc>
          <w:tcPr>
            <w:tcW w:w="2317" w:type="dxa"/>
            <w:gridSpan w:val="2"/>
            <w:tcBorders>
              <w:top w:val="single" w:sz="4" w:space="0" w:color="000000"/>
              <w:left w:val="nil"/>
              <w:bottom w:val="single" w:sz="4" w:space="0" w:color="000000"/>
              <w:right w:val="single" w:sz="4" w:space="0" w:color="000000"/>
            </w:tcBorders>
            <w:vAlign w:val="center"/>
          </w:tcPr>
          <w:p w14:paraId="5073C16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5.5</w:t>
            </w:r>
            <w:r>
              <w:rPr>
                <w:rFonts w:ascii="宋体" w:hAnsi="宋体" w:cs="Times New Roman" w:hint="eastAsia"/>
                <w:sz w:val="21"/>
                <w:szCs w:val="21"/>
              </w:rPr>
              <w:t>＜</w:t>
            </w:r>
            <w:r>
              <w:rPr>
                <w:rFonts w:cs="Times New Roman" w:hint="eastAsia"/>
                <w:sz w:val="21"/>
                <w:szCs w:val="21"/>
              </w:rPr>
              <w:t>pH</w:t>
            </w:r>
            <w:r>
              <w:rPr>
                <w:rFonts w:ascii="宋体" w:hAnsi="宋体" w:cs="Times New Roman" w:hint="eastAsia"/>
                <w:sz w:val="21"/>
                <w:szCs w:val="21"/>
              </w:rPr>
              <w:t>＜</w:t>
            </w:r>
            <w:r>
              <w:rPr>
                <w:rFonts w:cs="Times New Roman" w:hint="eastAsia"/>
                <w:sz w:val="21"/>
                <w:szCs w:val="21"/>
              </w:rPr>
              <w:t>8.5</w:t>
            </w:r>
          </w:p>
        </w:tc>
      </w:tr>
      <w:tr w:rsidR="00E579B9" w14:paraId="3390FEF7" w14:textId="77777777">
        <w:tc>
          <w:tcPr>
            <w:tcW w:w="8946" w:type="dxa"/>
            <w:gridSpan w:val="4"/>
            <w:tcBorders>
              <w:top w:val="single" w:sz="4" w:space="0" w:color="000000"/>
              <w:left w:val="single" w:sz="4" w:space="0" w:color="000000"/>
              <w:bottom w:val="single" w:sz="4" w:space="0" w:color="000000"/>
              <w:right w:val="single" w:sz="4" w:space="0" w:color="000000"/>
            </w:tcBorders>
            <w:vAlign w:val="center"/>
          </w:tcPr>
          <w:p w14:paraId="1E155600" w14:textId="77777777" w:rsidR="00E579B9" w:rsidRDefault="006A1398">
            <w:pPr>
              <w:pStyle w:val="af3"/>
              <w:widowControl w:val="0"/>
              <w:numPr>
                <w:ilvl w:val="0"/>
                <w:numId w:val="1"/>
              </w:numPr>
              <w:spacing w:line="360" w:lineRule="exact"/>
              <w:ind w:firstLineChars="0"/>
              <w:jc w:val="both"/>
              <w:rPr>
                <w:rFonts w:cs="Times New Roman"/>
                <w:sz w:val="21"/>
                <w:szCs w:val="21"/>
              </w:rPr>
            </w:pPr>
            <w:r>
              <w:rPr>
                <w:rFonts w:cs="Times New Roman" w:hint="eastAsia"/>
                <w:sz w:val="21"/>
                <w:szCs w:val="21"/>
              </w:rPr>
              <w:t>是指采用</w:t>
            </w:r>
            <w:r>
              <w:rPr>
                <w:rFonts w:cs="Times New Roman" w:hint="eastAsia"/>
                <w:sz w:val="21"/>
                <w:szCs w:val="21"/>
              </w:rPr>
              <w:t>E601</w:t>
            </w:r>
            <w:r>
              <w:rPr>
                <w:rFonts w:ascii="宋体" w:hAnsi="宋体" w:cs="Times New Roman" w:hint="eastAsia"/>
                <w:sz w:val="21"/>
                <w:szCs w:val="21"/>
              </w:rPr>
              <w:t>观测的多年平均水面蒸发量与降水量的比值，</w:t>
            </w:r>
            <w:proofErr w:type="gramStart"/>
            <w:r>
              <w:rPr>
                <w:rFonts w:ascii="宋体" w:hAnsi="宋体" w:cs="Times New Roman" w:hint="eastAsia"/>
                <w:sz w:val="21"/>
                <w:szCs w:val="21"/>
              </w:rPr>
              <w:t>即蒸降比值</w:t>
            </w:r>
            <w:proofErr w:type="gramEnd"/>
            <w:r>
              <w:rPr>
                <w:rFonts w:ascii="宋体" w:hAnsi="宋体" w:cs="Times New Roman" w:hint="eastAsia"/>
                <w:sz w:val="21"/>
                <w:szCs w:val="21"/>
              </w:rPr>
              <w:t>。</w:t>
            </w:r>
          </w:p>
        </w:tc>
      </w:tr>
    </w:tbl>
    <w:p w14:paraId="5C920FB6" w14:textId="77777777" w:rsidR="00E579B9" w:rsidRDefault="006A1398">
      <w:pPr>
        <w:widowControl w:val="0"/>
        <w:spacing w:line="520" w:lineRule="exact"/>
        <w:jc w:val="both"/>
        <w:rPr>
          <w:rFonts w:cs="Times New Roman"/>
          <w:szCs w:val="24"/>
        </w:rPr>
      </w:pPr>
      <w:r>
        <w:rPr>
          <w:rFonts w:ascii="宋体" w:hAnsi="宋体" w:cs="Times New Roman" w:hint="eastAsia"/>
          <w:szCs w:val="24"/>
        </w:rPr>
        <w:t>项目所在地的</w:t>
      </w:r>
      <w:r>
        <w:rPr>
          <w:rFonts w:ascii="宋体" w:hAnsi="宋体" w:cs="Times New Roman"/>
          <w:szCs w:val="24"/>
        </w:rPr>
        <w:t>年均水面蒸发量</w:t>
      </w:r>
      <w:r>
        <w:rPr>
          <w:rFonts w:ascii="宋体" w:hAnsi="宋体" w:cs="Times New Roman" w:hint="eastAsia"/>
          <w:szCs w:val="24"/>
        </w:rPr>
        <w:t>为</w:t>
      </w:r>
      <w:r>
        <w:rPr>
          <w:rFonts w:cs="Times New Roman"/>
          <w:szCs w:val="24"/>
        </w:rPr>
        <w:t>1259.8</w:t>
      </w:r>
      <w:r>
        <w:rPr>
          <w:rFonts w:cs="Times New Roman" w:hint="eastAsia"/>
          <w:szCs w:val="24"/>
        </w:rPr>
        <w:t>mm</w:t>
      </w:r>
      <w:r>
        <w:rPr>
          <w:rFonts w:ascii="宋体" w:hAnsi="宋体" w:cs="Times New Roman" w:hint="eastAsia"/>
          <w:szCs w:val="24"/>
        </w:rPr>
        <w:t>，年均降水量为</w:t>
      </w:r>
      <w:r>
        <w:rPr>
          <w:rFonts w:cs="Times New Roman"/>
          <w:szCs w:val="24"/>
        </w:rPr>
        <w:t>920</w:t>
      </w:r>
      <w:r>
        <w:rPr>
          <w:rFonts w:cs="Times New Roman" w:hint="eastAsia"/>
          <w:szCs w:val="24"/>
        </w:rPr>
        <w:t>mm</w:t>
      </w:r>
      <w:r>
        <w:rPr>
          <w:rFonts w:ascii="宋体" w:hAnsi="宋体" w:cs="Times New Roman" w:hint="eastAsia"/>
          <w:szCs w:val="24"/>
        </w:rPr>
        <w:t>，经计算项目所在地干燥度为</w:t>
      </w:r>
      <w:r>
        <w:rPr>
          <w:rFonts w:cs="Times New Roman"/>
          <w:szCs w:val="24"/>
        </w:rPr>
        <w:t>1.37</w:t>
      </w:r>
      <w:r>
        <w:rPr>
          <w:rFonts w:ascii="宋体" w:hAnsi="宋体" w:cs="Times New Roman" w:hint="eastAsia"/>
          <w:szCs w:val="24"/>
        </w:rPr>
        <w:t>，项目所在区域属低山丘陵地区，地下水平均埋深在</w:t>
      </w:r>
      <w:r>
        <w:rPr>
          <w:rFonts w:cs="Times New Roman" w:hint="eastAsia"/>
          <w:szCs w:val="24"/>
        </w:rPr>
        <w:t>100m</w:t>
      </w:r>
      <w:r>
        <w:rPr>
          <w:rFonts w:ascii="宋体" w:hAnsi="宋体" w:cs="Times New Roman" w:hint="eastAsia"/>
          <w:szCs w:val="24"/>
        </w:rPr>
        <w:t>以上，同时根据本次对项目周边土壤环境质量的监测结果，项目区土壤的</w:t>
      </w:r>
      <w:r>
        <w:rPr>
          <w:rFonts w:cs="Times New Roman" w:hint="eastAsia"/>
          <w:szCs w:val="24"/>
        </w:rPr>
        <w:t>pH</w:t>
      </w:r>
      <w:r>
        <w:rPr>
          <w:rFonts w:ascii="宋体" w:hAnsi="宋体" w:cs="Times New Roman" w:hint="eastAsia"/>
          <w:szCs w:val="24"/>
        </w:rPr>
        <w:t>值介于</w:t>
      </w:r>
      <w:r>
        <w:rPr>
          <w:rFonts w:cs="Times New Roman" w:hint="eastAsia"/>
          <w:szCs w:val="24"/>
        </w:rPr>
        <w:t>5.5~8.5</w:t>
      </w:r>
      <w:r>
        <w:rPr>
          <w:rFonts w:ascii="宋体" w:hAnsi="宋体" w:cs="Times New Roman" w:hint="eastAsia"/>
          <w:szCs w:val="24"/>
        </w:rPr>
        <w:t>之间，因此项目所在区域土壤环境属于不敏感。</w:t>
      </w:r>
    </w:p>
    <w:p w14:paraId="6A71ABFB" w14:textId="77777777" w:rsidR="00E579B9" w:rsidRDefault="006A1398">
      <w:pPr>
        <w:widowControl w:val="0"/>
        <w:spacing w:line="520" w:lineRule="exact"/>
        <w:jc w:val="both"/>
        <w:rPr>
          <w:rFonts w:cs="Times New Roman"/>
          <w:szCs w:val="24"/>
        </w:rPr>
      </w:pPr>
      <w:r>
        <w:rPr>
          <w:rFonts w:ascii="宋体" w:hAnsi="宋体" w:cs="Times New Roman"/>
          <w:szCs w:val="24"/>
        </w:rPr>
        <w:t>根据《环境影响评价技术导则土壤环境》（</w:t>
      </w:r>
      <w:r>
        <w:rPr>
          <w:rFonts w:cs="Times New Roman"/>
          <w:szCs w:val="24"/>
        </w:rPr>
        <w:t>HJ964-2018</w:t>
      </w:r>
      <w:r>
        <w:rPr>
          <w:rFonts w:ascii="宋体" w:hAnsi="宋体" w:cs="Times New Roman"/>
          <w:szCs w:val="24"/>
        </w:rPr>
        <w:t>）</w:t>
      </w:r>
      <w:r>
        <w:rPr>
          <w:rFonts w:ascii="宋体" w:hAnsi="宋体" w:cs="Times New Roman" w:hint="eastAsia"/>
          <w:szCs w:val="24"/>
        </w:rPr>
        <w:t>，土壤环境影响评价工作等级划分依据见表</w:t>
      </w:r>
      <w:r>
        <w:rPr>
          <w:rFonts w:cs="Times New Roman"/>
          <w:szCs w:val="24"/>
        </w:rPr>
        <w:t>2.8-6</w:t>
      </w:r>
      <w:r>
        <w:rPr>
          <w:rFonts w:ascii="宋体" w:hAnsi="宋体" w:cs="Times New Roman" w:hint="eastAsia"/>
          <w:szCs w:val="24"/>
        </w:rPr>
        <w:t>。</w:t>
      </w:r>
    </w:p>
    <w:p w14:paraId="25DFA77C" w14:textId="77777777" w:rsidR="00E579B9" w:rsidRDefault="006A1398">
      <w:pPr>
        <w:widowControl w:val="0"/>
        <w:spacing w:line="520" w:lineRule="exact"/>
        <w:jc w:val="center"/>
        <w:rPr>
          <w:rFonts w:eastAsia="黑体" w:hAnsi="Calibri" w:cs="Times New Roman"/>
          <w:kern w:val="0"/>
          <w:szCs w:val="24"/>
        </w:rPr>
      </w:pPr>
      <w:r>
        <w:rPr>
          <w:rFonts w:ascii="黑体" w:eastAsia="黑体" w:hAnsi="黑体" w:cs="Times New Roman"/>
          <w:kern w:val="0"/>
          <w:szCs w:val="24"/>
        </w:rPr>
        <w:t>表</w:t>
      </w:r>
      <w:r>
        <w:rPr>
          <w:rFonts w:eastAsia="黑体" w:hAnsi="Calibri" w:cs="宋体"/>
          <w:kern w:val="0"/>
          <w:szCs w:val="24"/>
        </w:rPr>
        <w:t>2.8-6</w:t>
      </w:r>
      <w:r>
        <w:rPr>
          <w:rFonts w:ascii="黑体" w:eastAsia="黑体" w:hAnsi="黑体" w:cs="宋体" w:hint="eastAsia"/>
          <w:kern w:val="0"/>
          <w:szCs w:val="24"/>
        </w:rPr>
        <w:t>生态影响</w:t>
      </w:r>
      <w:proofErr w:type="gramStart"/>
      <w:r>
        <w:rPr>
          <w:rFonts w:ascii="黑体" w:eastAsia="黑体" w:hAnsi="黑体" w:cs="宋体" w:hint="eastAsia"/>
          <w:kern w:val="0"/>
          <w:szCs w:val="24"/>
        </w:rPr>
        <w:t>型评价</w:t>
      </w:r>
      <w:proofErr w:type="gramEnd"/>
      <w:r>
        <w:rPr>
          <w:rFonts w:ascii="黑体" w:eastAsia="黑体" w:hAnsi="黑体" w:cs="宋体" w:hint="eastAsia"/>
          <w:kern w:val="0"/>
          <w:szCs w:val="24"/>
        </w:rPr>
        <w:t>工作等级划分表</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6"/>
        <w:gridCol w:w="2236"/>
        <w:gridCol w:w="2237"/>
        <w:gridCol w:w="2237"/>
      </w:tblGrid>
      <w:tr w:rsidR="00E579B9" w14:paraId="3ED7B8FC" w14:textId="77777777">
        <w:tc>
          <w:tcPr>
            <w:tcW w:w="2236" w:type="dxa"/>
            <w:tcBorders>
              <w:top w:val="single" w:sz="4" w:space="0" w:color="000000"/>
              <w:left w:val="single" w:sz="4" w:space="0" w:color="000000"/>
              <w:bottom w:val="single" w:sz="4" w:space="0" w:color="000000"/>
              <w:right w:val="single" w:sz="4" w:space="0" w:color="000000"/>
            </w:tcBorders>
            <w:vAlign w:val="center"/>
          </w:tcPr>
          <w:p w14:paraId="1028F7B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lastRenderedPageBreak/>
              <w:t>项目类别</w:t>
            </w:r>
          </w:p>
          <w:p w14:paraId="0EB4261D" w14:textId="77777777" w:rsidR="00E579B9" w:rsidRDefault="006A1398">
            <w:pPr>
              <w:widowControl w:val="0"/>
              <w:spacing w:line="360" w:lineRule="exact"/>
              <w:ind w:firstLineChars="250" w:firstLine="525"/>
              <w:jc w:val="both"/>
              <w:rPr>
                <w:rFonts w:cs="Times New Roman"/>
                <w:sz w:val="21"/>
                <w:szCs w:val="21"/>
              </w:rPr>
            </w:pPr>
            <w:r>
              <w:rPr>
                <w:rFonts w:cs="Times New Roman" w:hint="eastAsia"/>
                <w:sz w:val="21"/>
                <w:szCs w:val="21"/>
              </w:rPr>
              <w:t>评价工作等级</w:t>
            </w:r>
          </w:p>
          <w:p w14:paraId="3026D8F7" w14:textId="77777777" w:rsidR="00E579B9" w:rsidRDefault="006A1398">
            <w:pPr>
              <w:widowControl w:val="0"/>
              <w:spacing w:line="360" w:lineRule="exact"/>
              <w:ind w:firstLineChars="0" w:firstLine="0"/>
              <w:jc w:val="both"/>
              <w:rPr>
                <w:rFonts w:cs="Times New Roman"/>
                <w:sz w:val="21"/>
                <w:szCs w:val="21"/>
              </w:rPr>
            </w:pPr>
            <w:r>
              <w:rPr>
                <w:rFonts w:cs="Times New Roman" w:hint="eastAsia"/>
                <w:sz w:val="21"/>
                <w:szCs w:val="21"/>
              </w:rPr>
              <w:t>敏感程度</w:t>
            </w:r>
          </w:p>
        </w:tc>
        <w:tc>
          <w:tcPr>
            <w:tcW w:w="2236" w:type="dxa"/>
            <w:tcBorders>
              <w:top w:val="single" w:sz="4" w:space="0" w:color="000000"/>
              <w:left w:val="nil"/>
              <w:bottom w:val="single" w:sz="4" w:space="0" w:color="000000"/>
              <w:right w:val="single" w:sz="4" w:space="0" w:color="000000"/>
            </w:tcBorders>
            <w:vAlign w:val="center"/>
          </w:tcPr>
          <w:p w14:paraId="5D5E3892" w14:textId="77777777" w:rsidR="00E579B9" w:rsidRDefault="006A1398">
            <w:pPr>
              <w:widowControl w:val="0"/>
              <w:spacing w:line="360" w:lineRule="exact"/>
              <w:ind w:firstLineChars="0" w:firstLine="0"/>
              <w:jc w:val="center"/>
              <w:rPr>
                <w:rFonts w:cs="Times New Roman"/>
                <w:sz w:val="21"/>
                <w:szCs w:val="21"/>
              </w:rPr>
            </w:pPr>
            <w:r>
              <w:rPr>
                <w:rFonts w:ascii="宋体" w:hAnsi="宋体" w:cs="Times New Roman" w:hint="eastAsia"/>
                <w:sz w:val="21"/>
                <w:szCs w:val="21"/>
              </w:rPr>
              <w:t>Ⅰ</w:t>
            </w:r>
            <w:r>
              <w:rPr>
                <w:rFonts w:cs="Times New Roman"/>
                <w:sz w:val="21"/>
                <w:szCs w:val="21"/>
              </w:rPr>
              <w:t>类</w:t>
            </w:r>
          </w:p>
        </w:tc>
        <w:tc>
          <w:tcPr>
            <w:tcW w:w="2237" w:type="dxa"/>
            <w:tcBorders>
              <w:top w:val="single" w:sz="4" w:space="0" w:color="000000"/>
              <w:left w:val="nil"/>
              <w:bottom w:val="single" w:sz="4" w:space="0" w:color="000000"/>
              <w:right w:val="single" w:sz="4" w:space="0" w:color="000000"/>
            </w:tcBorders>
            <w:vAlign w:val="center"/>
          </w:tcPr>
          <w:p w14:paraId="02AD25C4" w14:textId="77777777" w:rsidR="00E579B9" w:rsidRDefault="006A1398">
            <w:pPr>
              <w:widowControl w:val="0"/>
              <w:spacing w:line="360" w:lineRule="exact"/>
              <w:ind w:firstLineChars="0" w:firstLine="0"/>
              <w:jc w:val="center"/>
              <w:rPr>
                <w:rFonts w:cs="Times New Roman"/>
                <w:sz w:val="21"/>
                <w:szCs w:val="21"/>
              </w:rPr>
            </w:pPr>
            <w:r>
              <w:rPr>
                <w:rFonts w:ascii="宋体" w:hAnsi="宋体" w:cs="Times New Roman" w:hint="eastAsia"/>
                <w:sz w:val="21"/>
                <w:szCs w:val="21"/>
              </w:rPr>
              <w:t>Ⅱ</w:t>
            </w:r>
            <w:r>
              <w:rPr>
                <w:rFonts w:cs="Times New Roman"/>
                <w:sz w:val="21"/>
                <w:szCs w:val="21"/>
              </w:rPr>
              <w:t>类</w:t>
            </w:r>
          </w:p>
        </w:tc>
        <w:tc>
          <w:tcPr>
            <w:tcW w:w="2237" w:type="dxa"/>
            <w:tcBorders>
              <w:top w:val="single" w:sz="4" w:space="0" w:color="000000"/>
              <w:left w:val="nil"/>
              <w:bottom w:val="single" w:sz="4" w:space="0" w:color="000000"/>
              <w:right w:val="single" w:sz="4" w:space="0" w:color="000000"/>
            </w:tcBorders>
            <w:vAlign w:val="center"/>
          </w:tcPr>
          <w:p w14:paraId="478E72D2" w14:textId="77777777" w:rsidR="00E579B9" w:rsidRDefault="006A1398">
            <w:pPr>
              <w:widowControl w:val="0"/>
              <w:spacing w:line="360" w:lineRule="exact"/>
              <w:ind w:firstLineChars="0" w:firstLine="0"/>
              <w:jc w:val="center"/>
              <w:rPr>
                <w:rFonts w:cs="Times New Roman"/>
                <w:b/>
                <w:bCs/>
                <w:sz w:val="21"/>
                <w:szCs w:val="21"/>
              </w:rPr>
            </w:pPr>
            <w:r>
              <w:rPr>
                <w:rFonts w:ascii="宋体" w:hAnsi="宋体" w:cs="Times New Roman" w:hint="eastAsia"/>
                <w:b/>
                <w:bCs/>
                <w:sz w:val="21"/>
                <w:szCs w:val="21"/>
              </w:rPr>
              <w:t>Ⅲ</w:t>
            </w:r>
            <w:r>
              <w:rPr>
                <w:rFonts w:cs="Times New Roman"/>
                <w:b/>
                <w:bCs/>
                <w:sz w:val="21"/>
                <w:szCs w:val="21"/>
              </w:rPr>
              <w:t>类</w:t>
            </w:r>
          </w:p>
        </w:tc>
      </w:tr>
      <w:tr w:rsidR="00E579B9" w14:paraId="27537B8D" w14:textId="77777777">
        <w:tc>
          <w:tcPr>
            <w:tcW w:w="2236" w:type="dxa"/>
            <w:tcBorders>
              <w:top w:val="single" w:sz="4" w:space="0" w:color="000000"/>
              <w:left w:val="single" w:sz="4" w:space="0" w:color="000000"/>
              <w:bottom w:val="single" w:sz="4" w:space="0" w:color="000000"/>
              <w:right w:val="single" w:sz="4" w:space="0" w:color="000000"/>
            </w:tcBorders>
            <w:vAlign w:val="center"/>
          </w:tcPr>
          <w:p w14:paraId="74E06C18"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敏感</w:t>
            </w:r>
          </w:p>
        </w:tc>
        <w:tc>
          <w:tcPr>
            <w:tcW w:w="2236" w:type="dxa"/>
            <w:tcBorders>
              <w:top w:val="single" w:sz="4" w:space="0" w:color="000000"/>
              <w:left w:val="nil"/>
              <w:bottom w:val="single" w:sz="4" w:space="0" w:color="000000"/>
              <w:right w:val="single" w:sz="4" w:space="0" w:color="000000"/>
            </w:tcBorders>
            <w:vAlign w:val="center"/>
          </w:tcPr>
          <w:p w14:paraId="609FB8A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一级</w:t>
            </w:r>
          </w:p>
        </w:tc>
        <w:tc>
          <w:tcPr>
            <w:tcW w:w="2237" w:type="dxa"/>
            <w:tcBorders>
              <w:top w:val="single" w:sz="4" w:space="0" w:color="000000"/>
              <w:left w:val="nil"/>
              <w:bottom w:val="single" w:sz="4" w:space="0" w:color="000000"/>
              <w:right w:val="single" w:sz="4" w:space="0" w:color="000000"/>
            </w:tcBorders>
            <w:vAlign w:val="center"/>
          </w:tcPr>
          <w:p w14:paraId="6A7C844F"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二级</w:t>
            </w:r>
          </w:p>
        </w:tc>
        <w:tc>
          <w:tcPr>
            <w:tcW w:w="2237" w:type="dxa"/>
            <w:tcBorders>
              <w:top w:val="single" w:sz="4" w:space="0" w:color="000000"/>
              <w:left w:val="nil"/>
              <w:bottom w:val="single" w:sz="4" w:space="0" w:color="000000"/>
              <w:right w:val="single" w:sz="4" w:space="0" w:color="000000"/>
            </w:tcBorders>
            <w:vAlign w:val="center"/>
          </w:tcPr>
          <w:p w14:paraId="45ECC522"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三级</w:t>
            </w:r>
          </w:p>
        </w:tc>
      </w:tr>
      <w:tr w:rsidR="00E579B9" w14:paraId="5D93BCFC" w14:textId="77777777">
        <w:tc>
          <w:tcPr>
            <w:tcW w:w="2236" w:type="dxa"/>
            <w:tcBorders>
              <w:top w:val="single" w:sz="4" w:space="0" w:color="000000"/>
              <w:left w:val="single" w:sz="4" w:space="0" w:color="000000"/>
              <w:bottom w:val="single" w:sz="4" w:space="0" w:color="000000"/>
              <w:right w:val="single" w:sz="4" w:space="0" w:color="000000"/>
            </w:tcBorders>
            <w:vAlign w:val="center"/>
          </w:tcPr>
          <w:p w14:paraId="48B78DA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较敏感</w:t>
            </w:r>
          </w:p>
        </w:tc>
        <w:tc>
          <w:tcPr>
            <w:tcW w:w="2236" w:type="dxa"/>
            <w:tcBorders>
              <w:top w:val="single" w:sz="4" w:space="0" w:color="000000"/>
              <w:left w:val="nil"/>
              <w:bottom w:val="single" w:sz="4" w:space="0" w:color="000000"/>
              <w:right w:val="single" w:sz="4" w:space="0" w:color="000000"/>
            </w:tcBorders>
            <w:vAlign w:val="center"/>
          </w:tcPr>
          <w:p w14:paraId="44C28A8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二级</w:t>
            </w:r>
          </w:p>
        </w:tc>
        <w:tc>
          <w:tcPr>
            <w:tcW w:w="2237" w:type="dxa"/>
            <w:tcBorders>
              <w:top w:val="single" w:sz="4" w:space="0" w:color="000000"/>
              <w:left w:val="nil"/>
              <w:bottom w:val="single" w:sz="4" w:space="0" w:color="000000"/>
              <w:right w:val="single" w:sz="4" w:space="0" w:color="000000"/>
            </w:tcBorders>
            <w:vAlign w:val="center"/>
          </w:tcPr>
          <w:p w14:paraId="76481EDF"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二级</w:t>
            </w:r>
          </w:p>
        </w:tc>
        <w:tc>
          <w:tcPr>
            <w:tcW w:w="2237" w:type="dxa"/>
            <w:tcBorders>
              <w:top w:val="single" w:sz="4" w:space="0" w:color="000000"/>
              <w:left w:val="nil"/>
              <w:bottom w:val="single" w:sz="4" w:space="0" w:color="000000"/>
              <w:right w:val="single" w:sz="4" w:space="0" w:color="000000"/>
            </w:tcBorders>
            <w:vAlign w:val="center"/>
          </w:tcPr>
          <w:p w14:paraId="47D5511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三级</w:t>
            </w:r>
          </w:p>
        </w:tc>
      </w:tr>
      <w:tr w:rsidR="00E579B9" w14:paraId="5974694A" w14:textId="77777777">
        <w:tc>
          <w:tcPr>
            <w:tcW w:w="2236" w:type="dxa"/>
            <w:tcBorders>
              <w:top w:val="single" w:sz="4" w:space="0" w:color="000000"/>
              <w:left w:val="single" w:sz="4" w:space="0" w:color="000000"/>
              <w:bottom w:val="single" w:sz="4" w:space="0" w:color="000000"/>
              <w:right w:val="single" w:sz="4" w:space="0" w:color="000000"/>
            </w:tcBorders>
            <w:vAlign w:val="center"/>
          </w:tcPr>
          <w:p w14:paraId="07C5F827" w14:textId="77777777" w:rsidR="00E579B9" w:rsidRDefault="006A1398">
            <w:pPr>
              <w:widowControl w:val="0"/>
              <w:spacing w:line="360" w:lineRule="exact"/>
              <w:ind w:firstLineChars="0" w:firstLine="0"/>
              <w:jc w:val="center"/>
              <w:rPr>
                <w:rFonts w:cs="Times New Roman"/>
                <w:b/>
                <w:bCs/>
                <w:sz w:val="21"/>
                <w:szCs w:val="21"/>
              </w:rPr>
            </w:pPr>
            <w:r>
              <w:rPr>
                <w:rFonts w:cs="Times New Roman" w:hint="eastAsia"/>
                <w:b/>
                <w:bCs/>
                <w:sz w:val="21"/>
                <w:szCs w:val="21"/>
              </w:rPr>
              <w:t>不敏感</w:t>
            </w:r>
          </w:p>
        </w:tc>
        <w:tc>
          <w:tcPr>
            <w:tcW w:w="2236" w:type="dxa"/>
            <w:tcBorders>
              <w:top w:val="single" w:sz="4" w:space="0" w:color="000000"/>
              <w:left w:val="nil"/>
              <w:bottom w:val="single" w:sz="4" w:space="0" w:color="000000"/>
              <w:right w:val="single" w:sz="4" w:space="0" w:color="000000"/>
            </w:tcBorders>
            <w:vAlign w:val="center"/>
          </w:tcPr>
          <w:p w14:paraId="50CD932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三级</w:t>
            </w:r>
          </w:p>
        </w:tc>
        <w:tc>
          <w:tcPr>
            <w:tcW w:w="2237" w:type="dxa"/>
            <w:tcBorders>
              <w:top w:val="single" w:sz="4" w:space="0" w:color="000000"/>
              <w:left w:val="nil"/>
              <w:bottom w:val="single" w:sz="4" w:space="0" w:color="000000"/>
              <w:right w:val="single" w:sz="4" w:space="0" w:color="000000"/>
            </w:tcBorders>
            <w:vAlign w:val="center"/>
          </w:tcPr>
          <w:p w14:paraId="79935F1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三级</w:t>
            </w:r>
          </w:p>
        </w:tc>
        <w:tc>
          <w:tcPr>
            <w:tcW w:w="2237" w:type="dxa"/>
            <w:tcBorders>
              <w:top w:val="single" w:sz="4" w:space="0" w:color="000000"/>
              <w:left w:val="nil"/>
              <w:bottom w:val="single" w:sz="4" w:space="0" w:color="000000"/>
              <w:right w:val="single" w:sz="4" w:space="0" w:color="000000"/>
            </w:tcBorders>
            <w:vAlign w:val="center"/>
          </w:tcPr>
          <w:p w14:paraId="25B2DA7B" w14:textId="77777777" w:rsidR="00E579B9" w:rsidRDefault="006A1398">
            <w:pPr>
              <w:widowControl w:val="0"/>
              <w:spacing w:line="360" w:lineRule="exact"/>
              <w:ind w:firstLineChars="0" w:firstLine="0"/>
              <w:jc w:val="center"/>
              <w:rPr>
                <w:rFonts w:cs="Times New Roman"/>
                <w:b/>
                <w:bCs/>
                <w:sz w:val="21"/>
                <w:szCs w:val="21"/>
              </w:rPr>
            </w:pPr>
            <w:r>
              <w:rPr>
                <w:rFonts w:cs="Times New Roman" w:hint="eastAsia"/>
                <w:b/>
                <w:bCs/>
                <w:sz w:val="21"/>
                <w:szCs w:val="21"/>
              </w:rPr>
              <w:t>—</w:t>
            </w:r>
          </w:p>
        </w:tc>
      </w:tr>
      <w:tr w:rsidR="00E579B9" w14:paraId="05748B3C" w14:textId="77777777">
        <w:tc>
          <w:tcPr>
            <w:tcW w:w="8946" w:type="dxa"/>
            <w:gridSpan w:val="4"/>
            <w:tcBorders>
              <w:top w:val="single" w:sz="4" w:space="0" w:color="000000"/>
              <w:left w:val="single" w:sz="4" w:space="0" w:color="000000"/>
              <w:bottom w:val="single" w:sz="4" w:space="0" w:color="000000"/>
              <w:right w:val="single" w:sz="4" w:space="0" w:color="000000"/>
            </w:tcBorders>
            <w:vAlign w:val="center"/>
          </w:tcPr>
          <w:p w14:paraId="61F81618" w14:textId="77777777" w:rsidR="00E579B9" w:rsidRDefault="006A1398">
            <w:pPr>
              <w:widowControl w:val="0"/>
              <w:spacing w:line="360" w:lineRule="exact"/>
              <w:ind w:firstLineChars="0" w:firstLine="0"/>
              <w:jc w:val="both"/>
              <w:rPr>
                <w:rFonts w:cs="Times New Roman"/>
                <w:sz w:val="21"/>
                <w:szCs w:val="21"/>
              </w:rPr>
            </w:pPr>
            <w:r>
              <w:rPr>
                <w:rFonts w:cs="Times New Roman" w:hint="eastAsia"/>
                <w:sz w:val="21"/>
                <w:szCs w:val="21"/>
              </w:rPr>
              <w:t>注：“</w:t>
            </w:r>
            <w:r>
              <w:rPr>
                <w:rFonts w:cs="Times New Roman" w:hint="eastAsia"/>
                <w:sz w:val="21"/>
                <w:szCs w:val="21"/>
              </w:rPr>
              <w:t>-</w:t>
            </w:r>
            <w:r>
              <w:rPr>
                <w:rFonts w:ascii="宋体" w:hAnsi="宋体" w:cs="Times New Roman" w:hint="eastAsia"/>
                <w:sz w:val="21"/>
                <w:szCs w:val="21"/>
              </w:rPr>
              <w:t>”表示可不开展土壤环境影响评价工作。</w:t>
            </w:r>
          </w:p>
        </w:tc>
      </w:tr>
    </w:tbl>
    <w:p w14:paraId="630E4194" w14:textId="7CA35B78" w:rsidR="00E579B9" w:rsidRDefault="006A1398" w:rsidP="00810572">
      <w:pPr>
        <w:pStyle w:val="af6"/>
        <w:ind w:firstLine="480"/>
      </w:pPr>
      <w:r>
        <w:rPr>
          <w:rFonts w:hint="eastAsia"/>
        </w:rPr>
        <w:t>本项目属土壤环境影响评价中的Ⅲ类项目，所在区域土壤为</w:t>
      </w:r>
      <w:proofErr w:type="gramStart"/>
      <w:r>
        <w:rPr>
          <w:rFonts w:hint="eastAsia"/>
        </w:rPr>
        <w:t>不</w:t>
      </w:r>
      <w:proofErr w:type="gramEnd"/>
      <w:r>
        <w:rPr>
          <w:rFonts w:hint="eastAsia"/>
        </w:rPr>
        <w:t>敏感区，本项目可不开展土壤环境影响评价工作。</w:t>
      </w:r>
    </w:p>
    <w:p w14:paraId="5584A148" w14:textId="044F214F" w:rsidR="00810572" w:rsidRPr="002B5221" w:rsidRDefault="00810572" w:rsidP="00810572">
      <w:pPr>
        <w:pStyle w:val="af6"/>
        <w:ind w:firstLine="480"/>
      </w:pPr>
      <w:r w:rsidRPr="002B5221">
        <w:rPr>
          <w:rFonts w:cs="宋体" w:hint="eastAsia"/>
        </w:rPr>
        <w:t>（</w:t>
      </w:r>
      <w:r w:rsidRPr="002B5221">
        <w:rPr>
          <w:rFonts w:cs="宋体" w:hint="eastAsia"/>
        </w:rPr>
        <w:t>7</w:t>
      </w:r>
      <w:r w:rsidRPr="002B5221">
        <w:rPr>
          <w:rFonts w:cs="宋体" w:hint="eastAsia"/>
        </w:rPr>
        <w:t>）</w:t>
      </w:r>
      <w:r w:rsidRPr="002B5221">
        <w:t>环境风险评价等级</w:t>
      </w:r>
    </w:p>
    <w:p w14:paraId="771ABD40" w14:textId="0C741FBD" w:rsidR="0007525E" w:rsidRPr="002B5221" w:rsidRDefault="00810572" w:rsidP="0007525E">
      <w:pPr>
        <w:pStyle w:val="af6"/>
        <w:ind w:firstLine="480"/>
      </w:pPr>
      <w:r w:rsidRPr="002B5221">
        <w:t>经查《危险化学品重大危险源辩识》（</w:t>
      </w:r>
      <w:r w:rsidRPr="002B5221">
        <w:rPr>
          <w:rFonts w:eastAsia="Times New Roman"/>
        </w:rPr>
        <w:t>GB18218-2018</w:t>
      </w:r>
      <w:r w:rsidRPr="002B5221">
        <w:t>）中表</w:t>
      </w:r>
      <w:r w:rsidRPr="002B5221">
        <w:rPr>
          <w:rFonts w:eastAsia="Times New Roman"/>
        </w:rPr>
        <w:t>1</w:t>
      </w:r>
      <w:r w:rsidRPr="002B5221">
        <w:t>“</w:t>
      </w:r>
      <w:r w:rsidRPr="002B5221">
        <w:t>危险物质</w:t>
      </w:r>
      <w:r w:rsidRPr="002B5221">
        <w:t>”</w:t>
      </w:r>
      <w:r w:rsidRPr="002B5221">
        <w:t>名单，</w:t>
      </w:r>
      <w:r w:rsidR="0007525E" w:rsidRPr="002B5221">
        <w:t>本项目排土场不属于重大危险源，且本项目</w:t>
      </w:r>
      <w:r w:rsidR="0007525E" w:rsidRPr="002B5221">
        <w:rPr>
          <w:rFonts w:hint="eastAsia"/>
        </w:rPr>
        <w:t>有</w:t>
      </w:r>
      <w:r w:rsidR="0007525E" w:rsidRPr="002B5221">
        <w:t>一座</w:t>
      </w:r>
      <w:r w:rsidR="0007525E" w:rsidRPr="002B5221">
        <w:rPr>
          <w:rFonts w:asciiTheme="minorEastAsia" w:eastAsiaTheme="minorEastAsia" w:hAnsiTheme="minorEastAsia" w:hint="eastAsia"/>
        </w:rPr>
        <w:t>1</w:t>
      </w:r>
      <w:r w:rsidR="0007525E" w:rsidRPr="002B5221">
        <w:rPr>
          <w:rFonts w:eastAsia="Times New Roman"/>
        </w:rPr>
        <w:t>0t</w:t>
      </w:r>
      <w:r w:rsidR="0007525E" w:rsidRPr="002B5221">
        <w:t>油罐，其最大储油量远小于临界储油量，亦不属于重大危险</w:t>
      </w:r>
      <w:r w:rsidR="0007525E" w:rsidRPr="002B5221">
        <w:rPr>
          <w:spacing w:val="-9"/>
        </w:rPr>
        <w:t>源，且</w:t>
      </w:r>
      <w:r w:rsidR="0007525E" w:rsidRPr="002B5221">
        <w:rPr>
          <w:rFonts w:eastAsia="Times New Roman"/>
        </w:rPr>
        <w:t>Q&lt;1</w:t>
      </w:r>
      <w:r w:rsidR="0007525E" w:rsidRPr="002B5221">
        <w:t>，</w:t>
      </w:r>
      <w:proofErr w:type="gramStart"/>
      <w:r w:rsidR="0007525E" w:rsidRPr="002B5221">
        <w:t>则环境</w:t>
      </w:r>
      <w:proofErr w:type="gramEnd"/>
      <w:r w:rsidR="0007525E" w:rsidRPr="002B5221">
        <w:t>风险潜势为</w:t>
      </w:r>
      <w:r w:rsidR="0007525E" w:rsidRPr="002B5221">
        <w:t>Ⅰ</w:t>
      </w:r>
      <w:r w:rsidR="0007525E" w:rsidRPr="002B5221">
        <w:t>，项目所在地处于非环境敏感地区，因此本项目环境风险评价工作等级为简单分析。</w:t>
      </w:r>
    </w:p>
    <w:p w14:paraId="51959B6D" w14:textId="6CAA999D" w:rsidR="0007525E" w:rsidRPr="002B5221" w:rsidRDefault="0007525E" w:rsidP="0007525E">
      <w:pPr>
        <w:tabs>
          <w:tab w:val="left" w:pos="3327"/>
        </w:tabs>
        <w:spacing w:before="48"/>
        <w:ind w:left="2286" w:right="204"/>
        <w:rPr>
          <w:rFonts w:ascii="黑体" w:eastAsia="黑体" w:hAnsi="黑体" w:cs="宋体"/>
          <w:szCs w:val="24"/>
        </w:rPr>
      </w:pPr>
      <w:r w:rsidRPr="002B5221">
        <w:rPr>
          <w:rFonts w:ascii="黑体" w:eastAsia="黑体" w:hAnsi="黑体" w:cs="宋体"/>
          <w:szCs w:val="24"/>
        </w:rPr>
        <w:t>表</w:t>
      </w:r>
      <w:r w:rsidRPr="002B5221">
        <w:rPr>
          <w:rFonts w:ascii="黑体" w:eastAsia="黑体" w:hAnsi="黑体" w:cs="Times New Roman" w:hint="eastAsia"/>
          <w:szCs w:val="24"/>
        </w:rPr>
        <w:t>2.8-7</w:t>
      </w:r>
      <w:r w:rsidRPr="002B5221">
        <w:rPr>
          <w:rFonts w:ascii="黑体" w:eastAsia="黑体" w:hAnsi="黑体" w:cs="宋体"/>
          <w:szCs w:val="24"/>
        </w:rPr>
        <w:t>环境风险评价工作等级划分表</w:t>
      </w:r>
    </w:p>
    <w:tbl>
      <w:tblPr>
        <w:tblW w:w="8947" w:type="dxa"/>
        <w:tblInd w:w="213" w:type="dxa"/>
        <w:tblLayout w:type="fixed"/>
        <w:tblLook w:val="04A0" w:firstRow="1" w:lastRow="0" w:firstColumn="1" w:lastColumn="0" w:noHBand="0" w:noVBand="1"/>
      </w:tblPr>
      <w:tblGrid>
        <w:gridCol w:w="1789"/>
        <w:gridCol w:w="1789"/>
        <w:gridCol w:w="1789"/>
        <w:gridCol w:w="1790"/>
        <w:gridCol w:w="1790"/>
      </w:tblGrid>
      <w:tr w:rsidR="002B5221" w:rsidRPr="002B5221" w14:paraId="215D875B" w14:textId="77777777" w:rsidTr="00FB6EE0">
        <w:trPr>
          <w:trHeight w:val="464"/>
        </w:trPr>
        <w:tc>
          <w:tcPr>
            <w:tcW w:w="1789" w:type="dxa"/>
            <w:tcBorders>
              <w:top w:val="single" w:sz="4" w:space="0" w:color="000000"/>
              <w:left w:val="single" w:sz="4" w:space="0" w:color="000000"/>
              <w:bottom w:val="single" w:sz="4" w:space="0" w:color="000000"/>
              <w:right w:val="single" w:sz="4" w:space="0" w:color="000000"/>
            </w:tcBorders>
          </w:tcPr>
          <w:p w14:paraId="61C13FBD" w14:textId="77777777" w:rsidR="0007525E" w:rsidRPr="002B5221" w:rsidRDefault="0007525E" w:rsidP="00FB6EE0">
            <w:pPr>
              <w:spacing w:before="79" w:line="240" w:lineRule="auto"/>
              <w:ind w:left="259" w:firstLineChars="0" w:firstLine="0"/>
              <w:rPr>
                <w:rFonts w:ascii="宋体" w:hAnsi="宋体" w:cs="Times New Roman"/>
                <w:kern w:val="0"/>
                <w:sz w:val="21"/>
                <w:szCs w:val="21"/>
              </w:rPr>
            </w:pPr>
            <w:r w:rsidRPr="002B5221">
              <w:rPr>
                <w:rFonts w:ascii="宋体" w:hAnsi="宋体" w:cs="Times New Roman" w:hint="eastAsia"/>
                <w:b/>
                <w:bCs/>
                <w:kern w:val="0"/>
                <w:sz w:val="21"/>
                <w:szCs w:val="21"/>
              </w:rPr>
              <w:t>环境风险潜势</w:t>
            </w:r>
          </w:p>
        </w:tc>
        <w:tc>
          <w:tcPr>
            <w:tcW w:w="1789" w:type="dxa"/>
            <w:tcBorders>
              <w:top w:val="single" w:sz="4" w:space="0" w:color="000000"/>
              <w:left w:val="nil"/>
              <w:bottom w:val="single" w:sz="4" w:space="0" w:color="000000"/>
              <w:right w:val="single" w:sz="4" w:space="0" w:color="000000"/>
            </w:tcBorders>
          </w:tcPr>
          <w:p w14:paraId="4DB72E98" w14:textId="77777777" w:rsidR="0007525E" w:rsidRPr="002B5221" w:rsidRDefault="0007525E" w:rsidP="00FB6EE0">
            <w:pPr>
              <w:spacing w:before="79" w:line="240" w:lineRule="auto"/>
              <w:ind w:left="536" w:firstLineChars="0" w:firstLine="0"/>
              <w:rPr>
                <w:rFonts w:cs="Times New Roman"/>
                <w:kern w:val="0"/>
                <w:sz w:val="13"/>
                <w:szCs w:val="13"/>
              </w:rPr>
            </w:pPr>
            <w:r w:rsidRPr="002B5221">
              <w:rPr>
                <w:rFonts w:ascii="宋体" w:hAnsi="宋体" w:cs="Times New Roman" w:hint="eastAsia"/>
                <w:b/>
                <w:bCs/>
                <w:kern w:val="0"/>
                <w:sz w:val="21"/>
                <w:szCs w:val="21"/>
              </w:rPr>
              <w:t>Ⅳ、Ⅳ</w:t>
            </w:r>
            <w:r w:rsidRPr="002B5221">
              <w:rPr>
                <w:rFonts w:cs="Times New Roman"/>
                <w:b/>
                <w:bCs/>
                <w:kern w:val="0"/>
                <w:position w:val="7"/>
                <w:sz w:val="13"/>
                <w:szCs w:val="13"/>
              </w:rPr>
              <w:t>+</w:t>
            </w:r>
          </w:p>
        </w:tc>
        <w:tc>
          <w:tcPr>
            <w:tcW w:w="1789" w:type="dxa"/>
            <w:tcBorders>
              <w:top w:val="single" w:sz="4" w:space="0" w:color="000000"/>
              <w:left w:val="nil"/>
              <w:bottom w:val="single" w:sz="4" w:space="0" w:color="000000"/>
              <w:right w:val="single" w:sz="4" w:space="0" w:color="000000"/>
            </w:tcBorders>
          </w:tcPr>
          <w:p w14:paraId="078368F8" w14:textId="77777777" w:rsidR="0007525E" w:rsidRPr="002B5221" w:rsidRDefault="0007525E" w:rsidP="00FB6EE0">
            <w:pPr>
              <w:spacing w:before="79" w:line="240" w:lineRule="auto"/>
              <w:ind w:right="3" w:firstLineChars="0" w:firstLine="0"/>
              <w:jc w:val="center"/>
              <w:rPr>
                <w:rFonts w:ascii="宋体" w:hAnsi="宋体" w:cs="Times New Roman"/>
                <w:kern w:val="0"/>
                <w:sz w:val="21"/>
                <w:szCs w:val="21"/>
              </w:rPr>
            </w:pPr>
            <w:r w:rsidRPr="002B5221">
              <w:rPr>
                <w:rFonts w:ascii="宋体" w:hAnsi="宋体" w:cs="Times New Roman" w:hint="eastAsia"/>
                <w:b/>
                <w:bCs/>
                <w:kern w:val="0"/>
                <w:sz w:val="21"/>
                <w:szCs w:val="21"/>
              </w:rPr>
              <w:t>Ⅲ</w:t>
            </w:r>
          </w:p>
        </w:tc>
        <w:tc>
          <w:tcPr>
            <w:tcW w:w="1790" w:type="dxa"/>
            <w:tcBorders>
              <w:top w:val="single" w:sz="4" w:space="0" w:color="000000"/>
              <w:left w:val="nil"/>
              <w:bottom w:val="single" w:sz="4" w:space="0" w:color="000000"/>
              <w:right w:val="single" w:sz="4" w:space="0" w:color="000000"/>
            </w:tcBorders>
          </w:tcPr>
          <w:p w14:paraId="575EAD36" w14:textId="77777777" w:rsidR="0007525E" w:rsidRPr="002B5221" w:rsidRDefault="0007525E" w:rsidP="00FB6EE0">
            <w:pPr>
              <w:spacing w:before="79" w:line="240" w:lineRule="auto"/>
              <w:ind w:firstLineChars="0" w:firstLine="0"/>
              <w:jc w:val="center"/>
              <w:rPr>
                <w:rFonts w:ascii="宋体" w:hAnsi="宋体" w:cs="Times New Roman"/>
                <w:kern w:val="0"/>
                <w:sz w:val="21"/>
                <w:szCs w:val="21"/>
              </w:rPr>
            </w:pPr>
            <w:r w:rsidRPr="002B5221">
              <w:rPr>
                <w:rFonts w:ascii="宋体" w:hAnsi="宋体" w:cs="Times New Roman" w:hint="eastAsia"/>
                <w:b/>
                <w:bCs/>
                <w:kern w:val="0"/>
                <w:sz w:val="21"/>
                <w:szCs w:val="21"/>
              </w:rPr>
              <w:t>Ⅱ</w:t>
            </w:r>
          </w:p>
        </w:tc>
        <w:tc>
          <w:tcPr>
            <w:tcW w:w="1790" w:type="dxa"/>
            <w:tcBorders>
              <w:top w:val="single" w:sz="4" w:space="0" w:color="000000"/>
              <w:left w:val="nil"/>
              <w:bottom w:val="single" w:sz="4" w:space="0" w:color="000000"/>
              <w:right w:val="single" w:sz="4" w:space="0" w:color="000000"/>
            </w:tcBorders>
          </w:tcPr>
          <w:p w14:paraId="6627D685" w14:textId="77777777" w:rsidR="0007525E" w:rsidRPr="002B5221" w:rsidRDefault="0007525E" w:rsidP="00FB6EE0">
            <w:pPr>
              <w:spacing w:before="79" w:line="240" w:lineRule="auto"/>
              <w:ind w:right="1" w:firstLineChars="0" w:firstLine="0"/>
              <w:jc w:val="center"/>
              <w:rPr>
                <w:rFonts w:ascii="宋体" w:hAnsi="宋体" w:cs="Times New Roman"/>
                <w:kern w:val="0"/>
                <w:sz w:val="21"/>
                <w:szCs w:val="21"/>
              </w:rPr>
            </w:pPr>
            <w:r w:rsidRPr="002B5221">
              <w:rPr>
                <w:rFonts w:ascii="宋体" w:hAnsi="宋体" w:cs="Times New Roman" w:hint="eastAsia"/>
                <w:b/>
                <w:bCs/>
                <w:kern w:val="0"/>
                <w:sz w:val="21"/>
                <w:szCs w:val="21"/>
              </w:rPr>
              <w:t>Ⅰ</w:t>
            </w:r>
          </w:p>
        </w:tc>
      </w:tr>
      <w:tr w:rsidR="002B5221" w:rsidRPr="002B5221" w14:paraId="2F09A4A0" w14:textId="77777777" w:rsidTr="00FB6EE0">
        <w:trPr>
          <w:trHeight w:val="464"/>
        </w:trPr>
        <w:tc>
          <w:tcPr>
            <w:tcW w:w="1789" w:type="dxa"/>
            <w:tcBorders>
              <w:top w:val="single" w:sz="4" w:space="0" w:color="000000"/>
              <w:left w:val="single" w:sz="4" w:space="0" w:color="000000"/>
              <w:bottom w:val="single" w:sz="4" w:space="0" w:color="000000"/>
              <w:right w:val="single" w:sz="4" w:space="0" w:color="000000"/>
            </w:tcBorders>
          </w:tcPr>
          <w:p w14:paraId="1C1E7C23" w14:textId="77777777" w:rsidR="0007525E" w:rsidRPr="002B5221" w:rsidRDefault="0007525E" w:rsidP="00FB6EE0">
            <w:pPr>
              <w:spacing w:before="78" w:line="240" w:lineRule="auto"/>
              <w:ind w:left="468" w:firstLineChars="0" w:firstLine="0"/>
              <w:rPr>
                <w:rFonts w:ascii="宋体" w:hAnsi="宋体" w:cs="Times New Roman"/>
                <w:kern w:val="0"/>
                <w:sz w:val="21"/>
                <w:szCs w:val="21"/>
              </w:rPr>
            </w:pPr>
            <w:r w:rsidRPr="002B5221">
              <w:rPr>
                <w:rFonts w:ascii="宋体" w:hAnsi="宋体" w:cs="Times New Roman" w:hint="eastAsia"/>
                <w:kern w:val="0"/>
                <w:sz w:val="21"/>
                <w:szCs w:val="21"/>
              </w:rPr>
              <w:t>评价等级</w:t>
            </w:r>
          </w:p>
        </w:tc>
        <w:tc>
          <w:tcPr>
            <w:tcW w:w="1789" w:type="dxa"/>
            <w:tcBorders>
              <w:top w:val="single" w:sz="4" w:space="0" w:color="000000"/>
              <w:left w:val="nil"/>
              <w:bottom w:val="single" w:sz="4" w:space="0" w:color="000000"/>
              <w:right w:val="single" w:sz="4" w:space="0" w:color="000000"/>
            </w:tcBorders>
          </w:tcPr>
          <w:p w14:paraId="588D0888" w14:textId="77777777" w:rsidR="0007525E" w:rsidRPr="002B5221" w:rsidRDefault="0007525E" w:rsidP="00FB6EE0">
            <w:pPr>
              <w:spacing w:before="78" w:line="240" w:lineRule="auto"/>
              <w:ind w:right="1" w:firstLineChars="0" w:firstLine="0"/>
              <w:jc w:val="center"/>
              <w:rPr>
                <w:rFonts w:ascii="宋体" w:hAnsi="宋体" w:cs="Times New Roman"/>
                <w:kern w:val="0"/>
                <w:sz w:val="21"/>
                <w:szCs w:val="21"/>
              </w:rPr>
            </w:pPr>
            <w:proofErr w:type="gramStart"/>
            <w:r w:rsidRPr="002B5221">
              <w:rPr>
                <w:rFonts w:ascii="宋体" w:hAnsi="宋体" w:cs="Times New Roman" w:hint="eastAsia"/>
                <w:kern w:val="0"/>
                <w:sz w:val="21"/>
                <w:szCs w:val="21"/>
              </w:rPr>
              <w:t>一</w:t>
            </w:r>
            <w:proofErr w:type="gramEnd"/>
          </w:p>
        </w:tc>
        <w:tc>
          <w:tcPr>
            <w:tcW w:w="1789" w:type="dxa"/>
            <w:tcBorders>
              <w:top w:val="single" w:sz="4" w:space="0" w:color="000000"/>
              <w:left w:val="nil"/>
              <w:bottom w:val="single" w:sz="4" w:space="0" w:color="000000"/>
              <w:right w:val="single" w:sz="4" w:space="0" w:color="000000"/>
            </w:tcBorders>
          </w:tcPr>
          <w:p w14:paraId="358D1DA0" w14:textId="77777777" w:rsidR="0007525E" w:rsidRPr="002B5221" w:rsidRDefault="0007525E" w:rsidP="00FB6EE0">
            <w:pPr>
              <w:spacing w:before="78" w:line="240" w:lineRule="auto"/>
              <w:ind w:right="3" w:firstLineChars="0" w:firstLine="0"/>
              <w:jc w:val="center"/>
              <w:rPr>
                <w:rFonts w:ascii="宋体" w:hAnsi="宋体" w:cs="Times New Roman"/>
                <w:kern w:val="0"/>
                <w:sz w:val="21"/>
                <w:szCs w:val="21"/>
              </w:rPr>
            </w:pPr>
            <w:r w:rsidRPr="002B5221">
              <w:rPr>
                <w:rFonts w:ascii="宋体" w:hAnsi="宋体" w:cs="Times New Roman" w:hint="eastAsia"/>
                <w:kern w:val="0"/>
                <w:sz w:val="21"/>
                <w:szCs w:val="21"/>
              </w:rPr>
              <w:t>二</w:t>
            </w:r>
          </w:p>
        </w:tc>
        <w:tc>
          <w:tcPr>
            <w:tcW w:w="1790" w:type="dxa"/>
            <w:tcBorders>
              <w:top w:val="single" w:sz="4" w:space="0" w:color="000000"/>
              <w:left w:val="nil"/>
              <w:bottom w:val="single" w:sz="4" w:space="0" w:color="000000"/>
              <w:right w:val="single" w:sz="4" w:space="0" w:color="000000"/>
            </w:tcBorders>
          </w:tcPr>
          <w:p w14:paraId="01B66343" w14:textId="77777777" w:rsidR="0007525E" w:rsidRPr="002B5221" w:rsidRDefault="0007525E" w:rsidP="00FB6EE0">
            <w:pPr>
              <w:spacing w:before="78" w:line="240" w:lineRule="auto"/>
              <w:ind w:firstLineChars="0" w:firstLine="0"/>
              <w:jc w:val="center"/>
              <w:rPr>
                <w:rFonts w:ascii="宋体" w:hAnsi="宋体" w:cs="Times New Roman"/>
                <w:kern w:val="0"/>
                <w:sz w:val="21"/>
                <w:szCs w:val="21"/>
              </w:rPr>
            </w:pPr>
            <w:r w:rsidRPr="002B5221">
              <w:rPr>
                <w:rFonts w:ascii="宋体" w:hAnsi="宋体" w:cs="Times New Roman" w:hint="eastAsia"/>
                <w:kern w:val="0"/>
                <w:sz w:val="21"/>
                <w:szCs w:val="21"/>
              </w:rPr>
              <w:t>三</w:t>
            </w:r>
          </w:p>
        </w:tc>
        <w:tc>
          <w:tcPr>
            <w:tcW w:w="1790" w:type="dxa"/>
            <w:tcBorders>
              <w:top w:val="single" w:sz="4" w:space="0" w:color="000000"/>
              <w:left w:val="nil"/>
              <w:bottom w:val="single" w:sz="4" w:space="0" w:color="000000"/>
              <w:right w:val="single" w:sz="4" w:space="0" w:color="000000"/>
            </w:tcBorders>
          </w:tcPr>
          <w:p w14:paraId="4D0AB68A" w14:textId="77777777" w:rsidR="0007525E" w:rsidRPr="002B5221" w:rsidRDefault="0007525E" w:rsidP="00FB6EE0">
            <w:pPr>
              <w:spacing w:before="78" w:line="240" w:lineRule="auto"/>
              <w:ind w:left="412" w:firstLineChars="0" w:firstLine="0"/>
              <w:rPr>
                <w:rFonts w:cs="Times New Roman"/>
                <w:kern w:val="0"/>
                <w:sz w:val="13"/>
                <w:szCs w:val="13"/>
              </w:rPr>
            </w:pPr>
            <w:r w:rsidRPr="002B5221">
              <w:rPr>
                <w:rFonts w:ascii="宋体" w:hAnsi="宋体" w:cs="Times New Roman" w:hint="eastAsia"/>
                <w:kern w:val="0"/>
                <w:sz w:val="21"/>
                <w:szCs w:val="21"/>
              </w:rPr>
              <w:t>简单分析</w:t>
            </w:r>
            <w:r w:rsidRPr="002B5221">
              <w:rPr>
                <w:rFonts w:cs="Times New Roman"/>
                <w:kern w:val="0"/>
                <w:position w:val="7"/>
                <w:sz w:val="13"/>
                <w:szCs w:val="13"/>
              </w:rPr>
              <w:t>a</w:t>
            </w:r>
          </w:p>
        </w:tc>
      </w:tr>
      <w:tr w:rsidR="002B5221" w:rsidRPr="002B5221" w14:paraId="5836B8A4" w14:textId="77777777" w:rsidTr="00FB6EE0">
        <w:trPr>
          <w:trHeight w:val="950"/>
        </w:trPr>
        <w:tc>
          <w:tcPr>
            <w:tcW w:w="8947" w:type="dxa"/>
            <w:gridSpan w:val="5"/>
            <w:tcBorders>
              <w:top w:val="single" w:sz="4" w:space="0" w:color="000000"/>
              <w:left w:val="single" w:sz="4" w:space="0" w:color="000000"/>
              <w:bottom w:val="single" w:sz="4" w:space="0" w:color="000000"/>
              <w:right w:val="single" w:sz="4" w:space="0" w:color="000000"/>
            </w:tcBorders>
          </w:tcPr>
          <w:p w14:paraId="1FFD6C76" w14:textId="77777777" w:rsidR="0007525E" w:rsidRPr="002B5221" w:rsidRDefault="0007525E" w:rsidP="00FB6EE0">
            <w:pPr>
              <w:spacing w:before="161" w:line="264" w:lineRule="auto"/>
              <w:ind w:left="2686" w:right="100" w:firstLineChars="0" w:hanging="2580"/>
              <w:rPr>
                <w:rFonts w:cs="Times New Roman"/>
                <w:kern w:val="0"/>
                <w:sz w:val="21"/>
                <w:szCs w:val="21"/>
              </w:rPr>
            </w:pPr>
            <w:r w:rsidRPr="002B5221">
              <w:rPr>
                <w:rFonts w:cs="Times New Roman"/>
                <w:kern w:val="0"/>
                <w:sz w:val="21"/>
                <w:szCs w:val="21"/>
              </w:rPr>
              <w:t>a</w:t>
            </w:r>
            <w:r w:rsidRPr="002B5221">
              <w:rPr>
                <w:rFonts w:ascii="宋体" w:hAnsi="宋体" w:cs="Times New Roman" w:hint="eastAsia"/>
                <w:kern w:val="0"/>
                <w:sz w:val="21"/>
                <w:szCs w:val="21"/>
              </w:rPr>
              <w:t>是相对于详细评价工作内容而言，在描述危险物质、环境影响途径、环境危害后果、风险防范措施等方面给出定性的说明。见附录</w:t>
            </w:r>
            <w:r w:rsidRPr="002B5221">
              <w:rPr>
                <w:rFonts w:cs="Times New Roman"/>
                <w:kern w:val="0"/>
                <w:sz w:val="21"/>
                <w:szCs w:val="21"/>
              </w:rPr>
              <w:t>A</w:t>
            </w:r>
          </w:p>
        </w:tc>
      </w:tr>
    </w:tbl>
    <w:p w14:paraId="34F6C13A" w14:textId="77777777" w:rsidR="00E579B9" w:rsidRDefault="006A1398">
      <w:pPr>
        <w:pStyle w:val="3"/>
        <w:ind w:firstLine="560"/>
      </w:pPr>
      <w:bookmarkStart w:id="55" w:name="_Toc535847432"/>
      <w:r>
        <w:t>2.8.2</w:t>
      </w:r>
      <w:r>
        <w:t>评价范围</w:t>
      </w:r>
      <w:bookmarkEnd w:id="55"/>
    </w:p>
    <w:p w14:paraId="795FAE93" w14:textId="77D80C35" w:rsidR="00E579B9" w:rsidRDefault="006A1398">
      <w:r>
        <w:t>根据项目污染物扩散特点、区域环境特征及项目评价等级，确定各项环境要素评价范围，见表</w:t>
      </w:r>
      <w:r>
        <w:t>2.8-</w:t>
      </w:r>
      <w:r w:rsidR="00810572">
        <w:rPr>
          <w:rFonts w:hint="eastAsia"/>
        </w:rPr>
        <w:t>8</w:t>
      </w:r>
      <w:r>
        <w:t>。</w:t>
      </w:r>
    </w:p>
    <w:p w14:paraId="66B93BCE" w14:textId="48D48F12" w:rsidR="00E579B9" w:rsidRDefault="006A1398">
      <w:pPr>
        <w:pStyle w:val="21"/>
      </w:pPr>
      <w:r>
        <w:t>表</w:t>
      </w:r>
      <w:r>
        <w:t>2.8-</w:t>
      </w:r>
      <w:r w:rsidR="00810572">
        <w:rPr>
          <w:rFonts w:hint="eastAsia"/>
        </w:rPr>
        <w:t>8</w:t>
      </w:r>
      <w:r>
        <w:t>项目各环境要素评价范围一览表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186"/>
        <w:gridCol w:w="2832"/>
        <w:gridCol w:w="4702"/>
      </w:tblGrid>
      <w:tr w:rsidR="00E579B9" w14:paraId="7276D654" w14:textId="77777777">
        <w:trPr>
          <w:trHeight w:val="20"/>
          <w:tblHeader/>
          <w:jc w:val="center"/>
        </w:trPr>
        <w:tc>
          <w:tcPr>
            <w:tcW w:w="1186" w:type="dxa"/>
            <w:vAlign w:val="center"/>
          </w:tcPr>
          <w:p w14:paraId="6B383828" w14:textId="77777777" w:rsidR="00E579B9" w:rsidRDefault="006A1398">
            <w:pPr>
              <w:pStyle w:val="aa"/>
            </w:pPr>
            <w:r>
              <w:t>环境要素</w:t>
            </w:r>
          </w:p>
        </w:tc>
        <w:tc>
          <w:tcPr>
            <w:tcW w:w="2832" w:type="dxa"/>
          </w:tcPr>
          <w:p w14:paraId="66CF4D11" w14:textId="77777777" w:rsidR="00E579B9" w:rsidRDefault="006A1398">
            <w:pPr>
              <w:pStyle w:val="aa"/>
            </w:pPr>
            <w:r>
              <w:t>评价等级</w:t>
            </w:r>
          </w:p>
        </w:tc>
        <w:tc>
          <w:tcPr>
            <w:tcW w:w="4702" w:type="dxa"/>
            <w:vAlign w:val="center"/>
          </w:tcPr>
          <w:p w14:paraId="39CC6CCD" w14:textId="77777777" w:rsidR="00E579B9" w:rsidRDefault="006A1398">
            <w:pPr>
              <w:pStyle w:val="aa"/>
            </w:pPr>
            <w:r>
              <w:t>评价范围</w:t>
            </w:r>
          </w:p>
        </w:tc>
      </w:tr>
      <w:tr w:rsidR="00E579B9" w14:paraId="05D55C63" w14:textId="77777777">
        <w:trPr>
          <w:trHeight w:val="254"/>
          <w:jc w:val="center"/>
        </w:trPr>
        <w:tc>
          <w:tcPr>
            <w:tcW w:w="1186" w:type="dxa"/>
            <w:vAlign w:val="center"/>
          </w:tcPr>
          <w:p w14:paraId="540936E5" w14:textId="77777777" w:rsidR="00E579B9" w:rsidRDefault="006A1398">
            <w:pPr>
              <w:pStyle w:val="aa"/>
            </w:pPr>
            <w:r>
              <w:t>环境空气</w:t>
            </w:r>
          </w:p>
        </w:tc>
        <w:tc>
          <w:tcPr>
            <w:tcW w:w="2832" w:type="dxa"/>
            <w:vAlign w:val="center"/>
          </w:tcPr>
          <w:p w14:paraId="008BDC11" w14:textId="77777777" w:rsidR="00E579B9" w:rsidRDefault="006A1398">
            <w:pPr>
              <w:pStyle w:val="aa"/>
            </w:pPr>
            <w:r>
              <w:t>二级</w:t>
            </w:r>
          </w:p>
        </w:tc>
        <w:tc>
          <w:tcPr>
            <w:tcW w:w="4702" w:type="dxa"/>
            <w:vAlign w:val="center"/>
          </w:tcPr>
          <w:p w14:paraId="108628BC" w14:textId="77777777" w:rsidR="00E579B9" w:rsidRDefault="006A1398">
            <w:pPr>
              <w:widowControl w:val="0"/>
              <w:ind w:firstLine="420"/>
              <w:jc w:val="both"/>
              <w:rPr>
                <w:rFonts w:cs="Times New Roman"/>
                <w:szCs w:val="24"/>
              </w:rPr>
            </w:pPr>
            <w:r>
              <w:rPr>
                <w:rFonts w:ascii="宋体" w:hAnsi="宋体" w:cs="Times New Roman"/>
                <w:sz w:val="21"/>
                <w:szCs w:val="21"/>
              </w:rPr>
              <w:t>采场</w:t>
            </w:r>
            <w:r>
              <w:rPr>
                <w:rFonts w:ascii="宋体" w:hAnsi="宋体" w:cs="Times New Roman" w:hint="eastAsia"/>
                <w:sz w:val="21"/>
                <w:szCs w:val="21"/>
              </w:rPr>
              <w:t>及破碎场</w:t>
            </w:r>
            <w:r>
              <w:rPr>
                <w:rFonts w:ascii="宋体" w:hAnsi="宋体" w:cs="Times New Roman"/>
                <w:sz w:val="21"/>
                <w:szCs w:val="21"/>
              </w:rPr>
              <w:t>外扩</w:t>
            </w:r>
            <w:r>
              <w:rPr>
                <w:rFonts w:cs="Times New Roman"/>
                <w:sz w:val="21"/>
                <w:szCs w:val="21"/>
              </w:rPr>
              <w:t>2.5km</w:t>
            </w:r>
            <w:r>
              <w:rPr>
                <w:rFonts w:ascii="宋体" w:hAnsi="宋体" w:cs="Times New Roman" w:hint="eastAsia"/>
                <w:sz w:val="21"/>
                <w:szCs w:val="21"/>
              </w:rPr>
              <w:t>的矩形区域</w:t>
            </w:r>
          </w:p>
        </w:tc>
      </w:tr>
      <w:tr w:rsidR="00E579B9" w14:paraId="76D25851" w14:textId="77777777">
        <w:trPr>
          <w:trHeight w:val="20"/>
          <w:jc w:val="center"/>
        </w:trPr>
        <w:tc>
          <w:tcPr>
            <w:tcW w:w="1186" w:type="dxa"/>
            <w:vAlign w:val="center"/>
          </w:tcPr>
          <w:p w14:paraId="654607C2" w14:textId="77777777" w:rsidR="00E579B9" w:rsidRDefault="006A1398">
            <w:pPr>
              <w:pStyle w:val="aa"/>
            </w:pPr>
            <w:r>
              <w:t>地表水</w:t>
            </w:r>
          </w:p>
        </w:tc>
        <w:tc>
          <w:tcPr>
            <w:tcW w:w="2832" w:type="dxa"/>
            <w:vAlign w:val="center"/>
          </w:tcPr>
          <w:p w14:paraId="4AA4921A" w14:textId="77777777" w:rsidR="00E579B9" w:rsidRDefault="006A1398">
            <w:pPr>
              <w:widowControl w:val="0"/>
              <w:ind w:firstLineChars="450" w:firstLine="945"/>
              <w:jc w:val="both"/>
              <w:rPr>
                <w:rFonts w:cs="Times New Roman"/>
                <w:szCs w:val="24"/>
              </w:rPr>
            </w:pPr>
            <w:r>
              <w:rPr>
                <w:rFonts w:ascii="宋体" w:hAnsi="宋体" w:cs="Times New Roman" w:hint="eastAsia"/>
                <w:sz w:val="21"/>
                <w:szCs w:val="21"/>
              </w:rPr>
              <w:t>三级</w:t>
            </w:r>
            <w:r>
              <w:rPr>
                <w:rFonts w:cs="Times New Roman" w:hint="eastAsia"/>
                <w:sz w:val="21"/>
                <w:szCs w:val="21"/>
              </w:rPr>
              <w:t>B</w:t>
            </w:r>
          </w:p>
        </w:tc>
        <w:tc>
          <w:tcPr>
            <w:tcW w:w="4702" w:type="dxa"/>
            <w:vAlign w:val="center"/>
          </w:tcPr>
          <w:p w14:paraId="2685D1E7" w14:textId="77777777" w:rsidR="00E579B9" w:rsidRDefault="006A1398">
            <w:pPr>
              <w:pStyle w:val="aa"/>
            </w:pPr>
            <w:r>
              <w:t>不做定量预测，仅作定性分析</w:t>
            </w:r>
          </w:p>
        </w:tc>
      </w:tr>
      <w:tr w:rsidR="00E579B9" w14:paraId="2599D7B3" w14:textId="77777777">
        <w:trPr>
          <w:trHeight w:val="20"/>
          <w:jc w:val="center"/>
        </w:trPr>
        <w:tc>
          <w:tcPr>
            <w:tcW w:w="1186" w:type="dxa"/>
            <w:vAlign w:val="center"/>
          </w:tcPr>
          <w:p w14:paraId="7E930D9D" w14:textId="77777777" w:rsidR="00E579B9" w:rsidRDefault="006A1398">
            <w:pPr>
              <w:pStyle w:val="aa"/>
            </w:pPr>
            <w:r>
              <w:t>声环境</w:t>
            </w:r>
          </w:p>
        </w:tc>
        <w:tc>
          <w:tcPr>
            <w:tcW w:w="2832" w:type="dxa"/>
            <w:vAlign w:val="center"/>
          </w:tcPr>
          <w:p w14:paraId="6A7E3958" w14:textId="77777777" w:rsidR="00E579B9" w:rsidRDefault="006A1398">
            <w:pPr>
              <w:pStyle w:val="aa"/>
            </w:pPr>
            <w:r>
              <w:t>二级</w:t>
            </w:r>
          </w:p>
        </w:tc>
        <w:tc>
          <w:tcPr>
            <w:tcW w:w="4702" w:type="dxa"/>
            <w:vAlign w:val="center"/>
          </w:tcPr>
          <w:p w14:paraId="076AC1CF" w14:textId="77777777" w:rsidR="00E579B9" w:rsidRDefault="006A1398">
            <w:pPr>
              <w:pStyle w:val="aa"/>
            </w:pPr>
            <w:r>
              <w:rPr>
                <w:rFonts w:hint="eastAsia"/>
              </w:rPr>
              <w:t>采区及破碎筛分场地周边</w:t>
            </w:r>
            <w:r>
              <w:rPr>
                <w:rFonts w:hint="eastAsia"/>
              </w:rPr>
              <w:t>200m</w:t>
            </w:r>
            <w:r>
              <w:rPr>
                <w:rFonts w:hint="eastAsia"/>
              </w:rPr>
              <w:t>的居民点、运输道路两侧</w:t>
            </w:r>
            <w:r>
              <w:rPr>
                <w:rFonts w:hint="eastAsia"/>
              </w:rPr>
              <w:t>200m</w:t>
            </w:r>
            <w:r>
              <w:rPr>
                <w:rFonts w:hint="eastAsia"/>
              </w:rPr>
              <w:t>范围内居民点</w:t>
            </w:r>
          </w:p>
        </w:tc>
      </w:tr>
      <w:tr w:rsidR="00E579B9" w14:paraId="2EFB12E6" w14:textId="77777777">
        <w:trPr>
          <w:trHeight w:val="20"/>
          <w:jc w:val="center"/>
        </w:trPr>
        <w:tc>
          <w:tcPr>
            <w:tcW w:w="1186" w:type="dxa"/>
            <w:vAlign w:val="center"/>
          </w:tcPr>
          <w:p w14:paraId="19F4BC08" w14:textId="77777777" w:rsidR="00E579B9" w:rsidRDefault="006A1398">
            <w:pPr>
              <w:pStyle w:val="aa"/>
            </w:pPr>
            <w:r>
              <w:lastRenderedPageBreak/>
              <w:t>生态环境</w:t>
            </w:r>
          </w:p>
        </w:tc>
        <w:tc>
          <w:tcPr>
            <w:tcW w:w="2832" w:type="dxa"/>
            <w:vAlign w:val="center"/>
          </w:tcPr>
          <w:p w14:paraId="5CDE35C1" w14:textId="77777777" w:rsidR="00E579B9" w:rsidRDefault="006A1398">
            <w:pPr>
              <w:pStyle w:val="aa"/>
            </w:pPr>
            <w:r>
              <w:t>三级</w:t>
            </w:r>
          </w:p>
        </w:tc>
        <w:tc>
          <w:tcPr>
            <w:tcW w:w="4702" w:type="dxa"/>
            <w:vAlign w:val="center"/>
          </w:tcPr>
          <w:p w14:paraId="53C10574" w14:textId="77777777" w:rsidR="00E579B9" w:rsidRDefault="006A1398">
            <w:pPr>
              <w:pStyle w:val="aa"/>
            </w:pPr>
            <w:r>
              <w:rPr>
                <w:rFonts w:hint="eastAsia"/>
              </w:rPr>
              <w:t>根据项目的特点及项目所处区域地形特征、生态环境的连通性、完整性及影响方向，生态评价范围：</w:t>
            </w:r>
            <w:r>
              <w:rPr>
                <w:rFonts w:cs="Times New Roman"/>
                <w:szCs w:val="21"/>
              </w:rPr>
              <w:t>结合矿区周围地形地貌，矿区范围向外扩展</w:t>
            </w:r>
            <w:r>
              <w:rPr>
                <w:rFonts w:cs="Times New Roman"/>
                <w:szCs w:val="21"/>
              </w:rPr>
              <w:t>500</w:t>
            </w:r>
            <w:r>
              <w:rPr>
                <w:rFonts w:cs="Times New Roman" w:hint="eastAsia"/>
                <w:szCs w:val="21"/>
              </w:rPr>
              <w:t>-1000</w:t>
            </w:r>
            <w:r>
              <w:rPr>
                <w:rFonts w:cs="Times New Roman"/>
                <w:szCs w:val="21"/>
              </w:rPr>
              <w:t>m</w:t>
            </w:r>
            <w:r>
              <w:rPr>
                <w:rFonts w:cs="Times New Roman"/>
                <w:szCs w:val="21"/>
              </w:rPr>
              <w:t>左右，面积约</w:t>
            </w:r>
            <w:r>
              <w:rPr>
                <w:rFonts w:cs="Times New Roman" w:hint="eastAsia"/>
                <w:szCs w:val="21"/>
              </w:rPr>
              <w:t>295h</w:t>
            </w:r>
            <w:r>
              <w:rPr>
                <w:rFonts w:cs="Times New Roman"/>
                <w:szCs w:val="21"/>
              </w:rPr>
              <w:t>m</w:t>
            </w:r>
            <w:r>
              <w:rPr>
                <w:rFonts w:cs="Times New Roman"/>
                <w:szCs w:val="21"/>
                <w:vertAlign w:val="superscript"/>
              </w:rPr>
              <w:t>2</w:t>
            </w:r>
          </w:p>
        </w:tc>
      </w:tr>
      <w:tr w:rsidR="0007525E" w14:paraId="4FF223D3" w14:textId="77777777">
        <w:trPr>
          <w:trHeight w:val="20"/>
          <w:jc w:val="center"/>
        </w:trPr>
        <w:tc>
          <w:tcPr>
            <w:tcW w:w="1186" w:type="dxa"/>
            <w:vAlign w:val="center"/>
          </w:tcPr>
          <w:p w14:paraId="3D41DF18" w14:textId="2E77D1EF" w:rsidR="0007525E" w:rsidRPr="0007525E" w:rsidRDefault="0007525E">
            <w:pPr>
              <w:pStyle w:val="aa"/>
              <w:rPr>
                <w:color w:val="FF0000"/>
              </w:rPr>
            </w:pPr>
            <w:r w:rsidRPr="0007525E">
              <w:rPr>
                <w:rFonts w:hint="eastAsia"/>
                <w:color w:val="FF0000"/>
              </w:rPr>
              <w:t>环境风险</w:t>
            </w:r>
          </w:p>
        </w:tc>
        <w:tc>
          <w:tcPr>
            <w:tcW w:w="2832" w:type="dxa"/>
            <w:vAlign w:val="center"/>
          </w:tcPr>
          <w:p w14:paraId="23187A94" w14:textId="3E9FC6E9" w:rsidR="0007525E" w:rsidRPr="0007525E" w:rsidRDefault="0007525E">
            <w:pPr>
              <w:pStyle w:val="aa"/>
              <w:rPr>
                <w:color w:val="FF0000"/>
              </w:rPr>
            </w:pPr>
            <w:r w:rsidRPr="0007525E">
              <w:rPr>
                <w:rFonts w:hint="eastAsia"/>
                <w:color w:val="FF0000"/>
              </w:rPr>
              <w:t>简单分析</w:t>
            </w:r>
          </w:p>
        </w:tc>
        <w:tc>
          <w:tcPr>
            <w:tcW w:w="4702" w:type="dxa"/>
            <w:vAlign w:val="center"/>
          </w:tcPr>
          <w:p w14:paraId="7D2357F4" w14:textId="1D8172F1" w:rsidR="0007525E" w:rsidRPr="0007525E" w:rsidRDefault="0007525E">
            <w:pPr>
              <w:pStyle w:val="aa"/>
              <w:rPr>
                <w:color w:val="FF0000"/>
              </w:rPr>
            </w:pPr>
            <w:r w:rsidRPr="0007525E">
              <w:rPr>
                <w:rFonts w:ascii="宋体" w:hAnsi="宋体" w:cs="宋体"/>
                <w:color w:val="FF0000"/>
                <w:kern w:val="0"/>
                <w:szCs w:val="21"/>
              </w:rPr>
              <w:t>项目储油罐及排土场周边</w:t>
            </w:r>
            <w:r w:rsidRPr="0007525E">
              <w:rPr>
                <w:rFonts w:eastAsia="Times New Roman" w:cs="Times New Roman"/>
                <w:color w:val="FF0000"/>
                <w:kern w:val="0"/>
                <w:szCs w:val="21"/>
              </w:rPr>
              <w:t>3km</w:t>
            </w:r>
            <w:r w:rsidRPr="0007525E">
              <w:rPr>
                <w:rFonts w:ascii="宋体" w:hAnsi="宋体" w:cs="宋体"/>
                <w:color w:val="FF0000"/>
                <w:kern w:val="0"/>
                <w:szCs w:val="21"/>
              </w:rPr>
              <w:t>。</w:t>
            </w:r>
          </w:p>
        </w:tc>
      </w:tr>
    </w:tbl>
    <w:p w14:paraId="7110E0A3" w14:textId="77777777" w:rsidR="00E579B9" w:rsidRDefault="006A1398">
      <w:pPr>
        <w:pStyle w:val="2"/>
        <w:ind w:firstLine="560"/>
      </w:pPr>
      <w:bookmarkStart w:id="56" w:name="_Toc535847433"/>
      <w:bookmarkStart w:id="57" w:name="_Toc33021788"/>
      <w:r>
        <w:rPr>
          <w:rFonts w:hint="eastAsia"/>
        </w:rPr>
        <w:t>2.</w:t>
      </w:r>
      <w:r>
        <w:t>9</w:t>
      </w:r>
      <w:r>
        <w:rPr>
          <w:rFonts w:hint="eastAsia"/>
        </w:rPr>
        <w:t>保护目标及控制污染</w:t>
      </w:r>
      <w:bookmarkEnd w:id="56"/>
      <w:bookmarkEnd w:id="57"/>
    </w:p>
    <w:p w14:paraId="2F86BA50" w14:textId="77777777" w:rsidR="00E579B9" w:rsidRDefault="006A1398">
      <w:pPr>
        <w:pStyle w:val="3"/>
        <w:ind w:firstLine="560"/>
      </w:pPr>
      <w:bookmarkStart w:id="58" w:name="_Toc535847434"/>
      <w:r>
        <w:t>2.9.1</w:t>
      </w:r>
      <w:r>
        <w:t>保护目标</w:t>
      </w:r>
      <w:bookmarkEnd w:id="58"/>
    </w:p>
    <w:p w14:paraId="5EA65485" w14:textId="77777777" w:rsidR="00E579B9" w:rsidRDefault="006A1398">
      <w:r>
        <w:t>项目所在区域为丘陵、山地，矿区范围内无自然保护区、风景旅游点等珍贵景观，无基本农田等其他需要特殊保护的目标。</w:t>
      </w:r>
      <w:r>
        <w:rPr>
          <w:spacing w:val="2"/>
        </w:rPr>
        <w:t>在对工程特点、厂址周围环境情况分析调查后，结合当地环保要求及环境功能区划，确定</w:t>
      </w:r>
      <w:r>
        <w:t>本项目主要保护对象为矿区周围的村庄居民点、环境空气、地表水、地下水、声环境、植被、动物等。主要环境保护目标详见表</w:t>
      </w:r>
      <w:r>
        <w:t>2.9-1</w:t>
      </w:r>
      <w:r>
        <w:t>。</w:t>
      </w:r>
    </w:p>
    <w:p w14:paraId="2E055AC5" w14:textId="77777777" w:rsidR="00E579B9" w:rsidRDefault="006A1398">
      <w:pPr>
        <w:pStyle w:val="21"/>
      </w:pPr>
      <w:r>
        <w:t>表</w:t>
      </w:r>
      <w:r>
        <w:t>2.9-1</w:t>
      </w:r>
      <w:r>
        <w:t>主要环境保护目标一览表</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989"/>
        <w:gridCol w:w="1416"/>
        <w:gridCol w:w="1010"/>
        <w:gridCol w:w="928"/>
        <w:gridCol w:w="950"/>
        <w:gridCol w:w="1329"/>
        <w:gridCol w:w="2089"/>
        <w:gridCol w:w="9"/>
      </w:tblGrid>
      <w:tr w:rsidR="00E579B9" w14:paraId="6D48ACA9" w14:textId="77777777">
        <w:trPr>
          <w:trHeight w:val="285"/>
        </w:trPr>
        <w:tc>
          <w:tcPr>
            <w:tcW w:w="989" w:type="dxa"/>
            <w:vMerge w:val="restart"/>
            <w:shd w:val="clear" w:color="auto" w:fill="auto"/>
            <w:vAlign w:val="center"/>
          </w:tcPr>
          <w:p w14:paraId="1E77F2FD" w14:textId="77777777" w:rsidR="00E579B9" w:rsidRDefault="006A1398">
            <w:pPr>
              <w:pStyle w:val="aa"/>
            </w:pPr>
            <w:r>
              <w:t>环境要素</w:t>
            </w:r>
          </w:p>
          <w:p w14:paraId="7AB188F5" w14:textId="77777777" w:rsidR="00E579B9" w:rsidRDefault="00E579B9">
            <w:pPr>
              <w:pStyle w:val="aa"/>
              <w:rPr>
                <w:highlight w:val="yellow"/>
              </w:rPr>
            </w:pPr>
          </w:p>
        </w:tc>
        <w:tc>
          <w:tcPr>
            <w:tcW w:w="5633" w:type="dxa"/>
            <w:gridSpan w:val="5"/>
            <w:shd w:val="clear" w:color="auto" w:fill="auto"/>
            <w:vAlign w:val="center"/>
          </w:tcPr>
          <w:p w14:paraId="07E00FED" w14:textId="77777777" w:rsidR="00E579B9" w:rsidRDefault="006A1398">
            <w:pPr>
              <w:pStyle w:val="aa"/>
            </w:pPr>
            <w:r>
              <w:t>保护目标</w:t>
            </w:r>
          </w:p>
        </w:tc>
        <w:tc>
          <w:tcPr>
            <w:tcW w:w="2098" w:type="dxa"/>
            <w:gridSpan w:val="2"/>
            <w:vMerge w:val="restart"/>
            <w:shd w:val="clear" w:color="auto" w:fill="auto"/>
            <w:vAlign w:val="center"/>
          </w:tcPr>
          <w:p w14:paraId="39CFA062" w14:textId="77777777" w:rsidR="00E579B9" w:rsidRDefault="006A1398">
            <w:pPr>
              <w:pStyle w:val="aa"/>
            </w:pPr>
            <w:r>
              <w:t>所在区环境功能区划</w:t>
            </w:r>
          </w:p>
        </w:tc>
      </w:tr>
      <w:tr w:rsidR="00E579B9" w14:paraId="3BA83673" w14:textId="77777777">
        <w:trPr>
          <w:trHeight w:val="285"/>
        </w:trPr>
        <w:tc>
          <w:tcPr>
            <w:tcW w:w="989" w:type="dxa"/>
            <w:vMerge/>
            <w:vAlign w:val="center"/>
          </w:tcPr>
          <w:p w14:paraId="1814C02A" w14:textId="77777777" w:rsidR="00E579B9" w:rsidRDefault="00E579B9">
            <w:pPr>
              <w:pStyle w:val="aa"/>
              <w:rPr>
                <w:highlight w:val="yellow"/>
              </w:rPr>
            </w:pPr>
          </w:p>
        </w:tc>
        <w:tc>
          <w:tcPr>
            <w:tcW w:w="1416" w:type="dxa"/>
            <w:shd w:val="clear" w:color="auto" w:fill="auto"/>
            <w:vAlign w:val="center"/>
          </w:tcPr>
          <w:p w14:paraId="6F1CCCF8" w14:textId="77777777" w:rsidR="00E579B9" w:rsidRDefault="006A1398">
            <w:pPr>
              <w:pStyle w:val="aa"/>
            </w:pPr>
            <w:r>
              <w:t>名称</w:t>
            </w:r>
          </w:p>
        </w:tc>
        <w:tc>
          <w:tcPr>
            <w:tcW w:w="1010" w:type="dxa"/>
            <w:shd w:val="clear" w:color="auto" w:fill="auto"/>
            <w:vAlign w:val="center"/>
          </w:tcPr>
          <w:p w14:paraId="3EF02B66" w14:textId="77777777" w:rsidR="00E579B9" w:rsidRDefault="006A1398">
            <w:pPr>
              <w:pStyle w:val="aa"/>
            </w:pPr>
            <w:r>
              <w:t>方位</w:t>
            </w:r>
          </w:p>
        </w:tc>
        <w:tc>
          <w:tcPr>
            <w:tcW w:w="928" w:type="dxa"/>
            <w:shd w:val="clear" w:color="auto" w:fill="auto"/>
            <w:vAlign w:val="center"/>
          </w:tcPr>
          <w:p w14:paraId="1EBDB1B6" w14:textId="77777777" w:rsidR="00E579B9" w:rsidRDefault="006A1398">
            <w:pPr>
              <w:pStyle w:val="aa"/>
            </w:pPr>
            <w:r>
              <w:t>距离（</w:t>
            </w:r>
            <w:r>
              <w:t>m</w:t>
            </w:r>
            <w:r>
              <w:t>）</w:t>
            </w:r>
          </w:p>
        </w:tc>
        <w:tc>
          <w:tcPr>
            <w:tcW w:w="950" w:type="dxa"/>
            <w:shd w:val="clear" w:color="auto" w:fill="auto"/>
            <w:vAlign w:val="center"/>
          </w:tcPr>
          <w:p w14:paraId="6E575BCC" w14:textId="77777777" w:rsidR="00E579B9" w:rsidRDefault="006A1398">
            <w:pPr>
              <w:pStyle w:val="aa"/>
            </w:pPr>
            <w:r>
              <w:t>户数</w:t>
            </w:r>
          </w:p>
          <w:p w14:paraId="2869824B" w14:textId="77777777" w:rsidR="00E579B9" w:rsidRDefault="006A1398">
            <w:pPr>
              <w:pStyle w:val="aa"/>
            </w:pPr>
            <w:r>
              <w:rPr>
                <w:rFonts w:hint="eastAsia"/>
              </w:rPr>
              <w:t>（户）</w:t>
            </w:r>
          </w:p>
        </w:tc>
        <w:tc>
          <w:tcPr>
            <w:tcW w:w="1329" w:type="dxa"/>
            <w:shd w:val="clear" w:color="auto" w:fill="auto"/>
            <w:vAlign w:val="center"/>
          </w:tcPr>
          <w:p w14:paraId="72B84159" w14:textId="77777777" w:rsidR="00E579B9" w:rsidRDefault="006A1398">
            <w:pPr>
              <w:pStyle w:val="aa"/>
            </w:pPr>
            <w:r>
              <w:t>人口</w:t>
            </w:r>
          </w:p>
          <w:p w14:paraId="21AFE5D3" w14:textId="77777777" w:rsidR="00E579B9" w:rsidRDefault="006A1398">
            <w:pPr>
              <w:pStyle w:val="aa"/>
            </w:pPr>
            <w:r>
              <w:rPr>
                <w:rFonts w:hint="eastAsia"/>
              </w:rPr>
              <w:t>(</w:t>
            </w:r>
            <w:r>
              <w:rPr>
                <w:rFonts w:hint="eastAsia"/>
              </w:rPr>
              <w:t>人</w:t>
            </w:r>
            <w:r>
              <w:rPr>
                <w:rFonts w:hint="eastAsia"/>
              </w:rPr>
              <w:t>)</w:t>
            </w:r>
          </w:p>
        </w:tc>
        <w:tc>
          <w:tcPr>
            <w:tcW w:w="2098" w:type="dxa"/>
            <w:gridSpan w:val="2"/>
            <w:vMerge/>
            <w:vAlign w:val="center"/>
          </w:tcPr>
          <w:p w14:paraId="7410981B" w14:textId="77777777" w:rsidR="00E579B9" w:rsidRDefault="00E579B9">
            <w:pPr>
              <w:pStyle w:val="aa"/>
            </w:pPr>
          </w:p>
        </w:tc>
      </w:tr>
      <w:tr w:rsidR="00E579B9" w14:paraId="269A3537" w14:textId="77777777">
        <w:trPr>
          <w:trHeight w:val="20"/>
        </w:trPr>
        <w:tc>
          <w:tcPr>
            <w:tcW w:w="989" w:type="dxa"/>
            <w:vMerge w:val="restart"/>
            <w:shd w:val="clear" w:color="auto" w:fill="auto"/>
            <w:vAlign w:val="center"/>
          </w:tcPr>
          <w:p w14:paraId="3F3DB052" w14:textId="77777777" w:rsidR="00E579B9" w:rsidRDefault="00E579B9">
            <w:pPr>
              <w:pStyle w:val="aa"/>
            </w:pPr>
          </w:p>
          <w:p w14:paraId="3CA20BC3" w14:textId="77777777" w:rsidR="00E579B9" w:rsidRDefault="00E579B9">
            <w:pPr>
              <w:pStyle w:val="aa"/>
            </w:pPr>
          </w:p>
          <w:p w14:paraId="2FAA06BE" w14:textId="77777777" w:rsidR="00E579B9" w:rsidRDefault="00E579B9">
            <w:pPr>
              <w:pStyle w:val="aa"/>
            </w:pPr>
          </w:p>
          <w:p w14:paraId="28D164C4" w14:textId="77777777" w:rsidR="00E579B9" w:rsidRDefault="00E579B9">
            <w:pPr>
              <w:pStyle w:val="aa"/>
            </w:pPr>
          </w:p>
          <w:p w14:paraId="04138075" w14:textId="77777777" w:rsidR="00E579B9" w:rsidRDefault="006A1398">
            <w:pPr>
              <w:pStyle w:val="aa"/>
            </w:pPr>
            <w:r>
              <w:t>大气环境</w:t>
            </w:r>
          </w:p>
          <w:p w14:paraId="7B33C664" w14:textId="77777777" w:rsidR="00E579B9" w:rsidRDefault="00E579B9">
            <w:pPr>
              <w:pStyle w:val="aa"/>
              <w:rPr>
                <w:highlight w:val="yellow"/>
              </w:rPr>
            </w:pPr>
          </w:p>
        </w:tc>
        <w:tc>
          <w:tcPr>
            <w:tcW w:w="1416" w:type="dxa"/>
            <w:shd w:val="clear" w:color="auto" w:fill="auto"/>
            <w:vAlign w:val="center"/>
          </w:tcPr>
          <w:p w14:paraId="0C4EEBE2" w14:textId="77777777" w:rsidR="00E579B9" w:rsidRDefault="006A1398">
            <w:pPr>
              <w:pStyle w:val="aa"/>
            </w:pPr>
            <w:r>
              <w:rPr>
                <w:rFonts w:hint="eastAsia"/>
              </w:rPr>
              <w:t>傅</w:t>
            </w:r>
            <w:proofErr w:type="gramStart"/>
            <w:r>
              <w:rPr>
                <w:rFonts w:hint="eastAsia"/>
              </w:rPr>
              <w:t>埂</w:t>
            </w:r>
            <w:proofErr w:type="gramEnd"/>
          </w:p>
        </w:tc>
        <w:tc>
          <w:tcPr>
            <w:tcW w:w="1010" w:type="dxa"/>
            <w:shd w:val="clear" w:color="auto" w:fill="auto"/>
            <w:vAlign w:val="center"/>
          </w:tcPr>
          <w:p w14:paraId="4ABBF2D3" w14:textId="77777777" w:rsidR="00E579B9" w:rsidRDefault="006A1398">
            <w:pPr>
              <w:pStyle w:val="aa"/>
            </w:pPr>
            <w:r>
              <w:rPr>
                <w:rFonts w:hint="eastAsia"/>
              </w:rPr>
              <w:t>E</w:t>
            </w:r>
          </w:p>
        </w:tc>
        <w:tc>
          <w:tcPr>
            <w:tcW w:w="928" w:type="dxa"/>
            <w:shd w:val="clear" w:color="auto" w:fill="auto"/>
            <w:vAlign w:val="center"/>
          </w:tcPr>
          <w:p w14:paraId="275F6B8F" w14:textId="77777777" w:rsidR="00E579B9" w:rsidRDefault="006A1398">
            <w:pPr>
              <w:pStyle w:val="aa"/>
            </w:pPr>
            <w:r>
              <w:rPr>
                <w:rFonts w:hint="eastAsia"/>
              </w:rPr>
              <w:t>4</w:t>
            </w:r>
            <w:r>
              <w:t>57</w:t>
            </w:r>
          </w:p>
        </w:tc>
        <w:tc>
          <w:tcPr>
            <w:tcW w:w="950" w:type="dxa"/>
            <w:shd w:val="clear" w:color="auto" w:fill="auto"/>
            <w:vAlign w:val="center"/>
          </w:tcPr>
          <w:p w14:paraId="12AE1DCD" w14:textId="77777777" w:rsidR="00E579B9" w:rsidRDefault="006A1398">
            <w:pPr>
              <w:pStyle w:val="aa"/>
            </w:pPr>
            <w:r>
              <w:rPr>
                <w:rFonts w:hint="eastAsia"/>
              </w:rPr>
              <w:t>2</w:t>
            </w:r>
            <w:r>
              <w:t>0</w:t>
            </w:r>
          </w:p>
        </w:tc>
        <w:tc>
          <w:tcPr>
            <w:tcW w:w="1329" w:type="dxa"/>
            <w:shd w:val="clear" w:color="auto" w:fill="auto"/>
            <w:vAlign w:val="center"/>
          </w:tcPr>
          <w:p w14:paraId="3CB9F493" w14:textId="77777777" w:rsidR="00E579B9" w:rsidRDefault="006A1398">
            <w:pPr>
              <w:pStyle w:val="aa"/>
            </w:pPr>
            <w:r>
              <w:rPr>
                <w:rFonts w:hint="eastAsia"/>
              </w:rPr>
              <w:t>7</w:t>
            </w:r>
            <w:r>
              <w:t>0</w:t>
            </w:r>
          </w:p>
        </w:tc>
        <w:tc>
          <w:tcPr>
            <w:tcW w:w="2098" w:type="dxa"/>
            <w:gridSpan w:val="2"/>
            <w:vMerge w:val="restart"/>
            <w:shd w:val="clear" w:color="auto" w:fill="auto"/>
            <w:vAlign w:val="center"/>
          </w:tcPr>
          <w:p w14:paraId="44E88099" w14:textId="77777777" w:rsidR="00E579B9" w:rsidRDefault="006A1398">
            <w:pPr>
              <w:pStyle w:val="aa"/>
              <w:rPr>
                <w:highlight w:val="yellow"/>
              </w:rPr>
            </w:pPr>
            <w:r>
              <w:t>《环境空气质量标准》（</w:t>
            </w:r>
            <w:r>
              <w:t>GB3095-2012</w:t>
            </w:r>
            <w:r>
              <w:t>）二类</w:t>
            </w:r>
          </w:p>
        </w:tc>
      </w:tr>
      <w:tr w:rsidR="00E579B9" w14:paraId="29B2AE7A" w14:textId="77777777">
        <w:trPr>
          <w:trHeight w:val="99"/>
        </w:trPr>
        <w:tc>
          <w:tcPr>
            <w:tcW w:w="989" w:type="dxa"/>
            <w:vMerge/>
            <w:vAlign w:val="center"/>
          </w:tcPr>
          <w:p w14:paraId="04F84B56" w14:textId="77777777" w:rsidR="00E579B9" w:rsidRDefault="00E579B9">
            <w:pPr>
              <w:pStyle w:val="aa"/>
              <w:rPr>
                <w:highlight w:val="yellow"/>
              </w:rPr>
            </w:pPr>
          </w:p>
        </w:tc>
        <w:tc>
          <w:tcPr>
            <w:tcW w:w="1416" w:type="dxa"/>
            <w:shd w:val="clear" w:color="auto" w:fill="auto"/>
            <w:vAlign w:val="center"/>
          </w:tcPr>
          <w:p w14:paraId="446ED93D" w14:textId="77777777" w:rsidR="00E579B9" w:rsidRDefault="006A1398">
            <w:pPr>
              <w:pStyle w:val="aa"/>
            </w:pPr>
            <w:r>
              <w:rPr>
                <w:rFonts w:hint="eastAsia"/>
              </w:rPr>
              <w:t>西下庄散户</w:t>
            </w:r>
          </w:p>
        </w:tc>
        <w:tc>
          <w:tcPr>
            <w:tcW w:w="1010" w:type="dxa"/>
            <w:shd w:val="clear" w:color="auto" w:fill="auto"/>
            <w:vAlign w:val="center"/>
          </w:tcPr>
          <w:p w14:paraId="6B90DF6F" w14:textId="77777777" w:rsidR="00E579B9" w:rsidRDefault="006A1398">
            <w:pPr>
              <w:pStyle w:val="aa"/>
            </w:pPr>
            <w:r>
              <w:rPr>
                <w:rFonts w:hint="eastAsia"/>
              </w:rPr>
              <w:t>S</w:t>
            </w:r>
          </w:p>
        </w:tc>
        <w:tc>
          <w:tcPr>
            <w:tcW w:w="928" w:type="dxa"/>
            <w:shd w:val="clear" w:color="auto" w:fill="auto"/>
            <w:vAlign w:val="center"/>
          </w:tcPr>
          <w:p w14:paraId="2FD8A334" w14:textId="77777777" w:rsidR="00E579B9" w:rsidRDefault="006A1398">
            <w:pPr>
              <w:pStyle w:val="aa"/>
            </w:pPr>
            <w:r>
              <w:rPr>
                <w:rFonts w:hint="eastAsia"/>
              </w:rPr>
              <w:t>420</w:t>
            </w:r>
          </w:p>
        </w:tc>
        <w:tc>
          <w:tcPr>
            <w:tcW w:w="950" w:type="dxa"/>
            <w:shd w:val="clear" w:color="auto" w:fill="auto"/>
            <w:vAlign w:val="center"/>
          </w:tcPr>
          <w:p w14:paraId="24F9E1BA" w14:textId="77777777" w:rsidR="00E579B9" w:rsidRDefault="006A1398">
            <w:pPr>
              <w:pStyle w:val="aa"/>
            </w:pPr>
            <w:r>
              <w:rPr>
                <w:rFonts w:hint="eastAsia"/>
              </w:rPr>
              <w:t>2</w:t>
            </w:r>
          </w:p>
        </w:tc>
        <w:tc>
          <w:tcPr>
            <w:tcW w:w="1329" w:type="dxa"/>
            <w:shd w:val="clear" w:color="auto" w:fill="auto"/>
            <w:vAlign w:val="center"/>
          </w:tcPr>
          <w:p w14:paraId="21555C43" w14:textId="77777777" w:rsidR="00E579B9" w:rsidRDefault="006A1398">
            <w:pPr>
              <w:pStyle w:val="aa"/>
            </w:pPr>
            <w:r>
              <w:rPr>
                <w:rFonts w:hint="eastAsia"/>
              </w:rPr>
              <w:t>5</w:t>
            </w:r>
          </w:p>
        </w:tc>
        <w:tc>
          <w:tcPr>
            <w:tcW w:w="2098" w:type="dxa"/>
            <w:gridSpan w:val="2"/>
            <w:vMerge/>
            <w:vAlign w:val="center"/>
          </w:tcPr>
          <w:p w14:paraId="62C138F3" w14:textId="77777777" w:rsidR="00E579B9" w:rsidRDefault="00E579B9">
            <w:pPr>
              <w:pStyle w:val="aa"/>
              <w:rPr>
                <w:highlight w:val="yellow"/>
              </w:rPr>
            </w:pPr>
          </w:p>
        </w:tc>
      </w:tr>
      <w:tr w:rsidR="00E579B9" w14:paraId="146E2FC3" w14:textId="77777777">
        <w:trPr>
          <w:trHeight w:val="99"/>
        </w:trPr>
        <w:tc>
          <w:tcPr>
            <w:tcW w:w="989" w:type="dxa"/>
            <w:vMerge/>
            <w:vAlign w:val="center"/>
          </w:tcPr>
          <w:p w14:paraId="46DC3CE3" w14:textId="77777777" w:rsidR="00E579B9" w:rsidRDefault="00E579B9">
            <w:pPr>
              <w:pStyle w:val="aa"/>
              <w:rPr>
                <w:highlight w:val="yellow"/>
              </w:rPr>
            </w:pPr>
          </w:p>
        </w:tc>
        <w:tc>
          <w:tcPr>
            <w:tcW w:w="1416" w:type="dxa"/>
            <w:shd w:val="clear" w:color="auto" w:fill="auto"/>
            <w:vAlign w:val="center"/>
          </w:tcPr>
          <w:p w14:paraId="0A189DA5" w14:textId="77777777" w:rsidR="00E579B9" w:rsidRDefault="006A1398">
            <w:pPr>
              <w:pStyle w:val="aa"/>
            </w:pPr>
            <w:r>
              <w:rPr>
                <w:rFonts w:hint="eastAsia"/>
              </w:rPr>
              <w:t>平上</w:t>
            </w:r>
          </w:p>
        </w:tc>
        <w:tc>
          <w:tcPr>
            <w:tcW w:w="1010" w:type="dxa"/>
            <w:shd w:val="clear" w:color="auto" w:fill="auto"/>
            <w:vAlign w:val="center"/>
          </w:tcPr>
          <w:p w14:paraId="6D6479DD" w14:textId="77777777" w:rsidR="00E579B9" w:rsidRDefault="006A1398">
            <w:pPr>
              <w:pStyle w:val="aa"/>
            </w:pPr>
            <w:r>
              <w:rPr>
                <w:rFonts w:hint="eastAsia"/>
              </w:rPr>
              <w:t>E</w:t>
            </w:r>
          </w:p>
        </w:tc>
        <w:tc>
          <w:tcPr>
            <w:tcW w:w="928" w:type="dxa"/>
            <w:shd w:val="clear" w:color="auto" w:fill="auto"/>
            <w:vAlign w:val="center"/>
          </w:tcPr>
          <w:p w14:paraId="42A3F298" w14:textId="77777777" w:rsidR="00E579B9" w:rsidRDefault="006A1398">
            <w:pPr>
              <w:pStyle w:val="aa"/>
            </w:pPr>
            <w:r>
              <w:rPr>
                <w:rFonts w:hint="eastAsia"/>
              </w:rPr>
              <w:t>8</w:t>
            </w:r>
            <w:r>
              <w:t>90</w:t>
            </w:r>
          </w:p>
        </w:tc>
        <w:tc>
          <w:tcPr>
            <w:tcW w:w="950" w:type="dxa"/>
            <w:shd w:val="clear" w:color="auto" w:fill="auto"/>
            <w:vAlign w:val="center"/>
          </w:tcPr>
          <w:p w14:paraId="269E8CDC" w14:textId="77777777" w:rsidR="00E579B9" w:rsidRDefault="006A1398">
            <w:pPr>
              <w:pStyle w:val="aa"/>
            </w:pPr>
            <w:r>
              <w:t>25</w:t>
            </w:r>
          </w:p>
        </w:tc>
        <w:tc>
          <w:tcPr>
            <w:tcW w:w="1329" w:type="dxa"/>
            <w:shd w:val="clear" w:color="auto" w:fill="auto"/>
            <w:vAlign w:val="center"/>
          </w:tcPr>
          <w:p w14:paraId="2B8E8D05" w14:textId="77777777" w:rsidR="00E579B9" w:rsidRDefault="006A1398">
            <w:pPr>
              <w:pStyle w:val="aa"/>
            </w:pPr>
            <w:r>
              <w:rPr>
                <w:rFonts w:hint="eastAsia"/>
              </w:rPr>
              <w:t>7</w:t>
            </w:r>
            <w:r>
              <w:t>8</w:t>
            </w:r>
          </w:p>
        </w:tc>
        <w:tc>
          <w:tcPr>
            <w:tcW w:w="2098" w:type="dxa"/>
            <w:gridSpan w:val="2"/>
            <w:vMerge/>
            <w:vAlign w:val="center"/>
          </w:tcPr>
          <w:p w14:paraId="16C4BC08" w14:textId="77777777" w:rsidR="00E579B9" w:rsidRDefault="00E579B9">
            <w:pPr>
              <w:pStyle w:val="aa"/>
              <w:rPr>
                <w:highlight w:val="yellow"/>
              </w:rPr>
            </w:pPr>
          </w:p>
        </w:tc>
      </w:tr>
      <w:tr w:rsidR="00E579B9" w14:paraId="4F3F78E0" w14:textId="77777777">
        <w:trPr>
          <w:trHeight w:val="99"/>
        </w:trPr>
        <w:tc>
          <w:tcPr>
            <w:tcW w:w="989" w:type="dxa"/>
            <w:vMerge/>
            <w:vAlign w:val="center"/>
          </w:tcPr>
          <w:p w14:paraId="622B0FCC" w14:textId="77777777" w:rsidR="00E579B9" w:rsidRDefault="00E579B9">
            <w:pPr>
              <w:pStyle w:val="aa"/>
              <w:rPr>
                <w:highlight w:val="yellow"/>
              </w:rPr>
            </w:pPr>
          </w:p>
        </w:tc>
        <w:tc>
          <w:tcPr>
            <w:tcW w:w="1416" w:type="dxa"/>
            <w:shd w:val="clear" w:color="auto" w:fill="auto"/>
            <w:vAlign w:val="center"/>
          </w:tcPr>
          <w:p w14:paraId="2909FBA6" w14:textId="77777777" w:rsidR="00E579B9" w:rsidRDefault="006A1398">
            <w:pPr>
              <w:pStyle w:val="aa"/>
            </w:pPr>
            <w:r>
              <w:rPr>
                <w:rFonts w:hint="eastAsia"/>
              </w:rPr>
              <w:t>西下庄</w:t>
            </w:r>
          </w:p>
        </w:tc>
        <w:tc>
          <w:tcPr>
            <w:tcW w:w="1010" w:type="dxa"/>
            <w:shd w:val="clear" w:color="auto" w:fill="auto"/>
            <w:vAlign w:val="center"/>
          </w:tcPr>
          <w:p w14:paraId="7F07D06A" w14:textId="77777777" w:rsidR="00E579B9" w:rsidRDefault="006A1398">
            <w:pPr>
              <w:pStyle w:val="aa"/>
            </w:pPr>
            <w:r>
              <w:rPr>
                <w:rFonts w:hint="eastAsia"/>
              </w:rPr>
              <w:t>E</w:t>
            </w:r>
          </w:p>
        </w:tc>
        <w:tc>
          <w:tcPr>
            <w:tcW w:w="928" w:type="dxa"/>
            <w:shd w:val="clear" w:color="auto" w:fill="auto"/>
            <w:vAlign w:val="center"/>
          </w:tcPr>
          <w:p w14:paraId="69D36CCA" w14:textId="77777777" w:rsidR="00E579B9" w:rsidRDefault="006A1398">
            <w:pPr>
              <w:pStyle w:val="aa"/>
            </w:pPr>
            <w:r>
              <w:rPr>
                <w:rFonts w:hint="eastAsia"/>
              </w:rPr>
              <w:t>8</w:t>
            </w:r>
            <w:r>
              <w:t>95</w:t>
            </w:r>
          </w:p>
        </w:tc>
        <w:tc>
          <w:tcPr>
            <w:tcW w:w="950" w:type="dxa"/>
            <w:shd w:val="clear" w:color="auto" w:fill="auto"/>
            <w:vAlign w:val="center"/>
          </w:tcPr>
          <w:p w14:paraId="6F016C01" w14:textId="77777777" w:rsidR="00E579B9" w:rsidRDefault="006A1398">
            <w:pPr>
              <w:pStyle w:val="aa"/>
            </w:pPr>
            <w:r>
              <w:rPr>
                <w:rFonts w:hint="eastAsia"/>
              </w:rPr>
              <w:t>3</w:t>
            </w:r>
            <w:r>
              <w:t>6</w:t>
            </w:r>
          </w:p>
        </w:tc>
        <w:tc>
          <w:tcPr>
            <w:tcW w:w="1329" w:type="dxa"/>
            <w:shd w:val="clear" w:color="auto" w:fill="auto"/>
            <w:vAlign w:val="center"/>
          </w:tcPr>
          <w:p w14:paraId="24994E69" w14:textId="77777777" w:rsidR="00E579B9" w:rsidRDefault="006A1398">
            <w:pPr>
              <w:pStyle w:val="aa"/>
            </w:pPr>
            <w:r>
              <w:rPr>
                <w:rFonts w:hint="eastAsia"/>
              </w:rPr>
              <w:t>8</w:t>
            </w:r>
            <w:r>
              <w:t>0</w:t>
            </w:r>
          </w:p>
        </w:tc>
        <w:tc>
          <w:tcPr>
            <w:tcW w:w="2098" w:type="dxa"/>
            <w:gridSpan w:val="2"/>
            <w:vMerge/>
            <w:vAlign w:val="center"/>
          </w:tcPr>
          <w:p w14:paraId="2861E94A" w14:textId="77777777" w:rsidR="00E579B9" w:rsidRDefault="00E579B9">
            <w:pPr>
              <w:pStyle w:val="aa"/>
              <w:rPr>
                <w:highlight w:val="yellow"/>
              </w:rPr>
            </w:pPr>
          </w:p>
        </w:tc>
      </w:tr>
      <w:tr w:rsidR="00E579B9" w14:paraId="429844FA" w14:textId="77777777">
        <w:trPr>
          <w:trHeight w:val="99"/>
        </w:trPr>
        <w:tc>
          <w:tcPr>
            <w:tcW w:w="989" w:type="dxa"/>
            <w:vMerge/>
            <w:vAlign w:val="center"/>
          </w:tcPr>
          <w:p w14:paraId="510CFDAB" w14:textId="77777777" w:rsidR="00E579B9" w:rsidRDefault="00E579B9">
            <w:pPr>
              <w:pStyle w:val="aa"/>
              <w:rPr>
                <w:highlight w:val="yellow"/>
              </w:rPr>
            </w:pPr>
          </w:p>
        </w:tc>
        <w:tc>
          <w:tcPr>
            <w:tcW w:w="1416" w:type="dxa"/>
            <w:shd w:val="clear" w:color="auto" w:fill="auto"/>
            <w:vAlign w:val="center"/>
          </w:tcPr>
          <w:p w14:paraId="7A6C7038" w14:textId="77777777" w:rsidR="00E579B9" w:rsidRDefault="006A1398">
            <w:pPr>
              <w:pStyle w:val="aa"/>
            </w:pPr>
            <w:r>
              <w:rPr>
                <w:rFonts w:hint="eastAsia"/>
              </w:rPr>
              <w:t>刘庄</w:t>
            </w:r>
          </w:p>
        </w:tc>
        <w:tc>
          <w:tcPr>
            <w:tcW w:w="1010" w:type="dxa"/>
            <w:shd w:val="clear" w:color="auto" w:fill="auto"/>
            <w:vAlign w:val="center"/>
          </w:tcPr>
          <w:p w14:paraId="2D1A1226" w14:textId="77777777" w:rsidR="00E579B9" w:rsidRDefault="006A1398">
            <w:pPr>
              <w:pStyle w:val="aa"/>
            </w:pPr>
            <w:r>
              <w:rPr>
                <w:rFonts w:hint="eastAsia"/>
              </w:rPr>
              <w:t>E</w:t>
            </w:r>
          </w:p>
        </w:tc>
        <w:tc>
          <w:tcPr>
            <w:tcW w:w="928" w:type="dxa"/>
            <w:shd w:val="clear" w:color="auto" w:fill="auto"/>
            <w:vAlign w:val="center"/>
          </w:tcPr>
          <w:p w14:paraId="5C3714BE" w14:textId="77777777" w:rsidR="00E579B9" w:rsidRDefault="006A1398">
            <w:pPr>
              <w:pStyle w:val="aa"/>
            </w:pPr>
            <w:r>
              <w:rPr>
                <w:rFonts w:hint="eastAsia"/>
              </w:rPr>
              <w:t>9</w:t>
            </w:r>
            <w:r>
              <w:t>42</w:t>
            </w:r>
          </w:p>
        </w:tc>
        <w:tc>
          <w:tcPr>
            <w:tcW w:w="950" w:type="dxa"/>
            <w:shd w:val="clear" w:color="auto" w:fill="auto"/>
            <w:vAlign w:val="center"/>
          </w:tcPr>
          <w:p w14:paraId="4823AE2A" w14:textId="77777777" w:rsidR="00E579B9" w:rsidRDefault="006A1398">
            <w:pPr>
              <w:pStyle w:val="aa"/>
            </w:pPr>
            <w:r>
              <w:rPr>
                <w:rFonts w:hint="eastAsia"/>
              </w:rPr>
              <w:t>5</w:t>
            </w:r>
            <w:r>
              <w:t>0</w:t>
            </w:r>
          </w:p>
        </w:tc>
        <w:tc>
          <w:tcPr>
            <w:tcW w:w="1329" w:type="dxa"/>
            <w:shd w:val="clear" w:color="auto" w:fill="auto"/>
            <w:vAlign w:val="center"/>
          </w:tcPr>
          <w:p w14:paraId="1BDD65BD" w14:textId="77777777" w:rsidR="00E579B9" w:rsidRDefault="006A1398">
            <w:pPr>
              <w:pStyle w:val="aa"/>
            </w:pPr>
            <w:r>
              <w:rPr>
                <w:rFonts w:hint="eastAsia"/>
              </w:rPr>
              <w:t>1</w:t>
            </w:r>
            <w:r>
              <w:t>10</w:t>
            </w:r>
          </w:p>
        </w:tc>
        <w:tc>
          <w:tcPr>
            <w:tcW w:w="2098" w:type="dxa"/>
            <w:gridSpan w:val="2"/>
            <w:vMerge/>
            <w:vAlign w:val="center"/>
          </w:tcPr>
          <w:p w14:paraId="1794CD64" w14:textId="77777777" w:rsidR="00E579B9" w:rsidRDefault="00E579B9">
            <w:pPr>
              <w:pStyle w:val="aa"/>
              <w:rPr>
                <w:highlight w:val="yellow"/>
              </w:rPr>
            </w:pPr>
          </w:p>
        </w:tc>
      </w:tr>
      <w:tr w:rsidR="00E579B9" w14:paraId="1C39C1F7" w14:textId="77777777">
        <w:trPr>
          <w:trHeight w:val="90"/>
        </w:trPr>
        <w:tc>
          <w:tcPr>
            <w:tcW w:w="989" w:type="dxa"/>
            <w:vMerge/>
            <w:vAlign w:val="center"/>
          </w:tcPr>
          <w:p w14:paraId="669B07E1" w14:textId="77777777" w:rsidR="00E579B9" w:rsidRDefault="00E579B9">
            <w:pPr>
              <w:pStyle w:val="aa"/>
              <w:rPr>
                <w:highlight w:val="yellow"/>
              </w:rPr>
            </w:pPr>
          </w:p>
        </w:tc>
        <w:tc>
          <w:tcPr>
            <w:tcW w:w="1416" w:type="dxa"/>
            <w:shd w:val="clear" w:color="auto" w:fill="auto"/>
            <w:vAlign w:val="center"/>
          </w:tcPr>
          <w:p w14:paraId="648A3381" w14:textId="77777777" w:rsidR="00E579B9" w:rsidRDefault="006A1398">
            <w:pPr>
              <w:pStyle w:val="aa"/>
            </w:pPr>
            <w:r>
              <w:rPr>
                <w:rFonts w:hint="eastAsia"/>
              </w:rPr>
              <w:t>宋庄</w:t>
            </w:r>
          </w:p>
        </w:tc>
        <w:tc>
          <w:tcPr>
            <w:tcW w:w="1010" w:type="dxa"/>
            <w:shd w:val="clear" w:color="auto" w:fill="auto"/>
            <w:vAlign w:val="center"/>
          </w:tcPr>
          <w:p w14:paraId="24E6C3DE" w14:textId="77777777" w:rsidR="00E579B9" w:rsidRDefault="006A1398">
            <w:pPr>
              <w:pStyle w:val="aa"/>
            </w:pPr>
            <w:r>
              <w:rPr>
                <w:rFonts w:hint="eastAsia"/>
              </w:rPr>
              <w:t>N</w:t>
            </w:r>
          </w:p>
        </w:tc>
        <w:tc>
          <w:tcPr>
            <w:tcW w:w="928" w:type="dxa"/>
            <w:shd w:val="clear" w:color="auto" w:fill="auto"/>
            <w:vAlign w:val="center"/>
          </w:tcPr>
          <w:p w14:paraId="43F4D39F" w14:textId="77777777" w:rsidR="00E579B9" w:rsidRDefault="006A1398">
            <w:pPr>
              <w:pStyle w:val="aa"/>
            </w:pPr>
            <w:r>
              <w:rPr>
                <w:rFonts w:hint="eastAsia"/>
              </w:rPr>
              <w:t>1</w:t>
            </w:r>
            <w:r>
              <w:t>452</w:t>
            </w:r>
          </w:p>
        </w:tc>
        <w:tc>
          <w:tcPr>
            <w:tcW w:w="950" w:type="dxa"/>
            <w:shd w:val="clear" w:color="auto" w:fill="auto"/>
            <w:vAlign w:val="center"/>
          </w:tcPr>
          <w:p w14:paraId="2267488A" w14:textId="77777777" w:rsidR="00E579B9" w:rsidRDefault="006A1398">
            <w:pPr>
              <w:pStyle w:val="aa"/>
            </w:pPr>
            <w:r>
              <w:rPr>
                <w:rFonts w:hint="eastAsia"/>
              </w:rPr>
              <w:t>6</w:t>
            </w:r>
          </w:p>
        </w:tc>
        <w:tc>
          <w:tcPr>
            <w:tcW w:w="1329" w:type="dxa"/>
            <w:shd w:val="clear" w:color="auto" w:fill="auto"/>
            <w:vAlign w:val="center"/>
          </w:tcPr>
          <w:p w14:paraId="6F569E70" w14:textId="77777777" w:rsidR="00E579B9" w:rsidRDefault="006A1398">
            <w:pPr>
              <w:pStyle w:val="aa"/>
            </w:pPr>
            <w:r>
              <w:rPr>
                <w:rFonts w:hint="eastAsia"/>
              </w:rPr>
              <w:t>2</w:t>
            </w:r>
            <w:r>
              <w:t>0</w:t>
            </w:r>
          </w:p>
        </w:tc>
        <w:tc>
          <w:tcPr>
            <w:tcW w:w="2098" w:type="dxa"/>
            <w:gridSpan w:val="2"/>
            <w:vMerge/>
            <w:vAlign w:val="center"/>
          </w:tcPr>
          <w:p w14:paraId="69091364" w14:textId="77777777" w:rsidR="00E579B9" w:rsidRDefault="00E579B9">
            <w:pPr>
              <w:pStyle w:val="aa"/>
              <w:rPr>
                <w:highlight w:val="yellow"/>
              </w:rPr>
            </w:pPr>
          </w:p>
        </w:tc>
      </w:tr>
      <w:tr w:rsidR="00E579B9" w14:paraId="3E8F7A2D" w14:textId="77777777">
        <w:trPr>
          <w:trHeight w:val="90"/>
        </w:trPr>
        <w:tc>
          <w:tcPr>
            <w:tcW w:w="989" w:type="dxa"/>
            <w:vMerge/>
            <w:vAlign w:val="center"/>
          </w:tcPr>
          <w:p w14:paraId="6ED2E403" w14:textId="77777777" w:rsidR="00E579B9" w:rsidRDefault="00E579B9">
            <w:pPr>
              <w:pStyle w:val="aa"/>
              <w:rPr>
                <w:highlight w:val="yellow"/>
              </w:rPr>
            </w:pPr>
          </w:p>
        </w:tc>
        <w:tc>
          <w:tcPr>
            <w:tcW w:w="1416" w:type="dxa"/>
            <w:shd w:val="clear" w:color="auto" w:fill="auto"/>
            <w:vAlign w:val="center"/>
          </w:tcPr>
          <w:p w14:paraId="2B824BA4" w14:textId="77777777" w:rsidR="00E579B9" w:rsidRDefault="006A1398">
            <w:pPr>
              <w:pStyle w:val="aa"/>
            </w:pPr>
            <w:r>
              <w:rPr>
                <w:rFonts w:hint="eastAsia"/>
              </w:rPr>
              <w:t>周庄</w:t>
            </w:r>
          </w:p>
        </w:tc>
        <w:tc>
          <w:tcPr>
            <w:tcW w:w="1010" w:type="dxa"/>
            <w:shd w:val="clear" w:color="auto" w:fill="auto"/>
            <w:vAlign w:val="center"/>
          </w:tcPr>
          <w:p w14:paraId="409C927E" w14:textId="77777777" w:rsidR="00E579B9" w:rsidRDefault="006A1398">
            <w:pPr>
              <w:pStyle w:val="aa"/>
            </w:pPr>
            <w:r>
              <w:rPr>
                <w:rFonts w:hint="eastAsia"/>
              </w:rPr>
              <w:t>E</w:t>
            </w:r>
          </w:p>
        </w:tc>
        <w:tc>
          <w:tcPr>
            <w:tcW w:w="928" w:type="dxa"/>
            <w:shd w:val="clear" w:color="auto" w:fill="auto"/>
            <w:vAlign w:val="center"/>
          </w:tcPr>
          <w:p w14:paraId="51ACC34A" w14:textId="77777777" w:rsidR="00E579B9" w:rsidRDefault="006A1398">
            <w:pPr>
              <w:pStyle w:val="aa"/>
            </w:pPr>
            <w:r>
              <w:rPr>
                <w:rFonts w:hint="eastAsia"/>
              </w:rPr>
              <w:t>1</w:t>
            </w:r>
            <w:r>
              <w:t>550</w:t>
            </w:r>
          </w:p>
        </w:tc>
        <w:tc>
          <w:tcPr>
            <w:tcW w:w="950" w:type="dxa"/>
            <w:shd w:val="clear" w:color="auto" w:fill="auto"/>
            <w:vAlign w:val="center"/>
          </w:tcPr>
          <w:p w14:paraId="6BCCCDB7" w14:textId="77777777" w:rsidR="00E579B9" w:rsidRDefault="006A1398">
            <w:pPr>
              <w:pStyle w:val="aa"/>
            </w:pPr>
            <w:r>
              <w:rPr>
                <w:rFonts w:hint="eastAsia"/>
              </w:rPr>
              <w:t>3</w:t>
            </w:r>
            <w:r>
              <w:t>0</w:t>
            </w:r>
          </w:p>
        </w:tc>
        <w:tc>
          <w:tcPr>
            <w:tcW w:w="1329" w:type="dxa"/>
            <w:shd w:val="clear" w:color="auto" w:fill="auto"/>
            <w:vAlign w:val="center"/>
          </w:tcPr>
          <w:p w14:paraId="2AFCCB89" w14:textId="77777777" w:rsidR="00E579B9" w:rsidRDefault="006A1398">
            <w:pPr>
              <w:pStyle w:val="aa"/>
            </w:pPr>
            <w:r>
              <w:rPr>
                <w:rFonts w:hint="eastAsia"/>
              </w:rPr>
              <w:t>8</w:t>
            </w:r>
            <w:r>
              <w:t>8</w:t>
            </w:r>
          </w:p>
        </w:tc>
        <w:tc>
          <w:tcPr>
            <w:tcW w:w="2098" w:type="dxa"/>
            <w:gridSpan w:val="2"/>
            <w:vMerge/>
            <w:vAlign w:val="center"/>
          </w:tcPr>
          <w:p w14:paraId="3F190988" w14:textId="77777777" w:rsidR="00E579B9" w:rsidRDefault="00E579B9">
            <w:pPr>
              <w:pStyle w:val="aa"/>
              <w:rPr>
                <w:highlight w:val="yellow"/>
              </w:rPr>
            </w:pPr>
          </w:p>
        </w:tc>
      </w:tr>
      <w:tr w:rsidR="00E579B9" w14:paraId="62A595A9" w14:textId="77777777">
        <w:trPr>
          <w:trHeight w:val="90"/>
        </w:trPr>
        <w:tc>
          <w:tcPr>
            <w:tcW w:w="989" w:type="dxa"/>
            <w:vMerge/>
            <w:vAlign w:val="center"/>
          </w:tcPr>
          <w:p w14:paraId="214EED09" w14:textId="77777777" w:rsidR="00E579B9" w:rsidRDefault="00E579B9">
            <w:pPr>
              <w:pStyle w:val="aa"/>
              <w:rPr>
                <w:highlight w:val="yellow"/>
              </w:rPr>
            </w:pPr>
          </w:p>
        </w:tc>
        <w:tc>
          <w:tcPr>
            <w:tcW w:w="1416" w:type="dxa"/>
            <w:shd w:val="clear" w:color="auto" w:fill="auto"/>
            <w:vAlign w:val="center"/>
          </w:tcPr>
          <w:p w14:paraId="6BE84031" w14:textId="77777777" w:rsidR="00E579B9" w:rsidRDefault="006A1398">
            <w:pPr>
              <w:pStyle w:val="aa"/>
            </w:pPr>
            <w:r>
              <w:rPr>
                <w:rFonts w:hint="eastAsia"/>
              </w:rPr>
              <w:t>南斗寺</w:t>
            </w:r>
          </w:p>
        </w:tc>
        <w:tc>
          <w:tcPr>
            <w:tcW w:w="1010" w:type="dxa"/>
            <w:shd w:val="clear" w:color="auto" w:fill="auto"/>
            <w:vAlign w:val="center"/>
          </w:tcPr>
          <w:p w14:paraId="47F39468" w14:textId="77777777" w:rsidR="00E579B9" w:rsidRDefault="006A1398">
            <w:pPr>
              <w:pStyle w:val="aa"/>
            </w:pPr>
            <w:r>
              <w:rPr>
                <w:rFonts w:hint="eastAsia"/>
              </w:rPr>
              <w:t>N</w:t>
            </w:r>
          </w:p>
        </w:tc>
        <w:tc>
          <w:tcPr>
            <w:tcW w:w="928" w:type="dxa"/>
            <w:shd w:val="clear" w:color="auto" w:fill="auto"/>
            <w:vAlign w:val="center"/>
          </w:tcPr>
          <w:p w14:paraId="66913651" w14:textId="77777777" w:rsidR="00E579B9" w:rsidRDefault="006A1398">
            <w:pPr>
              <w:pStyle w:val="aa"/>
            </w:pPr>
            <w:r>
              <w:rPr>
                <w:rFonts w:hint="eastAsia"/>
              </w:rPr>
              <w:t>1</w:t>
            </w:r>
            <w:r>
              <w:t>643</w:t>
            </w:r>
          </w:p>
        </w:tc>
        <w:tc>
          <w:tcPr>
            <w:tcW w:w="950" w:type="dxa"/>
            <w:shd w:val="clear" w:color="auto" w:fill="auto"/>
            <w:vAlign w:val="center"/>
          </w:tcPr>
          <w:p w14:paraId="6BDDA7C7" w14:textId="77777777" w:rsidR="00E579B9" w:rsidRDefault="006A1398">
            <w:pPr>
              <w:pStyle w:val="aa"/>
            </w:pPr>
            <w:r>
              <w:rPr>
                <w:rFonts w:hint="eastAsia"/>
              </w:rPr>
              <w:t>2</w:t>
            </w:r>
          </w:p>
        </w:tc>
        <w:tc>
          <w:tcPr>
            <w:tcW w:w="1329" w:type="dxa"/>
            <w:shd w:val="clear" w:color="auto" w:fill="auto"/>
            <w:vAlign w:val="center"/>
          </w:tcPr>
          <w:p w14:paraId="317A5BC7" w14:textId="77777777" w:rsidR="00E579B9" w:rsidRDefault="006A1398">
            <w:pPr>
              <w:pStyle w:val="aa"/>
            </w:pPr>
            <w:r>
              <w:rPr>
                <w:rFonts w:hint="eastAsia"/>
              </w:rPr>
              <w:t>6</w:t>
            </w:r>
          </w:p>
        </w:tc>
        <w:tc>
          <w:tcPr>
            <w:tcW w:w="2098" w:type="dxa"/>
            <w:gridSpan w:val="2"/>
            <w:vMerge/>
            <w:vAlign w:val="center"/>
          </w:tcPr>
          <w:p w14:paraId="3E1FBD15" w14:textId="77777777" w:rsidR="00E579B9" w:rsidRDefault="00E579B9">
            <w:pPr>
              <w:pStyle w:val="aa"/>
              <w:rPr>
                <w:highlight w:val="yellow"/>
              </w:rPr>
            </w:pPr>
          </w:p>
        </w:tc>
      </w:tr>
      <w:tr w:rsidR="00E579B9" w14:paraId="6CD22716" w14:textId="77777777">
        <w:trPr>
          <w:trHeight w:val="90"/>
        </w:trPr>
        <w:tc>
          <w:tcPr>
            <w:tcW w:w="989" w:type="dxa"/>
            <w:vMerge/>
            <w:vAlign w:val="center"/>
          </w:tcPr>
          <w:p w14:paraId="056B55BB" w14:textId="77777777" w:rsidR="00E579B9" w:rsidRDefault="00E579B9">
            <w:pPr>
              <w:pStyle w:val="aa"/>
              <w:rPr>
                <w:highlight w:val="yellow"/>
              </w:rPr>
            </w:pPr>
          </w:p>
        </w:tc>
        <w:tc>
          <w:tcPr>
            <w:tcW w:w="1416" w:type="dxa"/>
            <w:shd w:val="clear" w:color="auto" w:fill="auto"/>
            <w:vAlign w:val="center"/>
          </w:tcPr>
          <w:p w14:paraId="01C4988A" w14:textId="77777777" w:rsidR="00E579B9" w:rsidRDefault="006A1398">
            <w:pPr>
              <w:pStyle w:val="aa"/>
            </w:pPr>
            <w:r>
              <w:rPr>
                <w:rFonts w:hint="eastAsia"/>
              </w:rPr>
              <w:t>邢家庄</w:t>
            </w:r>
          </w:p>
        </w:tc>
        <w:tc>
          <w:tcPr>
            <w:tcW w:w="1010" w:type="dxa"/>
            <w:shd w:val="clear" w:color="auto" w:fill="auto"/>
            <w:vAlign w:val="center"/>
          </w:tcPr>
          <w:p w14:paraId="6E1CA30C" w14:textId="77777777" w:rsidR="00E579B9" w:rsidRDefault="006A1398">
            <w:pPr>
              <w:pStyle w:val="aa"/>
            </w:pPr>
            <w:r>
              <w:rPr>
                <w:rFonts w:hint="eastAsia"/>
              </w:rPr>
              <w:t>N</w:t>
            </w:r>
          </w:p>
        </w:tc>
        <w:tc>
          <w:tcPr>
            <w:tcW w:w="928" w:type="dxa"/>
            <w:shd w:val="clear" w:color="auto" w:fill="auto"/>
            <w:vAlign w:val="center"/>
          </w:tcPr>
          <w:p w14:paraId="5BA7F70D" w14:textId="77777777" w:rsidR="00E579B9" w:rsidRDefault="006A1398">
            <w:pPr>
              <w:pStyle w:val="aa"/>
            </w:pPr>
            <w:r>
              <w:rPr>
                <w:rFonts w:hint="eastAsia"/>
              </w:rPr>
              <w:t>1</w:t>
            </w:r>
            <w:r>
              <w:t>667</w:t>
            </w:r>
          </w:p>
        </w:tc>
        <w:tc>
          <w:tcPr>
            <w:tcW w:w="950" w:type="dxa"/>
            <w:shd w:val="clear" w:color="auto" w:fill="auto"/>
            <w:vAlign w:val="center"/>
          </w:tcPr>
          <w:p w14:paraId="55BD89A9" w14:textId="77777777" w:rsidR="00E579B9" w:rsidRDefault="006A1398">
            <w:pPr>
              <w:pStyle w:val="aa"/>
            </w:pPr>
            <w:r>
              <w:rPr>
                <w:rFonts w:hint="eastAsia"/>
              </w:rPr>
              <w:t>2</w:t>
            </w:r>
          </w:p>
        </w:tc>
        <w:tc>
          <w:tcPr>
            <w:tcW w:w="1329" w:type="dxa"/>
            <w:shd w:val="clear" w:color="auto" w:fill="auto"/>
            <w:vAlign w:val="center"/>
          </w:tcPr>
          <w:p w14:paraId="6356ED5D" w14:textId="77777777" w:rsidR="00E579B9" w:rsidRDefault="006A1398">
            <w:pPr>
              <w:pStyle w:val="aa"/>
            </w:pPr>
            <w:r>
              <w:rPr>
                <w:rFonts w:hint="eastAsia"/>
              </w:rPr>
              <w:t>9</w:t>
            </w:r>
          </w:p>
        </w:tc>
        <w:tc>
          <w:tcPr>
            <w:tcW w:w="2098" w:type="dxa"/>
            <w:gridSpan w:val="2"/>
            <w:vMerge/>
            <w:vAlign w:val="center"/>
          </w:tcPr>
          <w:p w14:paraId="18DCE1E1" w14:textId="77777777" w:rsidR="00E579B9" w:rsidRDefault="00E579B9">
            <w:pPr>
              <w:pStyle w:val="aa"/>
              <w:rPr>
                <w:highlight w:val="yellow"/>
              </w:rPr>
            </w:pPr>
          </w:p>
        </w:tc>
      </w:tr>
      <w:tr w:rsidR="00E579B9" w14:paraId="61E6D734" w14:textId="77777777">
        <w:trPr>
          <w:trHeight w:val="90"/>
        </w:trPr>
        <w:tc>
          <w:tcPr>
            <w:tcW w:w="989" w:type="dxa"/>
            <w:vMerge/>
            <w:vAlign w:val="center"/>
          </w:tcPr>
          <w:p w14:paraId="55327997" w14:textId="77777777" w:rsidR="00E579B9" w:rsidRDefault="00E579B9">
            <w:pPr>
              <w:pStyle w:val="aa"/>
              <w:rPr>
                <w:highlight w:val="yellow"/>
              </w:rPr>
            </w:pPr>
          </w:p>
        </w:tc>
        <w:tc>
          <w:tcPr>
            <w:tcW w:w="1416" w:type="dxa"/>
            <w:shd w:val="clear" w:color="auto" w:fill="auto"/>
            <w:vAlign w:val="center"/>
          </w:tcPr>
          <w:p w14:paraId="0C6F86C7" w14:textId="77777777" w:rsidR="00E579B9" w:rsidRDefault="006A1398">
            <w:pPr>
              <w:pStyle w:val="aa"/>
            </w:pPr>
            <w:r>
              <w:rPr>
                <w:rFonts w:hint="eastAsia"/>
              </w:rPr>
              <w:t>大纸房</w:t>
            </w:r>
          </w:p>
        </w:tc>
        <w:tc>
          <w:tcPr>
            <w:tcW w:w="1010" w:type="dxa"/>
            <w:shd w:val="clear" w:color="auto" w:fill="auto"/>
            <w:vAlign w:val="center"/>
          </w:tcPr>
          <w:p w14:paraId="2D922981" w14:textId="77777777" w:rsidR="00E579B9" w:rsidRDefault="006A1398">
            <w:pPr>
              <w:pStyle w:val="aa"/>
            </w:pPr>
            <w:r>
              <w:rPr>
                <w:rFonts w:hint="eastAsia"/>
              </w:rPr>
              <w:t>E</w:t>
            </w:r>
          </w:p>
        </w:tc>
        <w:tc>
          <w:tcPr>
            <w:tcW w:w="928" w:type="dxa"/>
            <w:shd w:val="clear" w:color="auto" w:fill="auto"/>
            <w:vAlign w:val="center"/>
          </w:tcPr>
          <w:p w14:paraId="5B4F0FF4" w14:textId="77777777" w:rsidR="00E579B9" w:rsidRDefault="006A1398">
            <w:pPr>
              <w:pStyle w:val="aa"/>
            </w:pPr>
            <w:r>
              <w:rPr>
                <w:rFonts w:hint="eastAsia"/>
              </w:rPr>
              <w:t>1800</w:t>
            </w:r>
          </w:p>
        </w:tc>
        <w:tc>
          <w:tcPr>
            <w:tcW w:w="950" w:type="dxa"/>
            <w:shd w:val="clear" w:color="auto" w:fill="auto"/>
            <w:vAlign w:val="center"/>
          </w:tcPr>
          <w:p w14:paraId="0323F888" w14:textId="77777777" w:rsidR="00E579B9" w:rsidRDefault="006A1398">
            <w:pPr>
              <w:pStyle w:val="aa"/>
            </w:pPr>
            <w:r>
              <w:rPr>
                <w:rFonts w:hint="eastAsia"/>
              </w:rPr>
              <w:t>40</w:t>
            </w:r>
          </w:p>
        </w:tc>
        <w:tc>
          <w:tcPr>
            <w:tcW w:w="1329" w:type="dxa"/>
            <w:shd w:val="clear" w:color="auto" w:fill="auto"/>
            <w:vAlign w:val="center"/>
          </w:tcPr>
          <w:p w14:paraId="16023AAC" w14:textId="77777777" w:rsidR="00E579B9" w:rsidRDefault="006A1398">
            <w:pPr>
              <w:pStyle w:val="aa"/>
            </w:pPr>
            <w:r>
              <w:rPr>
                <w:rFonts w:hint="eastAsia"/>
              </w:rPr>
              <w:t>99</w:t>
            </w:r>
          </w:p>
        </w:tc>
        <w:tc>
          <w:tcPr>
            <w:tcW w:w="2098" w:type="dxa"/>
            <w:gridSpan w:val="2"/>
            <w:vMerge/>
            <w:vAlign w:val="center"/>
          </w:tcPr>
          <w:p w14:paraId="6E9193FA" w14:textId="77777777" w:rsidR="00E579B9" w:rsidRDefault="00E579B9">
            <w:pPr>
              <w:pStyle w:val="aa"/>
              <w:rPr>
                <w:highlight w:val="yellow"/>
              </w:rPr>
            </w:pPr>
          </w:p>
        </w:tc>
      </w:tr>
      <w:tr w:rsidR="00E579B9" w14:paraId="1D6E4C69" w14:textId="77777777">
        <w:trPr>
          <w:trHeight w:val="90"/>
        </w:trPr>
        <w:tc>
          <w:tcPr>
            <w:tcW w:w="989" w:type="dxa"/>
            <w:vMerge/>
            <w:vAlign w:val="center"/>
          </w:tcPr>
          <w:p w14:paraId="6FDAC99E" w14:textId="77777777" w:rsidR="00E579B9" w:rsidRDefault="00E579B9">
            <w:pPr>
              <w:pStyle w:val="aa"/>
              <w:rPr>
                <w:highlight w:val="yellow"/>
              </w:rPr>
            </w:pPr>
          </w:p>
        </w:tc>
        <w:tc>
          <w:tcPr>
            <w:tcW w:w="1416" w:type="dxa"/>
            <w:shd w:val="clear" w:color="auto" w:fill="auto"/>
            <w:vAlign w:val="center"/>
          </w:tcPr>
          <w:p w14:paraId="3775A989" w14:textId="77777777" w:rsidR="00E579B9" w:rsidRDefault="006A1398">
            <w:pPr>
              <w:pStyle w:val="aa"/>
            </w:pPr>
            <w:proofErr w:type="gramStart"/>
            <w:r>
              <w:rPr>
                <w:rFonts w:hint="eastAsia"/>
              </w:rPr>
              <w:t>叶沟</w:t>
            </w:r>
            <w:proofErr w:type="gramEnd"/>
          </w:p>
        </w:tc>
        <w:tc>
          <w:tcPr>
            <w:tcW w:w="1010" w:type="dxa"/>
            <w:shd w:val="clear" w:color="auto" w:fill="auto"/>
            <w:vAlign w:val="center"/>
          </w:tcPr>
          <w:p w14:paraId="37F5BF6B" w14:textId="77777777" w:rsidR="00E579B9" w:rsidRDefault="006A1398">
            <w:pPr>
              <w:pStyle w:val="aa"/>
            </w:pPr>
            <w:r>
              <w:rPr>
                <w:rFonts w:hint="eastAsia"/>
              </w:rPr>
              <w:t>S</w:t>
            </w:r>
          </w:p>
        </w:tc>
        <w:tc>
          <w:tcPr>
            <w:tcW w:w="928" w:type="dxa"/>
            <w:shd w:val="clear" w:color="auto" w:fill="auto"/>
            <w:vAlign w:val="center"/>
          </w:tcPr>
          <w:p w14:paraId="69BD2CC2" w14:textId="77777777" w:rsidR="00E579B9" w:rsidRDefault="006A1398">
            <w:pPr>
              <w:pStyle w:val="aa"/>
            </w:pPr>
            <w:r>
              <w:rPr>
                <w:rFonts w:hint="eastAsia"/>
              </w:rPr>
              <w:t>1957</w:t>
            </w:r>
          </w:p>
        </w:tc>
        <w:tc>
          <w:tcPr>
            <w:tcW w:w="950" w:type="dxa"/>
            <w:shd w:val="clear" w:color="auto" w:fill="auto"/>
            <w:vAlign w:val="center"/>
          </w:tcPr>
          <w:p w14:paraId="196AF3DB" w14:textId="77777777" w:rsidR="00E579B9" w:rsidRDefault="006A1398">
            <w:pPr>
              <w:pStyle w:val="aa"/>
            </w:pPr>
            <w:r>
              <w:rPr>
                <w:rFonts w:hint="eastAsia"/>
              </w:rPr>
              <w:t>15</w:t>
            </w:r>
          </w:p>
        </w:tc>
        <w:tc>
          <w:tcPr>
            <w:tcW w:w="1329" w:type="dxa"/>
            <w:shd w:val="clear" w:color="auto" w:fill="auto"/>
            <w:vAlign w:val="center"/>
          </w:tcPr>
          <w:p w14:paraId="3719E92F" w14:textId="77777777" w:rsidR="00E579B9" w:rsidRDefault="006A1398">
            <w:pPr>
              <w:pStyle w:val="aa"/>
            </w:pPr>
            <w:r>
              <w:rPr>
                <w:rFonts w:hint="eastAsia"/>
              </w:rPr>
              <w:t>66</w:t>
            </w:r>
          </w:p>
        </w:tc>
        <w:tc>
          <w:tcPr>
            <w:tcW w:w="2098" w:type="dxa"/>
            <w:gridSpan w:val="2"/>
            <w:vMerge/>
            <w:vAlign w:val="center"/>
          </w:tcPr>
          <w:p w14:paraId="781374A1" w14:textId="77777777" w:rsidR="00E579B9" w:rsidRDefault="00E579B9">
            <w:pPr>
              <w:pStyle w:val="aa"/>
              <w:rPr>
                <w:highlight w:val="yellow"/>
              </w:rPr>
            </w:pPr>
          </w:p>
        </w:tc>
      </w:tr>
      <w:tr w:rsidR="00E579B9" w14:paraId="3502F622" w14:textId="77777777">
        <w:trPr>
          <w:trHeight w:val="90"/>
        </w:trPr>
        <w:tc>
          <w:tcPr>
            <w:tcW w:w="989" w:type="dxa"/>
            <w:vMerge/>
            <w:vAlign w:val="center"/>
          </w:tcPr>
          <w:p w14:paraId="2B761ECE" w14:textId="77777777" w:rsidR="00E579B9" w:rsidRDefault="00E579B9">
            <w:pPr>
              <w:pStyle w:val="aa"/>
              <w:rPr>
                <w:highlight w:val="yellow"/>
              </w:rPr>
            </w:pPr>
          </w:p>
        </w:tc>
        <w:tc>
          <w:tcPr>
            <w:tcW w:w="1416" w:type="dxa"/>
            <w:shd w:val="clear" w:color="auto" w:fill="auto"/>
            <w:vAlign w:val="center"/>
          </w:tcPr>
          <w:p w14:paraId="6D888353" w14:textId="77777777" w:rsidR="00E579B9" w:rsidRDefault="006A1398">
            <w:pPr>
              <w:pStyle w:val="aa"/>
            </w:pPr>
            <w:r>
              <w:rPr>
                <w:rFonts w:hint="eastAsia"/>
              </w:rPr>
              <w:t>高田寺</w:t>
            </w:r>
          </w:p>
        </w:tc>
        <w:tc>
          <w:tcPr>
            <w:tcW w:w="1010" w:type="dxa"/>
            <w:shd w:val="clear" w:color="auto" w:fill="auto"/>
            <w:vAlign w:val="center"/>
          </w:tcPr>
          <w:p w14:paraId="2922F3BA" w14:textId="77777777" w:rsidR="00E579B9" w:rsidRDefault="006A1398">
            <w:pPr>
              <w:pStyle w:val="aa"/>
            </w:pPr>
            <w:r>
              <w:rPr>
                <w:rFonts w:hint="eastAsia"/>
              </w:rPr>
              <w:t>E</w:t>
            </w:r>
          </w:p>
        </w:tc>
        <w:tc>
          <w:tcPr>
            <w:tcW w:w="928" w:type="dxa"/>
            <w:shd w:val="clear" w:color="auto" w:fill="auto"/>
            <w:vAlign w:val="center"/>
          </w:tcPr>
          <w:p w14:paraId="3CECE1B0" w14:textId="77777777" w:rsidR="00E579B9" w:rsidRDefault="006A1398">
            <w:pPr>
              <w:pStyle w:val="aa"/>
            </w:pPr>
            <w:r>
              <w:rPr>
                <w:rFonts w:hint="eastAsia"/>
              </w:rPr>
              <w:t>2150</w:t>
            </w:r>
          </w:p>
        </w:tc>
        <w:tc>
          <w:tcPr>
            <w:tcW w:w="950" w:type="dxa"/>
            <w:shd w:val="clear" w:color="auto" w:fill="auto"/>
            <w:vAlign w:val="center"/>
          </w:tcPr>
          <w:p w14:paraId="669B02D7" w14:textId="77777777" w:rsidR="00E579B9" w:rsidRDefault="006A1398">
            <w:pPr>
              <w:pStyle w:val="aa"/>
            </w:pPr>
            <w:r>
              <w:rPr>
                <w:rFonts w:hint="eastAsia"/>
              </w:rPr>
              <w:t>20</w:t>
            </w:r>
          </w:p>
        </w:tc>
        <w:tc>
          <w:tcPr>
            <w:tcW w:w="1329" w:type="dxa"/>
            <w:shd w:val="clear" w:color="auto" w:fill="auto"/>
            <w:vAlign w:val="center"/>
          </w:tcPr>
          <w:p w14:paraId="63C8CD24" w14:textId="77777777" w:rsidR="00E579B9" w:rsidRDefault="006A1398">
            <w:pPr>
              <w:pStyle w:val="aa"/>
            </w:pPr>
            <w:r>
              <w:rPr>
                <w:rFonts w:hint="eastAsia"/>
              </w:rPr>
              <w:t>56</w:t>
            </w:r>
          </w:p>
        </w:tc>
        <w:tc>
          <w:tcPr>
            <w:tcW w:w="2098" w:type="dxa"/>
            <w:gridSpan w:val="2"/>
            <w:vMerge/>
            <w:vAlign w:val="center"/>
          </w:tcPr>
          <w:p w14:paraId="2972D285" w14:textId="77777777" w:rsidR="00E579B9" w:rsidRDefault="00E579B9">
            <w:pPr>
              <w:pStyle w:val="aa"/>
              <w:rPr>
                <w:highlight w:val="yellow"/>
              </w:rPr>
            </w:pPr>
          </w:p>
        </w:tc>
      </w:tr>
      <w:tr w:rsidR="00E579B9" w14:paraId="79BFC5CC" w14:textId="77777777">
        <w:trPr>
          <w:trHeight w:val="90"/>
        </w:trPr>
        <w:tc>
          <w:tcPr>
            <w:tcW w:w="989" w:type="dxa"/>
            <w:vMerge/>
            <w:vAlign w:val="center"/>
          </w:tcPr>
          <w:p w14:paraId="4DA94A92" w14:textId="77777777" w:rsidR="00E579B9" w:rsidRDefault="00E579B9">
            <w:pPr>
              <w:pStyle w:val="aa"/>
              <w:rPr>
                <w:highlight w:val="yellow"/>
              </w:rPr>
            </w:pPr>
          </w:p>
        </w:tc>
        <w:tc>
          <w:tcPr>
            <w:tcW w:w="1416" w:type="dxa"/>
            <w:shd w:val="clear" w:color="auto" w:fill="auto"/>
            <w:vAlign w:val="center"/>
          </w:tcPr>
          <w:p w14:paraId="729EA32B" w14:textId="77777777" w:rsidR="00E579B9" w:rsidRDefault="006A1398">
            <w:pPr>
              <w:pStyle w:val="aa"/>
            </w:pPr>
            <w:proofErr w:type="gramStart"/>
            <w:r>
              <w:rPr>
                <w:rFonts w:hint="eastAsia"/>
              </w:rPr>
              <w:t>前牛岭</w:t>
            </w:r>
            <w:proofErr w:type="gramEnd"/>
          </w:p>
        </w:tc>
        <w:tc>
          <w:tcPr>
            <w:tcW w:w="1010" w:type="dxa"/>
            <w:shd w:val="clear" w:color="auto" w:fill="auto"/>
            <w:vAlign w:val="center"/>
          </w:tcPr>
          <w:p w14:paraId="4AE6AA8C" w14:textId="77777777" w:rsidR="00E579B9" w:rsidRDefault="006A1398">
            <w:pPr>
              <w:pStyle w:val="aa"/>
            </w:pPr>
            <w:r>
              <w:rPr>
                <w:rFonts w:hint="eastAsia"/>
              </w:rPr>
              <w:t>E</w:t>
            </w:r>
          </w:p>
        </w:tc>
        <w:tc>
          <w:tcPr>
            <w:tcW w:w="928" w:type="dxa"/>
            <w:shd w:val="clear" w:color="auto" w:fill="auto"/>
            <w:vAlign w:val="center"/>
          </w:tcPr>
          <w:p w14:paraId="0E299581" w14:textId="77777777" w:rsidR="00E579B9" w:rsidRDefault="006A1398">
            <w:pPr>
              <w:pStyle w:val="aa"/>
            </w:pPr>
            <w:r>
              <w:rPr>
                <w:rFonts w:hint="eastAsia"/>
              </w:rPr>
              <w:t>2300</w:t>
            </w:r>
          </w:p>
        </w:tc>
        <w:tc>
          <w:tcPr>
            <w:tcW w:w="950" w:type="dxa"/>
            <w:shd w:val="clear" w:color="auto" w:fill="auto"/>
            <w:vAlign w:val="center"/>
          </w:tcPr>
          <w:p w14:paraId="6C5924C4" w14:textId="77777777" w:rsidR="00E579B9" w:rsidRDefault="006A1398">
            <w:pPr>
              <w:pStyle w:val="aa"/>
            </w:pPr>
            <w:r>
              <w:rPr>
                <w:rFonts w:hint="eastAsia"/>
              </w:rPr>
              <w:t>12</w:t>
            </w:r>
          </w:p>
        </w:tc>
        <w:tc>
          <w:tcPr>
            <w:tcW w:w="1329" w:type="dxa"/>
            <w:shd w:val="clear" w:color="auto" w:fill="auto"/>
            <w:vAlign w:val="center"/>
          </w:tcPr>
          <w:p w14:paraId="32E4682B" w14:textId="77777777" w:rsidR="00E579B9" w:rsidRDefault="006A1398">
            <w:pPr>
              <w:pStyle w:val="aa"/>
            </w:pPr>
            <w:r>
              <w:rPr>
                <w:rFonts w:hint="eastAsia"/>
              </w:rPr>
              <w:t>30</w:t>
            </w:r>
          </w:p>
        </w:tc>
        <w:tc>
          <w:tcPr>
            <w:tcW w:w="2098" w:type="dxa"/>
            <w:gridSpan w:val="2"/>
            <w:vMerge/>
            <w:vAlign w:val="center"/>
          </w:tcPr>
          <w:p w14:paraId="7F7D01EC" w14:textId="77777777" w:rsidR="00E579B9" w:rsidRDefault="00E579B9">
            <w:pPr>
              <w:pStyle w:val="aa"/>
              <w:rPr>
                <w:highlight w:val="yellow"/>
              </w:rPr>
            </w:pPr>
          </w:p>
        </w:tc>
      </w:tr>
      <w:tr w:rsidR="00E579B9" w14:paraId="1A7CBE5B" w14:textId="77777777">
        <w:trPr>
          <w:trHeight w:val="285"/>
        </w:trPr>
        <w:tc>
          <w:tcPr>
            <w:tcW w:w="989" w:type="dxa"/>
            <w:vMerge/>
            <w:vAlign w:val="center"/>
          </w:tcPr>
          <w:p w14:paraId="4D14281B" w14:textId="77777777" w:rsidR="00E579B9" w:rsidRDefault="00E579B9">
            <w:pPr>
              <w:pStyle w:val="aa"/>
              <w:rPr>
                <w:highlight w:val="yellow"/>
              </w:rPr>
            </w:pPr>
          </w:p>
        </w:tc>
        <w:tc>
          <w:tcPr>
            <w:tcW w:w="1416" w:type="dxa"/>
            <w:shd w:val="clear" w:color="auto" w:fill="auto"/>
            <w:vAlign w:val="center"/>
          </w:tcPr>
          <w:p w14:paraId="19537D89" w14:textId="77777777" w:rsidR="00E579B9" w:rsidRDefault="006A1398">
            <w:pPr>
              <w:pStyle w:val="aa"/>
            </w:pPr>
            <w:r>
              <w:rPr>
                <w:rFonts w:hint="eastAsia"/>
              </w:rPr>
              <w:t>坡底下</w:t>
            </w:r>
          </w:p>
        </w:tc>
        <w:tc>
          <w:tcPr>
            <w:tcW w:w="1010" w:type="dxa"/>
            <w:shd w:val="clear" w:color="auto" w:fill="auto"/>
            <w:vAlign w:val="center"/>
          </w:tcPr>
          <w:p w14:paraId="3303AF90" w14:textId="77777777" w:rsidR="00E579B9" w:rsidRDefault="006A1398">
            <w:pPr>
              <w:pStyle w:val="aa"/>
            </w:pPr>
            <w:r>
              <w:rPr>
                <w:rFonts w:hint="eastAsia"/>
              </w:rPr>
              <w:t>S</w:t>
            </w:r>
          </w:p>
        </w:tc>
        <w:tc>
          <w:tcPr>
            <w:tcW w:w="928" w:type="dxa"/>
            <w:shd w:val="clear" w:color="auto" w:fill="auto"/>
            <w:vAlign w:val="center"/>
          </w:tcPr>
          <w:p w14:paraId="2F72E308" w14:textId="77777777" w:rsidR="00E579B9" w:rsidRDefault="006A1398">
            <w:pPr>
              <w:pStyle w:val="aa"/>
            </w:pPr>
            <w:r>
              <w:rPr>
                <w:rFonts w:hint="eastAsia"/>
              </w:rPr>
              <w:t>2345</w:t>
            </w:r>
          </w:p>
        </w:tc>
        <w:tc>
          <w:tcPr>
            <w:tcW w:w="950" w:type="dxa"/>
            <w:shd w:val="clear" w:color="auto" w:fill="auto"/>
            <w:vAlign w:val="center"/>
          </w:tcPr>
          <w:p w14:paraId="657C7AD4" w14:textId="77777777" w:rsidR="00E579B9" w:rsidRDefault="006A1398">
            <w:pPr>
              <w:pStyle w:val="aa"/>
            </w:pPr>
            <w:r>
              <w:rPr>
                <w:rFonts w:hint="eastAsia"/>
              </w:rPr>
              <w:t>22</w:t>
            </w:r>
          </w:p>
        </w:tc>
        <w:tc>
          <w:tcPr>
            <w:tcW w:w="1329" w:type="dxa"/>
            <w:shd w:val="clear" w:color="auto" w:fill="auto"/>
            <w:vAlign w:val="center"/>
          </w:tcPr>
          <w:p w14:paraId="7380F772" w14:textId="77777777" w:rsidR="00E579B9" w:rsidRDefault="006A1398">
            <w:pPr>
              <w:pStyle w:val="aa"/>
            </w:pPr>
            <w:r>
              <w:rPr>
                <w:rFonts w:hint="eastAsia"/>
              </w:rPr>
              <w:t>68</w:t>
            </w:r>
          </w:p>
        </w:tc>
        <w:tc>
          <w:tcPr>
            <w:tcW w:w="2098" w:type="dxa"/>
            <w:gridSpan w:val="2"/>
            <w:vMerge/>
            <w:vAlign w:val="center"/>
          </w:tcPr>
          <w:p w14:paraId="35A1C7DA" w14:textId="77777777" w:rsidR="00E579B9" w:rsidRDefault="00E579B9">
            <w:pPr>
              <w:pStyle w:val="aa"/>
              <w:rPr>
                <w:highlight w:val="yellow"/>
              </w:rPr>
            </w:pPr>
          </w:p>
        </w:tc>
      </w:tr>
      <w:tr w:rsidR="00E579B9" w14:paraId="4F12881F" w14:textId="77777777">
        <w:trPr>
          <w:trHeight w:val="285"/>
        </w:trPr>
        <w:tc>
          <w:tcPr>
            <w:tcW w:w="989" w:type="dxa"/>
            <w:vMerge/>
            <w:vAlign w:val="center"/>
          </w:tcPr>
          <w:p w14:paraId="3E9F5976" w14:textId="77777777" w:rsidR="00E579B9" w:rsidRDefault="00E579B9">
            <w:pPr>
              <w:pStyle w:val="aa"/>
              <w:rPr>
                <w:highlight w:val="yellow"/>
              </w:rPr>
            </w:pPr>
          </w:p>
        </w:tc>
        <w:tc>
          <w:tcPr>
            <w:tcW w:w="1416" w:type="dxa"/>
            <w:shd w:val="clear" w:color="auto" w:fill="auto"/>
            <w:vAlign w:val="center"/>
          </w:tcPr>
          <w:p w14:paraId="0237EABF" w14:textId="77777777" w:rsidR="00E579B9" w:rsidRDefault="006A1398">
            <w:pPr>
              <w:pStyle w:val="aa"/>
            </w:pPr>
            <w:r>
              <w:rPr>
                <w:rFonts w:hint="eastAsia"/>
              </w:rPr>
              <w:t>望花台</w:t>
            </w:r>
          </w:p>
        </w:tc>
        <w:tc>
          <w:tcPr>
            <w:tcW w:w="1010" w:type="dxa"/>
            <w:shd w:val="clear" w:color="auto" w:fill="auto"/>
            <w:vAlign w:val="center"/>
          </w:tcPr>
          <w:p w14:paraId="363563ED" w14:textId="77777777" w:rsidR="00E579B9" w:rsidRDefault="006A1398">
            <w:pPr>
              <w:pStyle w:val="aa"/>
            </w:pPr>
            <w:r>
              <w:rPr>
                <w:rFonts w:hint="eastAsia"/>
              </w:rPr>
              <w:t>E</w:t>
            </w:r>
          </w:p>
        </w:tc>
        <w:tc>
          <w:tcPr>
            <w:tcW w:w="928" w:type="dxa"/>
            <w:shd w:val="clear" w:color="auto" w:fill="auto"/>
            <w:vAlign w:val="center"/>
          </w:tcPr>
          <w:p w14:paraId="394739F7" w14:textId="77777777" w:rsidR="00E579B9" w:rsidRDefault="006A1398">
            <w:pPr>
              <w:pStyle w:val="aa"/>
            </w:pPr>
            <w:r>
              <w:rPr>
                <w:rFonts w:hint="eastAsia"/>
              </w:rPr>
              <w:t>2</w:t>
            </w:r>
            <w:r>
              <w:t>368</w:t>
            </w:r>
          </w:p>
        </w:tc>
        <w:tc>
          <w:tcPr>
            <w:tcW w:w="950" w:type="dxa"/>
            <w:shd w:val="clear" w:color="auto" w:fill="auto"/>
            <w:vAlign w:val="center"/>
          </w:tcPr>
          <w:p w14:paraId="7C87926B" w14:textId="77777777" w:rsidR="00E579B9" w:rsidRDefault="006A1398">
            <w:pPr>
              <w:pStyle w:val="aa"/>
            </w:pPr>
            <w:r>
              <w:rPr>
                <w:rFonts w:hint="eastAsia"/>
              </w:rPr>
              <w:t>1</w:t>
            </w:r>
            <w:r>
              <w:t>0</w:t>
            </w:r>
          </w:p>
        </w:tc>
        <w:tc>
          <w:tcPr>
            <w:tcW w:w="1329" w:type="dxa"/>
            <w:shd w:val="clear" w:color="auto" w:fill="auto"/>
            <w:vAlign w:val="center"/>
          </w:tcPr>
          <w:p w14:paraId="7808FCF7" w14:textId="77777777" w:rsidR="00E579B9" w:rsidRDefault="006A1398">
            <w:pPr>
              <w:pStyle w:val="aa"/>
            </w:pPr>
            <w:r>
              <w:rPr>
                <w:rFonts w:hint="eastAsia"/>
              </w:rPr>
              <w:t>2</w:t>
            </w:r>
            <w:r>
              <w:t>0</w:t>
            </w:r>
          </w:p>
        </w:tc>
        <w:tc>
          <w:tcPr>
            <w:tcW w:w="2098" w:type="dxa"/>
            <w:gridSpan w:val="2"/>
            <w:vMerge/>
            <w:vAlign w:val="center"/>
          </w:tcPr>
          <w:p w14:paraId="0BDD97BB" w14:textId="77777777" w:rsidR="00E579B9" w:rsidRDefault="00E579B9">
            <w:pPr>
              <w:pStyle w:val="aa"/>
              <w:rPr>
                <w:highlight w:val="yellow"/>
              </w:rPr>
            </w:pPr>
          </w:p>
        </w:tc>
      </w:tr>
      <w:tr w:rsidR="00E579B9" w14:paraId="0D62F3EA" w14:textId="77777777">
        <w:trPr>
          <w:trHeight w:val="285"/>
        </w:trPr>
        <w:tc>
          <w:tcPr>
            <w:tcW w:w="989" w:type="dxa"/>
            <w:vMerge/>
            <w:vAlign w:val="center"/>
          </w:tcPr>
          <w:p w14:paraId="14FCE707" w14:textId="77777777" w:rsidR="00E579B9" w:rsidRDefault="00E579B9">
            <w:pPr>
              <w:pStyle w:val="aa"/>
              <w:rPr>
                <w:highlight w:val="yellow"/>
              </w:rPr>
            </w:pPr>
          </w:p>
        </w:tc>
        <w:tc>
          <w:tcPr>
            <w:tcW w:w="1416" w:type="dxa"/>
            <w:shd w:val="clear" w:color="auto" w:fill="auto"/>
            <w:vAlign w:val="center"/>
          </w:tcPr>
          <w:p w14:paraId="4537C23F" w14:textId="77777777" w:rsidR="00E579B9" w:rsidRDefault="006A1398">
            <w:pPr>
              <w:pStyle w:val="aa"/>
            </w:pPr>
            <w:r>
              <w:rPr>
                <w:rFonts w:hint="eastAsia"/>
              </w:rPr>
              <w:t>李尧村</w:t>
            </w:r>
          </w:p>
        </w:tc>
        <w:tc>
          <w:tcPr>
            <w:tcW w:w="1010" w:type="dxa"/>
            <w:shd w:val="clear" w:color="auto" w:fill="auto"/>
            <w:vAlign w:val="center"/>
          </w:tcPr>
          <w:p w14:paraId="0723C867" w14:textId="77777777" w:rsidR="00E579B9" w:rsidRDefault="006A1398">
            <w:pPr>
              <w:pStyle w:val="aa"/>
            </w:pPr>
            <w:r>
              <w:rPr>
                <w:rFonts w:hint="eastAsia"/>
              </w:rPr>
              <w:t>E</w:t>
            </w:r>
            <w:r>
              <w:t>S</w:t>
            </w:r>
          </w:p>
        </w:tc>
        <w:tc>
          <w:tcPr>
            <w:tcW w:w="928" w:type="dxa"/>
            <w:shd w:val="clear" w:color="auto" w:fill="auto"/>
            <w:vAlign w:val="center"/>
          </w:tcPr>
          <w:p w14:paraId="02CBBEE9" w14:textId="77777777" w:rsidR="00E579B9" w:rsidRDefault="006A1398">
            <w:pPr>
              <w:pStyle w:val="aa"/>
            </w:pPr>
            <w:r>
              <w:rPr>
                <w:rFonts w:hint="eastAsia"/>
              </w:rPr>
              <w:t>2500</w:t>
            </w:r>
          </w:p>
        </w:tc>
        <w:tc>
          <w:tcPr>
            <w:tcW w:w="950" w:type="dxa"/>
            <w:shd w:val="clear" w:color="auto" w:fill="auto"/>
            <w:vAlign w:val="center"/>
          </w:tcPr>
          <w:p w14:paraId="5D67998E" w14:textId="77777777" w:rsidR="00E579B9" w:rsidRDefault="006A1398">
            <w:pPr>
              <w:pStyle w:val="aa"/>
            </w:pPr>
            <w:r>
              <w:rPr>
                <w:rFonts w:hint="eastAsia"/>
              </w:rPr>
              <w:t>50</w:t>
            </w:r>
          </w:p>
        </w:tc>
        <w:tc>
          <w:tcPr>
            <w:tcW w:w="1329" w:type="dxa"/>
            <w:shd w:val="clear" w:color="auto" w:fill="auto"/>
            <w:vAlign w:val="center"/>
          </w:tcPr>
          <w:p w14:paraId="6A7ABD2B" w14:textId="77777777" w:rsidR="00E579B9" w:rsidRDefault="006A1398">
            <w:pPr>
              <w:pStyle w:val="aa"/>
            </w:pPr>
            <w:r>
              <w:rPr>
                <w:rFonts w:hint="eastAsia"/>
              </w:rPr>
              <w:t>120</w:t>
            </w:r>
          </w:p>
        </w:tc>
        <w:tc>
          <w:tcPr>
            <w:tcW w:w="2098" w:type="dxa"/>
            <w:gridSpan w:val="2"/>
            <w:vMerge/>
            <w:vAlign w:val="center"/>
          </w:tcPr>
          <w:p w14:paraId="01B810A3" w14:textId="77777777" w:rsidR="00E579B9" w:rsidRDefault="00E579B9">
            <w:pPr>
              <w:pStyle w:val="aa"/>
              <w:rPr>
                <w:highlight w:val="yellow"/>
              </w:rPr>
            </w:pPr>
          </w:p>
        </w:tc>
      </w:tr>
      <w:tr w:rsidR="00E579B9" w14:paraId="2FA13334" w14:textId="77777777">
        <w:trPr>
          <w:trHeight w:val="302"/>
        </w:trPr>
        <w:tc>
          <w:tcPr>
            <w:tcW w:w="989" w:type="dxa"/>
            <w:shd w:val="clear" w:color="auto" w:fill="auto"/>
            <w:vAlign w:val="center"/>
          </w:tcPr>
          <w:p w14:paraId="2834226A" w14:textId="77777777" w:rsidR="00E579B9" w:rsidRDefault="006A1398">
            <w:pPr>
              <w:pStyle w:val="aa"/>
            </w:pPr>
            <w:r>
              <w:t>地表水</w:t>
            </w:r>
          </w:p>
        </w:tc>
        <w:tc>
          <w:tcPr>
            <w:tcW w:w="1416" w:type="dxa"/>
            <w:shd w:val="clear" w:color="auto" w:fill="auto"/>
            <w:vAlign w:val="center"/>
          </w:tcPr>
          <w:p w14:paraId="73191525" w14:textId="77777777" w:rsidR="00E579B9" w:rsidRDefault="006A1398">
            <w:pPr>
              <w:pStyle w:val="aa"/>
            </w:pPr>
            <w:r>
              <w:rPr>
                <w:rFonts w:hint="eastAsia"/>
              </w:rPr>
              <w:t>汝河</w:t>
            </w:r>
          </w:p>
        </w:tc>
        <w:tc>
          <w:tcPr>
            <w:tcW w:w="1010" w:type="dxa"/>
            <w:shd w:val="clear" w:color="auto" w:fill="auto"/>
            <w:vAlign w:val="center"/>
          </w:tcPr>
          <w:p w14:paraId="244D2813" w14:textId="77777777" w:rsidR="00E579B9" w:rsidRDefault="006A1398">
            <w:pPr>
              <w:pStyle w:val="aa"/>
            </w:pPr>
            <w:r>
              <w:rPr>
                <w:rFonts w:hint="eastAsia"/>
              </w:rPr>
              <w:t>矿区东侧</w:t>
            </w:r>
          </w:p>
        </w:tc>
        <w:tc>
          <w:tcPr>
            <w:tcW w:w="928" w:type="dxa"/>
            <w:shd w:val="clear" w:color="auto" w:fill="auto"/>
            <w:vAlign w:val="center"/>
          </w:tcPr>
          <w:p w14:paraId="3F072FA7" w14:textId="77777777" w:rsidR="00E579B9" w:rsidRDefault="006A1398">
            <w:pPr>
              <w:pStyle w:val="aa"/>
            </w:pPr>
            <w:r w:rsidRPr="00EA71D4">
              <w:rPr>
                <w:rFonts w:hint="eastAsia"/>
                <w:color w:val="FF0000"/>
              </w:rPr>
              <w:t>1200</w:t>
            </w:r>
          </w:p>
        </w:tc>
        <w:tc>
          <w:tcPr>
            <w:tcW w:w="2279" w:type="dxa"/>
            <w:gridSpan w:val="2"/>
            <w:vAlign w:val="center"/>
          </w:tcPr>
          <w:p w14:paraId="71ECBA3C" w14:textId="77777777" w:rsidR="00E579B9" w:rsidRDefault="006A1398">
            <w:pPr>
              <w:pStyle w:val="aa"/>
            </w:pPr>
            <w:r>
              <w:t>/</w:t>
            </w:r>
          </w:p>
        </w:tc>
        <w:tc>
          <w:tcPr>
            <w:tcW w:w="2098" w:type="dxa"/>
            <w:gridSpan w:val="2"/>
            <w:shd w:val="clear" w:color="auto" w:fill="auto"/>
            <w:vAlign w:val="center"/>
          </w:tcPr>
          <w:p w14:paraId="21B1734E" w14:textId="77777777" w:rsidR="00E579B9" w:rsidRDefault="006A1398">
            <w:pPr>
              <w:pStyle w:val="aa"/>
            </w:pPr>
            <w:r>
              <w:t>《地表水环境质量标准》（</w:t>
            </w:r>
            <w:r>
              <w:t>GB3838-2002</w:t>
            </w:r>
            <w:r>
              <w:t>）</w:t>
            </w:r>
            <w:r>
              <w:rPr>
                <w:rFonts w:ascii="宋体" w:hAnsi="宋体" w:cs="宋体"/>
              </w:rPr>
              <w:fldChar w:fldCharType="begin"/>
            </w:r>
            <w:r>
              <w:rPr>
                <w:rFonts w:ascii="宋体" w:hAnsi="宋体" w:cs="宋体"/>
              </w:rPr>
              <w:instrText xml:space="preserve"> </w:instrText>
            </w:r>
            <w:r>
              <w:rPr>
                <w:rFonts w:ascii="宋体" w:hAnsi="宋体" w:cs="宋体" w:hint="eastAsia"/>
              </w:rPr>
              <w:instrText>= 3 \* ROMAN</w:instrText>
            </w:r>
            <w:r>
              <w:rPr>
                <w:rFonts w:ascii="宋体" w:hAnsi="宋体" w:cs="宋体"/>
              </w:rPr>
              <w:instrText xml:space="preserve"> </w:instrText>
            </w:r>
            <w:r>
              <w:rPr>
                <w:rFonts w:ascii="宋体" w:hAnsi="宋体" w:cs="宋体"/>
              </w:rPr>
              <w:fldChar w:fldCharType="separate"/>
            </w:r>
            <w:r>
              <w:rPr>
                <w:rFonts w:ascii="宋体" w:hAnsi="宋体" w:cs="宋体"/>
              </w:rPr>
              <w:t>III</w:t>
            </w:r>
            <w:r>
              <w:rPr>
                <w:rFonts w:ascii="宋体" w:hAnsi="宋体" w:cs="宋体"/>
              </w:rPr>
              <w:fldChar w:fldCharType="end"/>
            </w:r>
            <w:r>
              <w:t>类</w:t>
            </w:r>
          </w:p>
        </w:tc>
      </w:tr>
      <w:tr w:rsidR="00E579B9" w14:paraId="1C7D47DC" w14:textId="77777777">
        <w:trPr>
          <w:trHeight w:val="795"/>
        </w:trPr>
        <w:tc>
          <w:tcPr>
            <w:tcW w:w="989" w:type="dxa"/>
            <w:shd w:val="clear" w:color="auto" w:fill="auto"/>
            <w:vAlign w:val="center"/>
          </w:tcPr>
          <w:p w14:paraId="563630C0" w14:textId="77777777" w:rsidR="00E579B9" w:rsidRDefault="006A1398">
            <w:pPr>
              <w:pStyle w:val="aa"/>
            </w:pPr>
            <w:r>
              <w:t>声环境</w:t>
            </w:r>
          </w:p>
        </w:tc>
        <w:tc>
          <w:tcPr>
            <w:tcW w:w="1416" w:type="dxa"/>
            <w:shd w:val="clear" w:color="auto" w:fill="auto"/>
            <w:vAlign w:val="center"/>
          </w:tcPr>
          <w:p w14:paraId="77F90DF0" w14:textId="77777777" w:rsidR="00E579B9" w:rsidRDefault="006A1398">
            <w:pPr>
              <w:pStyle w:val="aa"/>
            </w:pPr>
            <w:r>
              <w:rPr>
                <w:rFonts w:hint="eastAsia"/>
              </w:rPr>
              <w:t>区域噪声</w:t>
            </w:r>
          </w:p>
        </w:tc>
        <w:tc>
          <w:tcPr>
            <w:tcW w:w="1938" w:type="dxa"/>
            <w:gridSpan w:val="2"/>
            <w:vAlign w:val="center"/>
          </w:tcPr>
          <w:p w14:paraId="2898A860" w14:textId="77777777" w:rsidR="00E579B9" w:rsidRDefault="006A1398">
            <w:pPr>
              <w:pStyle w:val="aa"/>
            </w:pPr>
            <w:r>
              <w:t>场界</w:t>
            </w:r>
            <w:r>
              <w:rPr>
                <w:rFonts w:hint="eastAsia"/>
              </w:rPr>
              <w:t>外</w:t>
            </w:r>
            <w:r>
              <w:t>200m</w:t>
            </w:r>
            <w:r>
              <w:rPr>
                <w:rFonts w:hint="eastAsia"/>
              </w:rPr>
              <w:t>范围内</w:t>
            </w:r>
          </w:p>
        </w:tc>
        <w:tc>
          <w:tcPr>
            <w:tcW w:w="2279" w:type="dxa"/>
            <w:gridSpan w:val="2"/>
            <w:vAlign w:val="center"/>
          </w:tcPr>
          <w:p w14:paraId="03802BD8" w14:textId="77777777" w:rsidR="00E579B9" w:rsidRDefault="006A1398">
            <w:pPr>
              <w:pStyle w:val="aa"/>
            </w:pPr>
            <w:r>
              <w:rPr>
                <w:rFonts w:hint="eastAsia"/>
              </w:rPr>
              <w:t>/</w:t>
            </w:r>
          </w:p>
        </w:tc>
        <w:tc>
          <w:tcPr>
            <w:tcW w:w="2098" w:type="dxa"/>
            <w:gridSpan w:val="2"/>
            <w:shd w:val="clear" w:color="auto" w:fill="auto"/>
            <w:vAlign w:val="center"/>
          </w:tcPr>
          <w:p w14:paraId="671E9D16" w14:textId="77777777" w:rsidR="00E579B9" w:rsidRDefault="006A1398">
            <w:pPr>
              <w:pStyle w:val="aa"/>
            </w:pPr>
            <w:r>
              <w:t>《声环境质量标准》（</w:t>
            </w:r>
            <w:r>
              <w:t>GB3096-2008</w:t>
            </w:r>
            <w:r>
              <w:t>）</w:t>
            </w:r>
            <w:r>
              <w:t>2</w:t>
            </w:r>
            <w:r>
              <w:t>类</w:t>
            </w:r>
          </w:p>
        </w:tc>
      </w:tr>
      <w:tr w:rsidR="00E579B9" w14:paraId="4FD55EA2" w14:textId="77777777">
        <w:trPr>
          <w:trHeight w:val="765"/>
        </w:trPr>
        <w:tc>
          <w:tcPr>
            <w:tcW w:w="989" w:type="dxa"/>
            <w:shd w:val="clear" w:color="auto" w:fill="auto"/>
            <w:vAlign w:val="center"/>
          </w:tcPr>
          <w:p w14:paraId="0D3A87DC" w14:textId="77777777" w:rsidR="00E579B9" w:rsidRDefault="006A1398">
            <w:pPr>
              <w:pStyle w:val="aa"/>
            </w:pPr>
            <w:r>
              <w:t>生态环境</w:t>
            </w:r>
          </w:p>
        </w:tc>
        <w:tc>
          <w:tcPr>
            <w:tcW w:w="1416" w:type="dxa"/>
            <w:shd w:val="clear" w:color="auto" w:fill="auto"/>
            <w:vAlign w:val="center"/>
          </w:tcPr>
          <w:p w14:paraId="197ABA99" w14:textId="77777777" w:rsidR="00E579B9" w:rsidRDefault="006A1398">
            <w:pPr>
              <w:pStyle w:val="aa"/>
            </w:pPr>
            <w:r>
              <w:t>植被及生态系统</w:t>
            </w:r>
          </w:p>
        </w:tc>
        <w:tc>
          <w:tcPr>
            <w:tcW w:w="1938" w:type="dxa"/>
            <w:gridSpan w:val="2"/>
            <w:vAlign w:val="center"/>
          </w:tcPr>
          <w:p w14:paraId="1455317D" w14:textId="77777777" w:rsidR="00E579B9" w:rsidRDefault="006A1398">
            <w:pPr>
              <w:pStyle w:val="aa"/>
            </w:pPr>
            <w:r>
              <w:t>矿区</w:t>
            </w:r>
            <w:r>
              <w:rPr>
                <w:rFonts w:hint="eastAsia"/>
              </w:rPr>
              <w:t>周围</w:t>
            </w:r>
            <w:r>
              <w:rPr>
                <w:rFonts w:hint="eastAsia"/>
              </w:rPr>
              <w:t>0.5</w:t>
            </w:r>
            <w:r>
              <w:t>km</w:t>
            </w:r>
            <w:r>
              <w:t>范围内</w:t>
            </w:r>
          </w:p>
        </w:tc>
        <w:tc>
          <w:tcPr>
            <w:tcW w:w="2279" w:type="dxa"/>
            <w:gridSpan w:val="2"/>
            <w:vAlign w:val="center"/>
          </w:tcPr>
          <w:p w14:paraId="23583AD7" w14:textId="77777777" w:rsidR="00E579B9" w:rsidRDefault="006A1398">
            <w:pPr>
              <w:pStyle w:val="aa"/>
            </w:pPr>
            <w:r>
              <w:rPr>
                <w:rFonts w:hint="eastAsia"/>
              </w:rPr>
              <w:t>/</w:t>
            </w:r>
          </w:p>
        </w:tc>
        <w:tc>
          <w:tcPr>
            <w:tcW w:w="2098" w:type="dxa"/>
            <w:gridSpan w:val="2"/>
            <w:shd w:val="clear" w:color="auto" w:fill="auto"/>
            <w:vAlign w:val="center"/>
          </w:tcPr>
          <w:p w14:paraId="0AD606F3" w14:textId="77777777" w:rsidR="00E579B9" w:rsidRDefault="006A1398">
            <w:pPr>
              <w:pStyle w:val="aa"/>
            </w:pPr>
            <w:r>
              <w:t>恢复、补偿工程建设对生态环境的直接破坏和间接影响，不破坏区域生态环境质量</w:t>
            </w:r>
          </w:p>
        </w:tc>
      </w:tr>
      <w:tr w:rsidR="00E579B9" w14:paraId="5489C0DB" w14:textId="77777777">
        <w:trPr>
          <w:gridAfter w:val="1"/>
          <w:wAfter w:w="9" w:type="dxa"/>
          <w:trHeight w:val="285"/>
        </w:trPr>
        <w:tc>
          <w:tcPr>
            <w:tcW w:w="8711" w:type="dxa"/>
            <w:gridSpan w:val="7"/>
            <w:vAlign w:val="center"/>
          </w:tcPr>
          <w:p w14:paraId="479C5C32" w14:textId="77777777" w:rsidR="00E579B9" w:rsidRDefault="006A1398">
            <w:pPr>
              <w:pStyle w:val="aa"/>
            </w:pPr>
            <w:r>
              <w:t>注：本表中距离均指相对最近露采场</w:t>
            </w:r>
            <w:r>
              <w:rPr>
                <w:rFonts w:hint="eastAsia"/>
              </w:rPr>
              <w:t>或破碎加工厂</w:t>
            </w:r>
            <w:r>
              <w:t>直线距离。</w:t>
            </w:r>
          </w:p>
        </w:tc>
      </w:tr>
    </w:tbl>
    <w:p w14:paraId="43B87178" w14:textId="77777777" w:rsidR="00E579B9" w:rsidRDefault="006A1398">
      <w:pPr>
        <w:pStyle w:val="3"/>
        <w:ind w:firstLine="560"/>
      </w:pPr>
      <w:bookmarkStart w:id="59" w:name="_Toc535847435"/>
      <w:r>
        <w:t>2.9.2</w:t>
      </w:r>
      <w:r>
        <w:t>爆破警戒线</w:t>
      </w:r>
      <w:bookmarkEnd w:id="59"/>
    </w:p>
    <w:p w14:paraId="15E5CF41" w14:textId="77777777" w:rsidR="00E579B9" w:rsidRDefault="006A1398">
      <w:pPr>
        <w:rPr>
          <w:rFonts w:cs="Times New Roman"/>
          <w:kern w:val="0"/>
          <w:szCs w:val="24"/>
        </w:rPr>
      </w:pPr>
      <w:r>
        <w:t>根据深孔爆破的有关安全规程，矿区露采爆破的安全距离最终确定为自露天采场境界向外</w:t>
      </w:r>
      <w:r>
        <w:t>200m</w:t>
      </w:r>
      <w:r>
        <w:t>进行圈定</w:t>
      </w:r>
      <w:r>
        <w:rPr>
          <w:rFonts w:hint="eastAsia"/>
        </w:rPr>
        <w:t>（下坡方向</w:t>
      </w:r>
      <w:r>
        <w:rPr>
          <w:rFonts w:hint="eastAsia"/>
        </w:rPr>
        <w:t>300m</w:t>
      </w:r>
      <w:r>
        <w:rPr>
          <w:rFonts w:hint="eastAsia"/>
        </w:rPr>
        <w:t>）</w:t>
      </w:r>
      <w:r>
        <w:t>，该安全距离内无铁路、等级公路、高压线等影响采矿的因素。</w:t>
      </w:r>
    </w:p>
    <w:p w14:paraId="2C4CAF1B" w14:textId="77777777" w:rsidR="00E579B9" w:rsidRDefault="006A1398">
      <w:pPr>
        <w:pStyle w:val="3"/>
        <w:ind w:firstLine="560"/>
        <w:rPr>
          <w:rFonts w:eastAsia="楷体_GB2312"/>
        </w:rPr>
      </w:pPr>
      <w:bookmarkStart w:id="60" w:name="_Toc535847436"/>
      <w:r>
        <w:t>2.9.3</w:t>
      </w:r>
      <w:r>
        <w:t>污染控制</w:t>
      </w:r>
      <w:bookmarkEnd w:id="60"/>
      <w:r>
        <w:rPr>
          <w:rFonts w:hint="eastAsia"/>
        </w:rPr>
        <w:t>措施</w:t>
      </w:r>
    </w:p>
    <w:p w14:paraId="14E66505" w14:textId="77777777" w:rsidR="00E579B9" w:rsidRDefault="006A1398">
      <w:r>
        <w:t>根据本项目及周围环境特点，正常工况下生产用水为洒水抑尘，生活污水处理后回用于洒水降尘，露天采场雨季汇水经</w:t>
      </w:r>
      <w:proofErr w:type="gramStart"/>
      <w:r>
        <w:t>排水沟排离采区</w:t>
      </w:r>
      <w:proofErr w:type="gramEnd"/>
      <w:r>
        <w:t>。</w:t>
      </w:r>
    </w:p>
    <w:p w14:paraId="65BE2BDC" w14:textId="27551C87" w:rsidR="00E579B9" w:rsidRPr="002B5221" w:rsidRDefault="006A1398">
      <w:r>
        <w:t>露采区</w:t>
      </w:r>
      <w:r w:rsidR="00EA71D4">
        <w:rPr>
          <w:rFonts w:hint="eastAsia"/>
        </w:rPr>
        <w:t>、</w:t>
      </w:r>
      <w:r w:rsidR="00EA71D4" w:rsidRPr="00EA71D4">
        <w:rPr>
          <w:rFonts w:hint="eastAsia"/>
        </w:rPr>
        <w:t>破碎加工厂</w:t>
      </w:r>
      <w:r>
        <w:t>颗粒物的排放浓度满足</w:t>
      </w:r>
      <w:r w:rsidR="00EA71D4" w:rsidRPr="002B5221">
        <w:rPr>
          <w:bCs/>
          <w:szCs w:val="21"/>
        </w:rPr>
        <w:t>《建筑石料、石材矿绿色矿山建设规范》（</w:t>
      </w:r>
      <w:r w:rsidR="00EA71D4" w:rsidRPr="002B5221">
        <w:rPr>
          <w:bCs/>
          <w:szCs w:val="21"/>
        </w:rPr>
        <w:t>DB41/T1665-2018</w:t>
      </w:r>
      <w:r w:rsidR="00EA71D4" w:rsidRPr="002B5221">
        <w:rPr>
          <w:bCs/>
          <w:szCs w:val="21"/>
        </w:rPr>
        <w:t>）</w:t>
      </w:r>
      <w:r w:rsidR="00EA71D4" w:rsidRPr="002B5221">
        <w:rPr>
          <w:rFonts w:hint="eastAsia"/>
          <w:bCs/>
          <w:szCs w:val="21"/>
        </w:rPr>
        <w:t>、</w:t>
      </w:r>
      <w:r w:rsidRPr="002B5221">
        <w:t>《大气污染物综合排放标准》</w:t>
      </w:r>
      <w:r w:rsidRPr="002B5221">
        <w:t>(GB16297-1996)</w:t>
      </w:r>
      <w:r w:rsidRPr="002B5221">
        <w:t>表</w:t>
      </w:r>
      <w:r w:rsidRPr="002B5221">
        <w:t>2</w:t>
      </w:r>
      <w:r w:rsidRPr="002B5221">
        <w:t>中二级标准</w:t>
      </w:r>
      <w:r w:rsidR="00EA71D4" w:rsidRPr="002B5221">
        <w:rPr>
          <w:rFonts w:hint="eastAsia"/>
        </w:rPr>
        <w:t>、《</w:t>
      </w:r>
      <w:r w:rsidRPr="002B5221">
        <w:rPr>
          <w:rFonts w:cs="Times New Roman" w:hint="eastAsia"/>
          <w:szCs w:val="21"/>
        </w:rPr>
        <w:t>水泥工业大气</w:t>
      </w:r>
      <w:r w:rsidRPr="002B5221">
        <w:rPr>
          <w:rFonts w:cs="Times New Roman"/>
          <w:szCs w:val="21"/>
        </w:rPr>
        <w:t>污染物排放标准》（</w:t>
      </w:r>
      <w:r w:rsidRPr="002B5221">
        <w:rPr>
          <w:rFonts w:cs="Times New Roman"/>
          <w:szCs w:val="21"/>
        </w:rPr>
        <w:t>GB</w:t>
      </w:r>
      <w:r w:rsidRPr="002B5221">
        <w:rPr>
          <w:rFonts w:cs="Times New Roman" w:hint="eastAsia"/>
          <w:szCs w:val="21"/>
        </w:rPr>
        <w:t>4915</w:t>
      </w:r>
      <w:r w:rsidRPr="002B5221">
        <w:rPr>
          <w:rFonts w:cs="Times New Roman"/>
          <w:szCs w:val="21"/>
        </w:rPr>
        <w:t>-</w:t>
      </w:r>
      <w:r w:rsidRPr="002B5221">
        <w:rPr>
          <w:rFonts w:cs="Times New Roman" w:hint="eastAsia"/>
          <w:szCs w:val="21"/>
        </w:rPr>
        <w:t>2013</w:t>
      </w:r>
      <w:r w:rsidRPr="002B5221">
        <w:rPr>
          <w:rFonts w:cs="Times New Roman"/>
          <w:szCs w:val="21"/>
        </w:rPr>
        <w:t>）表</w:t>
      </w:r>
      <w:r w:rsidRPr="002B5221">
        <w:rPr>
          <w:rFonts w:cs="Times New Roman" w:hint="eastAsia"/>
          <w:szCs w:val="21"/>
        </w:rPr>
        <w:t>2</w:t>
      </w:r>
      <w:r w:rsidRPr="002B5221">
        <w:rPr>
          <w:rFonts w:cs="Times New Roman" w:hint="eastAsia"/>
          <w:szCs w:val="21"/>
        </w:rPr>
        <w:t>中矿山开采大气污染</w:t>
      </w:r>
      <w:proofErr w:type="gramStart"/>
      <w:r w:rsidRPr="002B5221">
        <w:rPr>
          <w:rFonts w:cs="Times New Roman" w:hint="eastAsia"/>
          <w:szCs w:val="21"/>
        </w:rPr>
        <w:t>物特别</w:t>
      </w:r>
      <w:proofErr w:type="gramEnd"/>
      <w:r w:rsidRPr="002B5221">
        <w:rPr>
          <w:rFonts w:cs="Times New Roman" w:hint="eastAsia"/>
          <w:szCs w:val="21"/>
        </w:rPr>
        <w:t>排放限值要求及表</w:t>
      </w:r>
      <w:r w:rsidRPr="002B5221">
        <w:rPr>
          <w:rFonts w:cs="Times New Roman" w:hint="eastAsia"/>
          <w:szCs w:val="21"/>
        </w:rPr>
        <w:t>3</w:t>
      </w:r>
      <w:r w:rsidRPr="002B5221">
        <w:rPr>
          <w:rFonts w:cs="Times New Roman" w:hint="eastAsia"/>
          <w:szCs w:val="21"/>
        </w:rPr>
        <w:t>中标准。</w:t>
      </w:r>
    </w:p>
    <w:p w14:paraId="1A2B2D8C" w14:textId="77777777" w:rsidR="00E579B9" w:rsidRDefault="006A1398">
      <w:r>
        <w:lastRenderedPageBreak/>
        <w:t>露采区厂界噪声满足《工业企业厂界环境噪声排放标准》（</w:t>
      </w:r>
      <w:r>
        <w:t>GB12348-2008</w:t>
      </w:r>
      <w:r>
        <w:t>）中</w:t>
      </w:r>
      <w:r>
        <w:t>2</w:t>
      </w:r>
      <w:r>
        <w:t>类标准。</w:t>
      </w:r>
    </w:p>
    <w:p w14:paraId="057F1533" w14:textId="77777777" w:rsidR="00E579B9" w:rsidRDefault="006A1398">
      <w:r>
        <w:t>废土石全部得到合理处置，生态环境控制目标为尽量恢复、补偿工程建设对生态环境的直接破坏和间接影响，减少对区域生态环境质量的破坏。</w:t>
      </w:r>
    </w:p>
    <w:p w14:paraId="775D07FC" w14:textId="77777777" w:rsidR="00E579B9" w:rsidRDefault="006A1398">
      <w:pPr>
        <w:pStyle w:val="2"/>
        <w:ind w:firstLine="560"/>
      </w:pPr>
      <w:bookmarkStart w:id="61" w:name="_Toc535847437"/>
      <w:bookmarkStart w:id="62" w:name="_Toc33021789"/>
      <w:r>
        <w:rPr>
          <w:rFonts w:hint="eastAsia"/>
        </w:rPr>
        <w:t>2.</w:t>
      </w:r>
      <w:r>
        <w:t>10</w:t>
      </w:r>
      <w:r>
        <w:rPr>
          <w:rFonts w:hint="eastAsia"/>
        </w:rPr>
        <w:t>章节设置及评价重点</w:t>
      </w:r>
      <w:bookmarkEnd w:id="61"/>
      <w:bookmarkEnd w:id="62"/>
    </w:p>
    <w:p w14:paraId="4708532B" w14:textId="77777777" w:rsidR="00E579B9" w:rsidRDefault="006A1398">
      <w:pPr>
        <w:pStyle w:val="3"/>
        <w:ind w:firstLine="560"/>
      </w:pPr>
      <w:bookmarkStart w:id="63" w:name="_Toc535847438"/>
      <w:r>
        <w:t>2.10.1</w:t>
      </w:r>
      <w:r>
        <w:rPr>
          <w:rFonts w:hint="eastAsia"/>
        </w:rPr>
        <w:t>章节</w:t>
      </w:r>
      <w:r>
        <w:t>设置</w:t>
      </w:r>
      <w:bookmarkEnd w:id="63"/>
    </w:p>
    <w:p w14:paraId="256B85F2" w14:textId="77777777" w:rsidR="00E579B9" w:rsidRDefault="006A1398">
      <w:r>
        <w:t>本项目环境评价报告设置以下章节：</w:t>
      </w:r>
    </w:p>
    <w:p w14:paraId="28FE48EB" w14:textId="77777777" w:rsidR="00E579B9" w:rsidRDefault="006A1398">
      <w:r>
        <w:t>（</w:t>
      </w:r>
      <w:r>
        <w:t>1</w:t>
      </w:r>
      <w:r>
        <w:t>）概述</w:t>
      </w:r>
    </w:p>
    <w:p w14:paraId="3E401518" w14:textId="77777777" w:rsidR="00E579B9" w:rsidRDefault="006A1398">
      <w:r>
        <w:t>（</w:t>
      </w:r>
      <w:r>
        <w:t>2</w:t>
      </w:r>
      <w:r>
        <w:t>）总则</w:t>
      </w:r>
    </w:p>
    <w:p w14:paraId="3B761CA0" w14:textId="77777777" w:rsidR="00E579B9" w:rsidRDefault="006A1398">
      <w:r>
        <w:t>（</w:t>
      </w:r>
      <w:r>
        <w:t>3</w:t>
      </w:r>
      <w:r>
        <w:t>）整合</w:t>
      </w:r>
      <w:proofErr w:type="gramStart"/>
      <w:r>
        <w:t>前项目</w:t>
      </w:r>
      <w:proofErr w:type="gramEnd"/>
      <w:r>
        <w:t>工程概况及工程分析</w:t>
      </w:r>
    </w:p>
    <w:p w14:paraId="3D34F6F9" w14:textId="77777777" w:rsidR="00E579B9" w:rsidRDefault="006A1398">
      <w:r>
        <w:t>（</w:t>
      </w:r>
      <w:r>
        <w:t>4</w:t>
      </w:r>
      <w:r>
        <w:t>）本项目工程概况及工程分析</w:t>
      </w:r>
    </w:p>
    <w:p w14:paraId="33F387EC" w14:textId="77777777" w:rsidR="00E579B9" w:rsidRDefault="006A1398">
      <w:r>
        <w:t>（</w:t>
      </w:r>
      <w:r>
        <w:t>5</w:t>
      </w:r>
      <w:r>
        <w:t>）环境现状调查及评价</w:t>
      </w:r>
    </w:p>
    <w:p w14:paraId="20B23DEE" w14:textId="77777777" w:rsidR="00E579B9" w:rsidRDefault="006A1398">
      <w:r>
        <w:t>（</w:t>
      </w:r>
      <w:r>
        <w:t>6</w:t>
      </w:r>
      <w:r>
        <w:t>）环境影响预测与评价</w:t>
      </w:r>
    </w:p>
    <w:p w14:paraId="70FE9B17" w14:textId="77777777" w:rsidR="00E579B9" w:rsidRDefault="006A1398">
      <w:r>
        <w:t>（</w:t>
      </w:r>
      <w:r>
        <w:t>7</w:t>
      </w:r>
      <w:r>
        <w:t>）生态环境现状调查及影响评价</w:t>
      </w:r>
    </w:p>
    <w:p w14:paraId="7290B411" w14:textId="77777777" w:rsidR="00E579B9" w:rsidRDefault="006A1398">
      <w:r>
        <w:t>（</w:t>
      </w:r>
      <w:r>
        <w:t>8</w:t>
      </w:r>
      <w:r>
        <w:t>）环境保护措施及其可行性论证</w:t>
      </w:r>
    </w:p>
    <w:p w14:paraId="3458F3FA" w14:textId="77777777" w:rsidR="00E579B9" w:rsidRDefault="006A1398">
      <w:r>
        <w:t>（</w:t>
      </w:r>
      <w:r>
        <w:t>9</w:t>
      </w:r>
      <w:r>
        <w:t>）环境影响经济损益分析</w:t>
      </w:r>
    </w:p>
    <w:p w14:paraId="539484C7" w14:textId="77777777" w:rsidR="00E579B9" w:rsidRDefault="006A1398">
      <w:r>
        <w:t>（</w:t>
      </w:r>
      <w:r>
        <w:t>10</w:t>
      </w:r>
      <w:r>
        <w:t>）环境管理与监测计划</w:t>
      </w:r>
    </w:p>
    <w:p w14:paraId="03B6A0A9" w14:textId="77777777" w:rsidR="00E579B9" w:rsidRDefault="006A1398">
      <w:r>
        <w:t>（</w:t>
      </w:r>
      <w:r>
        <w:t>11</w:t>
      </w:r>
      <w:r>
        <w:t>）环境影响评价结论和建议</w:t>
      </w:r>
    </w:p>
    <w:p w14:paraId="103E291F" w14:textId="77777777" w:rsidR="00E579B9" w:rsidRDefault="006A1398">
      <w:pPr>
        <w:pStyle w:val="3"/>
        <w:ind w:firstLine="560"/>
      </w:pPr>
      <w:bookmarkStart w:id="64" w:name="_Toc535847439"/>
      <w:r>
        <w:t>2.10.2</w:t>
      </w:r>
      <w:r>
        <w:t>评价重点</w:t>
      </w:r>
      <w:bookmarkEnd w:id="64"/>
    </w:p>
    <w:p w14:paraId="3BBC46CE" w14:textId="77777777" w:rsidR="00E579B9" w:rsidRDefault="006A1398">
      <w:r>
        <w:t>根据环境影响识别结果，确定本次评价重点为工程环境影响因素分析、生态环境现状调查与影响评价、环境风险评价、生态恢复补偿措施及污染防治措施分析，工程场址选择的可行性分析。</w:t>
      </w:r>
    </w:p>
    <w:bookmarkEnd w:id="2"/>
    <w:p w14:paraId="5EEF00D3" w14:textId="77777777" w:rsidR="00E579B9" w:rsidRDefault="00E579B9">
      <w:pPr>
        <w:sectPr w:rsidR="00E579B9">
          <w:headerReference w:type="default" r:id="rId19"/>
          <w:pgSz w:w="11906" w:h="16838"/>
          <w:pgMar w:top="1701" w:right="1588" w:bottom="1985" w:left="1588" w:header="851" w:footer="992" w:gutter="0"/>
          <w:cols w:space="720"/>
          <w:docGrid w:linePitch="312"/>
        </w:sectPr>
      </w:pPr>
    </w:p>
    <w:p w14:paraId="11FF8CA6" w14:textId="77777777" w:rsidR="00E579B9" w:rsidRDefault="006A1398">
      <w:pPr>
        <w:pStyle w:val="1"/>
      </w:pPr>
      <w:bookmarkStart w:id="65" w:name="_Toc2186"/>
      <w:bookmarkStart w:id="66" w:name="_Toc444607961"/>
      <w:bookmarkStart w:id="67" w:name="_Toc531939302"/>
      <w:bookmarkStart w:id="68" w:name="_Toc33021790"/>
      <w:bookmarkEnd w:id="3"/>
      <w:bookmarkEnd w:id="4"/>
      <w:r>
        <w:rPr>
          <w:rFonts w:hint="eastAsia"/>
        </w:rPr>
        <w:lastRenderedPageBreak/>
        <w:t>第三</w:t>
      </w:r>
      <w:proofErr w:type="gramStart"/>
      <w:r>
        <w:rPr>
          <w:rFonts w:hint="eastAsia"/>
        </w:rPr>
        <w:t>章</w:t>
      </w:r>
      <w:bookmarkEnd w:id="65"/>
      <w:bookmarkEnd w:id="66"/>
      <w:bookmarkEnd w:id="67"/>
      <w:r>
        <w:rPr>
          <w:rFonts w:hint="eastAsia"/>
        </w:rPr>
        <w:t>项目</w:t>
      </w:r>
      <w:proofErr w:type="gramEnd"/>
      <w:r>
        <w:rPr>
          <w:rFonts w:hint="eastAsia"/>
        </w:rPr>
        <w:t>概况及工程分析</w:t>
      </w:r>
      <w:bookmarkEnd w:id="68"/>
    </w:p>
    <w:p w14:paraId="0FDEB928" w14:textId="68BBF491" w:rsidR="00552DD6" w:rsidRDefault="0003710F" w:rsidP="0003710F">
      <w:pPr>
        <w:pStyle w:val="2"/>
        <w:ind w:firstLine="560"/>
      </w:pPr>
      <w:bookmarkStart w:id="69" w:name="_Toc33021791"/>
      <w:r w:rsidRPr="00C938AD">
        <w:rPr>
          <w:rFonts w:hint="eastAsia"/>
        </w:rPr>
        <w:t>3.1</w:t>
      </w:r>
      <w:r w:rsidR="00370522" w:rsidRPr="00C938AD">
        <w:rPr>
          <w:rFonts w:hint="eastAsia"/>
        </w:rPr>
        <w:t>资源整合</w:t>
      </w:r>
      <w:proofErr w:type="gramStart"/>
      <w:r w:rsidR="00370522" w:rsidRPr="00C938AD">
        <w:rPr>
          <w:rFonts w:hint="eastAsia"/>
        </w:rPr>
        <w:t>前项目</w:t>
      </w:r>
      <w:proofErr w:type="gramEnd"/>
      <w:r w:rsidR="00370522" w:rsidRPr="00C938AD">
        <w:rPr>
          <w:rFonts w:hint="eastAsia"/>
        </w:rPr>
        <w:t>概况与工程分析</w:t>
      </w:r>
      <w:bookmarkEnd w:id="69"/>
    </w:p>
    <w:p w14:paraId="522CEE94" w14:textId="5EC7B5CB" w:rsidR="00C95657" w:rsidRPr="00C938AD" w:rsidRDefault="00C95657" w:rsidP="008B05EB">
      <w:pPr>
        <w:pStyle w:val="3"/>
        <w:ind w:firstLine="560"/>
      </w:pPr>
      <w:r w:rsidRPr="00C938AD">
        <w:rPr>
          <w:rFonts w:hint="eastAsia"/>
        </w:rPr>
        <w:t>3.1.1</w:t>
      </w:r>
      <w:r w:rsidR="00370522" w:rsidRPr="00C938AD">
        <w:rPr>
          <w:rFonts w:hint="eastAsia"/>
        </w:rPr>
        <w:t>资源整合</w:t>
      </w:r>
      <w:proofErr w:type="gramStart"/>
      <w:r w:rsidR="00370522" w:rsidRPr="00C938AD">
        <w:rPr>
          <w:rFonts w:hint="eastAsia"/>
        </w:rPr>
        <w:t>前</w:t>
      </w:r>
      <w:r w:rsidRPr="00C938AD">
        <w:rPr>
          <w:rFonts w:hint="eastAsia"/>
        </w:rPr>
        <w:t>现有</w:t>
      </w:r>
      <w:proofErr w:type="gramEnd"/>
      <w:r w:rsidRPr="00C938AD">
        <w:rPr>
          <w:rFonts w:hint="eastAsia"/>
        </w:rPr>
        <w:t>工程概况</w:t>
      </w:r>
    </w:p>
    <w:p w14:paraId="5E50D7ED" w14:textId="44F148B4" w:rsidR="00682975" w:rsidRDefault="0060561B" w:rsidP="00682975">
      <w:pPr>
        <w:spacing w:line="480" w:lineRule="exact"/>
        <w:ind w:firstLine="504"/>
        <w:rPr>
          <w:rFonts w:cs="Times New Roman"/>
          <w:spacing w:val="6"/>
          <w:szCs w:val="24"/>
        </w:rPr>
      </w:pPr>
      <w:r w:rsidRPr="00C938AD">
        <w:rPr>
          <w:rFonts w:cs="Times New Roman" w:hint="eastAsia"/>
          <w:spacing w:val="6"/>
          <w:szCs w:val="24"/>
        </w:rPr>
        <w:t>3.1.1.1</w:t>
      </w:r>
      <w:r w:rsidR="00682975" w:rsidRPr="00C938AD">
        <w:rPr>
          <w:rFonts w:cs="Times New Roman" w:hint="eastAsia"/>
          <w:spacing w:val="6"/>
          <w:szCs w:val="24"/>
        </w:rPr>
        <w:t>基本情况</w:t>
      </w:r>
    </w:p>
    <w:p w14:paraId="43639458" w14:textId="77777777" w:rsidR="00952689" w:rsidRDefault="00952689" w:rsidP="00952689">
      <w:pPr>
        <w:pStyle w:val="af6"/>
        <w:ind w:firstLine="480"/>
      </w:pPr>
      <w:r w:rsidRPr="00B70053">
        <w:rPr>
          <w:rFonts w:hint="eastAsia"/>
        </w:rPr>
        <w:t>驻马店市</w:t>
      </w:r>
      <w:proofErr w:type="gramStart"/>
      <w:r w:rsidRPr="00B70053">
        <w:rPr>
          <w:rFonts w:hint="eastAsia"/>
        </w:rPr>
        <w:t>驿</w:t>
      </w:r>
      <w:proofErr w:type="gramEnd"/>
      <w:r w:rsidRPr="00B70053">
        <w:rPr>
          <w:rFonts w:hint="eastAsia"/>
        </w:rPr>
        <w:t>城区李</w:t>
      </w:r>
      <w:proofErr w:type="gramStart"/>
      <w:r w:rsidRPr="00B70053">
        <w:rPr>
          <w:rFonts w:hint="eastAsia"/>
        </w:rPr>
        <w:t>尧建筑</w:t>
      </w:r>
      <w:proofErr w:type="gramEnd"/>
      <w:r w:rsidRPr="00B70053">
        <w:rPr>
          <w:rFonts w:hint="eastAsia"/>
        </w:rPr>
        <w:t>用大理岩矿开采项目</w:t>
      </w:r>
      <w:r>
        <w:rPr>
          <w:rFonts w:hint="eastAsia"/>
        </w:rPr>
        <w:t>是由原</w:t>
      </w:r>
      <w:r w:rsidRPr="00B70053">
        <w:rPr>
          <w:rFonts w:hint="eastAsia"/>
        </w:rPr>
        <w:t>驻马店市</w:t>
      </w:r>
      <w:proofErr w:type="gramStart"/>
      <w:r w:rsidRPr="00B70053">
        <w:rPr>
          <w:rFonts w:hint="eastAsia"/>
        </w:rPr>
        <w:t>驿</w:t>
      </w:r>
      <w:proofErr w:type="gramEnd"/>
      <w:r w:rsidRPr="00B70053">
        <w:rPr>
          <w:rFonts w:hint="eastAsia"/>
        </w:rPr>
        <w:t>城区丰鑫矿业有限公司玄武岩矿</w:t>
      </w:r>
      <w:r>
        <w:rPr>
          <w:rFonts w:hint="eastAsia"/>
        </w:rPr>
        <w:t>和原驻马店市</w:t>
      </w:r>
      <w:proofErr w:type="gramStart"/>
      <w:r>
        <w:rPr>
          <w:rFonts w:hint="eastAsia"/>
        </w:rPr>
        <w:t>驿</w:t>
      </w:r>
      <w:proofErr w:type="gramEnd"/>
      <w:r>
        <w:rPr>
          <w:rFonts w:hint="eastAsia"/>
        </w:rPr>
        <w:t>城区宏运石料厂玄武岩矿整合而成。</w:t>
      </w:r>
    </w:p>
    <w:p w14:paraId="27FD6BCF" w14:textId="642DDF75" w:rsidR="00952689" w:rsidRDefault="00952689" w:rsidP="00952689">
      <w:pPr>
        <w:pStyle w:val="af6"/>
        <w:ind w:firstLine="480"/>
      </w:pPr>
      <w:r>
        <w:rPr>
          <w:rFonts w:hint="eastAsia"/>
        </w:rPr>
        <w:t>原</w:t>
      </w:r>
      <w:r w:rsidRPr="00C938AD">
        <w:rPr>
          <w:rFonts w:hint="eastAsia"/>
        </w:rPr>
        <w:t>驻马店市</w:t>
      </w:r>
      <w:proofErr w:type="gramStart"/>
      <w:r w:rsidRPr="00C938AD">
        <w:rPr>
          <w:rFonts w:hint="eastAsia"/>
        </w:rPr>
        <w:t>驿</w:t>
      </w:r>
      <w:proofErr w:type="gramEnd"/>
      <w:r w:rsidRPr="00C938AD">
        <w:rPr>
          <w:rFonts w:hint="eastAsia"/>
        </w:rPr>
        <w:t>城区丰鑫矿业有限公司</w:t>
      </w:r>
      <w:proofErr w:type="gramStart"/>
      <w:r>
        <w:rPr>
          <w:rFonts w:hint="eastAsia"/>
        </w:rPr>
        <w:t>采矿证</w:t>
      </w:r>
      <w:proofErr w:type="gramEnd"/>
      <w:r>
        <w:rPr>
          <w:rFonts w:hint="eastAsia"/>
        </w:rPr>
        <w:t>遗失，</w:t>
      </w:r>
      <w:r>
        <w:rPr>
          <w:rFonts w:hAnsi="宋体" w:hint="eastAsia"/>
        </w:rPr>
        <w:t>采矿权人为</w:t>
      </w:r>
      <w:r w:rsidRPr="00B70053">
        <w:rPr>
          <w:rFonts w:hAnsi="宋体" w:hint="eastAsia"/>
        </w:rPr>
        <w:t>驻马店市</w:t>
      </w:r>
      <w:proofErr w:type="gramStart"/>
      <w:r w:rsidRPr="00B70053">
        <w:rPr>
          <w:rFonts w:hAnsi="宋体" w:hint="eastAsia"/>
        </w:rPr>
        <w:t>驿</w:t>
      </w:r>
      <w:proofErr w:type="gramEnd"/>
      <w:r w:rsidRPr="00B70053">
        <w:rPr>
          <w:rFonts w:hAnsi="宋体" w:hint="eastAsia"/>
        </w:rPr>
        <w:t>城区丰鑫矿业有限公司</w:t>
      </w:r>
      <w:r>
        <w:rPr>
          <w:rFonts w:hAnsi="宋体" w:hint="eastAsia"/>
        </w:rPr>
        <w:t>，开采矿种为玄武岩，开采方式为露天开采，生产规模为</w:t>
      </w:r>
      <w:r>
        <w:rPr>
          <w:rFonts w:hAnsi="宋体" w:hint="eastAsia"/>
        </w:rPr>
        <w:t>20.00</w:t>
      </w:r>
      <w:r>
        <w:rPr>
          <w:rFonts w:hAnsi="宋体" w:hint="eastAsia"/>
        </w:rPr>
        <w:t>万</w:t>
      </w:r>
      <w:r>
        <w:rPr>
          <w:rFonts w:hAnsi="宋体" w:hint="eastAsia"/>
        </w:rPr>
        <w:t>t/a</w:t>
      </w:r>
      <w:r>
        <w:rPr>
          <w:rFonts w:hAnsi="宋体" w:hint="eastAsia"/>
        </w:rPr>
        <w:t>，矿区面积</w:t>
      </w:r>
      <w:r>
        <w:rPr>
          <w:rFonts w:hAnsi="宋体" w:hint="eastAsia"/>
        </w:rPr>
        <w:t>0.21km</w:t>
      </w:r>
      <w:r>
        <w:rPr>
          <w:rFonts w:hAnsi="宋体" w:hint="eastAsia"/>
          <w:vertAlign w:val="superscript"/>
        </w:rPr>
        <w:t>2</w:t>
      </w:r>
      <w:r>
        <w:rPr>
          <w:rFonts w:hAnsi="宋体" w:hint="eastAsia"/>
        </w:rPr>
        <w:t>，</w:t>
      </w:r>
      <w:r>
        <w:rPr>
          <w:rFonts w:hAnsi="宋体"/>
        </w:rPr>
        <w:t>开采标高：</w:t>
      </w:r>
      <w:r>
        <w:rPr>
          <w:rFonts w:hAnsi="宋体"/>
        </w:rPr>
        <w:t>+</w:t>
      </w:r>
      <w:r>
        <w:rPr>
          <w:rFonts w:hAnsi="宋体" w:hint="eastAsia"/>
        </w:rPr>
        <w:t>395</w:t>
      </w:r>
      <w:r>
        <w:rPr>
          <w:rFonts w:hAnsi="宋体"/>
        </w:rPr>
        <w:t>m</w:t>
      </w:r>
      <w:r>
        <w:rPr>
          <w:rFonts w:hAnsi="宋体" w:hint="eastAsia"/>
        </w:rPr>
        <w:t>~</w:t>
      </w:r>
      <w:r>
        <w:rPr>
          <w:rFonts w:hAnsi="宋体"/>
        </w:rPr>
        <w:t>+</w:t>
      </w:r>
      <w:r>
        <w:rPr>
          <w:rFonts w:hAnsi="宋体" w:hint="eastAsia"/>
        </w:rPr>
        <w:t>270</w:t>
      </w:r>
      <w:r>
        <w:rPr>
          <w:rFonts w:hAnsi="宋体"/>
        </w:rPr>
        <w:t>m</w:t>
      </w:r>
      <w:r>
        <w:rPr>
          <w:rFonts w:hAnsi="宋体" w:hint="eastAsia"/>
        </w:rPr>
        <w:t>。</w:t>
      </w:r>
      <w:r>
        <w:rPr>
          <w:rFonts w:hint="eastAsia"/>
        </w:rPr>
        <w:t>原</w:t>
      </w:r>
      <w:r w:rsidRPr="00C938AD">
        <w:rPr>
          <w:rFonts w:hint="eastAsia"/>
        </w:rPr>
        <w:t>驻马店市</w:t>
      </w:r>
      <w:proofErr w:type="gramStart"/>
      <w:r w:rsidRPr="00C938AD">
        <w:rPr>
          <w:rFonts w:hint="eastAsia"/>
        </w:rPr>
        <w:t>驿</w:t>
      </w:r>
      <w:proofErr w:type="gramEnd"/>
      <w:r w:rsidRPr="00C938AD">
        <w:rPr>
          <w:rFonts w:hint="eastAsia"/>
        </w:rPr>
        <w:t>城区丰鑫矿业有限公司委托广州环发环保工程有限公司编制完成《驻马店市驿城区丰鑫矿业有限公司玄武岩开采项目环境影响报告表》，</w:t>
      </w:r>
      <w:r w:rsidRPr="00C938AD">
        <w:rPr>
          <w:rFonts w:hint="eastAsia"/>
        </w:rPr>
        <w:t>2016</w:t>
      </w:r>
      <w:r w:rsidRPr="00C938AD">
        <w:rPr>
          <w:rFonts w:hint="eastAsia"/>
        </w:rPr>
        <w:t>年</w:t>
      </w:r>
      <w:r w:rsidRPr="00C938AD">
        <w:rPr>
          <w:rFonts w:hint="eastAsia"/>
        </w:rPr>
        <w:t>5</w:t>
      </w:r>
      <w:r w:rsidRPr="00C938AD">
        <w:rPr>
          <w:rFonts w:hint="eastAsia"/>
        </w:rPr>
        <w:t>月</w:t>
      </w:r>
      <w:r w:rsidRPr="00C938AD">
        <w:rPr>
          <w:rFonts w:hint="eastAsia"/>
        </w:rPr>
        <w:t>24</w:t>
      </w:r>
      <w:r w:rsidRPr="00C938AD">
        <w:rPr>
          <w:rFonts w:hint="eastAsia"/>
        </w:rPr>
        <w:t>日驻马店市</w:t>
      </w:r>
      <w:proofErr w:type="gramStart"/>
      <w:r w:rsidRPr="00C938AD">
        <w:rPr>
          <w:rFonts w:hint="eastAsia"/>
        </w:rPr>
        <w:t>驿</w:t>
      </w:r>
      <w:proofErr w:type="gramEnd"/>
      <w:r w:rsidRPr="00C938AD">
        <w:rPr>
          <w:rFonts w:hint="eastAsia"/>
        </w:rPr>
        <w:t>城区环保局批复了该项目（</w:t>
      </w:r>
      <w:proofErr w:type="gramStart"/>
      <w:r w:rsidRPr="00C938AD">
        <w:rPr>
          <w:rFonts w:hint="eastAsia"/>
        </w:rPr>
        <w:t>驿环然表</w:t>
      </w:r>
      <w:proofErr w:type="gramEnd"/>
      <w:r w:rsidRPr="00C938AD">
        <w:rPr>
          <w:rFonts w:hint="eastAsia"/>
        </w:rPr>
        <w:t>（</w:t>
      </w:r>
      <w:r w:rsidRPr="00C938AD">
        <w:rPr>
          <w:rFonts w:hint="eastAsia"/>
        </w:rPr>
        <w:t>2016</w:t>
      </w:r>
      <w:r w:rsidRPr="00C938AD">
        <w:rPr>
          <w:rFonts w:hint="eastAsia"/>
        </w:rPr>
        <w:t>）</w:t>
      </w:r>
      <w:r w:rsidRPr="00C938AD">
        <w:rPr>
          <w:rFonts w:hint="eastAsia"/>
        </w:rPr>
        <w:t>0</w:t>
      </w:r>
      <w:r w:rsidRPr="00C938AD">
        <w:t>6</w:t>
      </w:r>
      <w:r w:rsidRPr="00C938AD">
        <w:rPr>
          <w:rFonts w:hint="eastAsia"/>
        </w:rPr>
        <w:t>号），未进行环保验收。现有采矿工程在</w:t>
      </w:r>
      <w:r w:rsidRPr="00C938AD">
        <w:rPr>
          <w:rFonts w:hint="eastAsia"/>
        </w:rPr>
        <w:t>2011</w:t>
      </w:r>
      <w:r w:rsidRPr="00C938AD">
        <w:rPr>
          <w:rFonts w:hint="eastAsia"/>
        </w:rPr>
        <w:t>年至</w:t>
      </w:r>
      <w:r w:rsidRPr="00C938AD">
        <w:rPr>
          <w:rFonts w:hint="eastAsia"/>
        </w:rPr>
        <w:t>2018</w:t>
      </w:r>
      <w:r w:rsidRPr="00C938AD">
        <w:rPr>
          <w:rFonts w:hint="eastAsia"/>
        </w:rPr>
        <w:t>年</w:t>
      </w:r>
      <w:r w:rsidRPr="00C938AD">
        <w:rPr>
          <w:rFonts w:hint="eastAsia"/>
        </w:rPr>
        <w:t>6</w:t>
      </w:r>
      <w:r w:rsidRPr="00C938AD">
        <w:rPr>
          <w:rFonts w:hint="eastAsia"/>
        </w:rPr>
        <w:t>月份期间间断开采，开采方式为露天开采，挖掘机剥离方式采矿，汽车运输。</w:t>
      </w:r>
      <w:r w:rsidRPr="00C938AD">
        <w:rPr>
          <w:rFonts w:hint="eastAsia"/>
        </w:rPr>
        <w:t>2018</w:t>
      </w:r>
      <w:r w:rsidRPr="00C938AD">
        <w:rPr>
          <w:rFonts w:hint="eastAsia"/>
        </w:rPr>
        <w:t>年</w:t>
      </w:r>
      <w:r w:rsidRPr="00C938AD">
        <w:rPr>
          <w:rFonts w:hint="eastAsia"/>
        </w:rPr>
        <w:t>6</w:t>
      </w:r>
      <w:r w:rsidRPr="00C938AD">
        <w:rPr>
          <w:rFonts w:hint="eastAsia"/>
        </w:rPr>
        <w:t>月至今矿山</w:t>
      </w:r>
      <w:r w:rsidR="00560CFA">
        <w:rPr>
          <w:rFonts w:hint="eastAsia"/>
        </w:rPr>
        <w:t>和破碎加工区均</w:t>
      </w:r>
      <w:r w:rsidRPr="00C938AD">
        <w:rPr>
          <w:rFonts w:hint="eastAsia"/>
        </w:rPr>
        <w:t>处于停产状态。</w:t>
      </w:r>
    </w:p>
    <w:p w14:paraId="3B161439" w14:textId="629A6766" w:rsidR="00BD1C8B" w:rsidRDefault="00952689" w:rsidP="00952689">
      <w:pPr>
        <w:pStyle w:val="af6"/>
        <w:ind w:firstLine="480"/>
        <w:rPr>
          <w:rFonts w:hAnsi="宋体"/>
        </w:rPr>
      </w:pPr>
      <w:bookmarkStart w:id="70" w:name="_Hlk33179422"/>
      <w:r w:rsidRPr="00B70053">
        <w:rPr>
          <w:rFonts w:hAnsi="宋体" w:hint="eastAsia"/>
        </w:rPr>
        <w:t>驻马店市</w:t>
      </w:r>
      <w:proofErr w:type="gramStart"/>
      <w:r w:rsidRPr="00B70053">
        <w:rPr>
          <w:rFonts w:hAnsi="宋体" w:hint="eastAsia"/>
        </w:rPr>
        <w:t>驿</w:t>
      </w:r>
      <w:proofErr w:type="gramEnd"/>
      <w:r w:rsidRPr="00B70053">
        <w:rPr>
          <w:rFonts w:hAnsi="宋体" w:hint="eastAsia"/>
        </w:rPr>
        <w:t>城区宏运石料厂</w:t>
      </w:r>
      <w:bookmarkEnd w:id="70"/>
      <w:r>
        <w:rPr>
          <w:rFonts w:hAnsi="宋体" w:hint="eastAsia"/>
        </w:rPr>
        <w:t>采矿许可证号为</w:t>
      </w:r>
      <w:r>
        <w:rPr>
          <w:rFonts w:hAnsi="宋体" w:hint="eastAsia"/>
        </w:rPr>
        <w:t>C411700201027130055403</w:t>
      </w:r>
      <w:r>
        <w:rPr>
          <w:rFonts w:hAnsi="宋体" w:hint="eastAsia"/>
        </w:rPr>
        <w:t>，采矿权人为</w:t>
      </w:r>
      <w:r w:rsidRPr="00B70053">
        <w:rPr>
          <w:rFonts w:hAnsi="宋体" w:hint="eastAsia"/>
        </w:rPr>
        <w:t>驻马店市</w:t>
      </w:r>
      <w:proofErr w:type="gramStart"/>
      <w:r w:rsidRPr="00B70053">
        <w:rPr>
          <w:rFonts w:hAnsi="宋体" w:hint="eastAsia"/>
        </w:rPr>
        <w:t>驿</w:t>
      </w:r>
      <w:proofErr w:type="gramEnd"/>
      <w:r w:rsidRPr="00B70053">
        <w:rPr>
          <w:rFonts w:hAnsi="宋体" w:hint="eastAsia"/>
        </w:rPr>
        <w:t>城区宏运石料厂</w:t>
      </w:r>
      <w:r>
        <w:rPr>
          <w:rFonts w:hAnsi="宋体" w:hint="eastAsia"/>
        </w:rPr>
        <w:t>，开采矿种为玄武岩，开采方式为露天开采，生产规模为</w:t>
      </w:r>
      <w:r>
        <w:rPr>
          <w:rFonts w:hAnsi="宋体" w:hint="eastAsia"/>
        </w:rPr>
        <w:t>10.00</w:t>
      </w:r>
      <w:r>
        <w:rPr>
          <w:rFonts w:hAnsi="宋体" w:hint="eastAsia"/>
        </w:rPr>
        <w:t>万</w:t>
      </w:r>
      <w:r>
        <w:rPr>
          <w:rFonts w:hAnsi="宋体" w:hint="eastAsia"/>
        </w:rPr>
        <w:t>t/a</w:t>
      </w:r>
      <w:r>
        <w:rPr>
          <w:rFonts w:hAnsi="宋体" w:hint="eastAsia"/>
        </w:rPr>
        <w:t>，矿区面积</w:t>
      </w:r>
      <w:r>
        <w:rPr>
          <w:rFonts w:hAnsi="宋体" w:hint="eastAsia"/>
        </w:rPr>
        <w:t>0.2242km</w:t>
      </w:r>
      <w:r>
        <w:rPr>
          <w:rFonts w:hAnsi="宋体" w:hint="eastAsia"/>
          <w:vertAlign w:val="superscript"/>
        </w:rPr>
        <w:t>2</w:t>
      </w:r>
      <w:r>
        <w:rPr>
          <w:rFonts w:hAnsi="宋体" w:hint="eastAsia"/>
        </w:rPr>
        <w:t>，采矿许可证有效期为</w:t>
      </w:r>
      <w:r>
        <w:rPr>
          <w:rFonts w:hAnsi="宋体" w:hint="eastAsia"/>
        </w:rPr>
        <w:t>2014</w:t>
      </w:r>
      <w:r>
        <w:rPr>
          <w:rFonts w:hAnsi="宋体" w:hint="eastAsia"/>
        </w:rPr>
        <w:t>年</w:t>
      </w:r>
      <w:r>
        <w:rPr>
          <w:rFonts w:hAnsi="宋体" w:hint="eastAsia"/>
        </w:rPr>
        <w:t>10</w:t>
      </w:r>
      <w:r>
        <w:rPr>
          <w:rFonts w:hAnsi="宋体" w:hint="eastAsia"/>
        </w:rPr>
        <w:t>月</w:t>
      </w:r>
      <w:r>
        <w:rPr>
          <w:rFonts w:hAnsi="宋体" w:hint="eastAsia"/>
        </w:rPr>
        <w:t>30</w:t>
      </w:r>
      <w:r>
        <w:rPr>
          <w:rFonts w:hAnsi="宋体" w:hint="eastAsia"/>
        </w:rPr>
        <w:t>日至</w:t>
      </w:r>
      <w:r>
        <w:rPr>
          <w:rFonts w:hAnsi="宋体" w:hint="eastAsia"/>
        </w:rPr>
        <w:t>2018</w:t>
      </w:r>
      <w:r>
        <w:rPr>
          <w:rFonts w:hAnsi="宋体" w:hint="eastAsia"/>
        </w:rPr>
        <w:t>年</w:t>
      </w:r>
      <w:r>
        <w:rPr>
          <w:rFonts w:hAnsi="宋体" w:hint="eastAsia"/>
        </w:rPr>
        <w:t>10</w:t>
      </w:r>
      <w:r>
        <w:rPr>
          <w:rFonts w:hAnsi="宋体" w:hint="eastAsia"/>
        </w:rPr>
        <w:t>月</w:t>
      </w:r>
      <w:r>
        <w:rPr>
          <w:rFonts w:hAnsi="宋体" w:hint="eastAsia"/>
        </w:rPr>
        <w:t>30</w:t>
      </w:r>
      <w:r>
        <w:rPr>
          <w:rFonts w:hAnsi="宋体" w:hint="eastAsia"/>
        </w:rPr>
        <w:t>日，</w:t>
      </w:r>
      <w:r>
        <w:rPr>
          <w:rFonts w:hAnsi="宋体"/>
        </w:rPr>
        <w:t>开采标高：</w:t>
      </w:r>
      <w:r>
        <w:rPr>
          <w:rFonts w:hAnsi="宋体"/>
        </w:rPr>
        <w:t>+4</w:t>
      </w:r>
      <w:r>
        <w:rPr>
          <w:rFonts w:hAnsi="宋体" w:hint="eastAsia"/>
        </w:rPr>
        <w:t>90</w:t>
      </w:r>
      <w:r>
        <w:rPr>
          <w:rFonts w:hAnsi="宋体"/>
        </w:rPr>
        <w:t>m</w:t>
      </w:r>
      <w:r>
        <w:rPr>
          <w:rFonts w:hAnsi="宋体" w:hint="eastAsia"/>
        </w:rPr>
        <w:t>~</w:t>
      </w:r>
      <w:r>
        <w:rPr>
          <w:rFonts w:hAnsi="宋体"/>
        </w:rPr>
        <w:t>+</w:t>
      </w:r>
      <w:r>
        <w:rPr>
          <w:rFonts w:hAnsi="宋体" w:hint="eastAsia"/>
        </w:rPr>
        <w:t>380</w:t>
      </w:r>
      <w:r>
        <w:rPr>
          <w:rFonts w:hAnsi="宋体"/>
        </w:rPr>
        <w:t>m</w:t>
      </w:r>
      <w:r>
        <w:rPr>
          <w:rFonts w:hAnsi="宋体" w:hint="eastAsia"/>
        </w:rPr>
        <w:t>。</w:t>
      </w:r>
      <w:r w:rsidR="00BD1C8B" w:rsidRPr="00BD1C8B">
        <w:rPr>
          <w:rFonts w:hAnsi="宋体" w:hint="eastAsia"/>
        </w:rPr>
        <w:t>驻马店市</w:t>
      </w:r>
      <w:proofErr w:type="gramStart"/>
      <w:r w:rsidR="00BD1C8B" w:rsidRPr="00BD1C8B">
        <w:rPr>
          <w:rFonts w:hAnsi="宋体" w:hint="eastAsia"/>
        </w:rPr>
        <w:t>驿</w:t>
      </w:r>
      <w:proofErr w:type="gramEnd"/>
      <w:r w:rsidR="00BD1C8B" w:rsidRPr="00BD1C8B">
        <w:rPr>
          <w:rFonts w:hAnsi="宋体" w:hint="eastAsia"/>
        </w:rPr>
        <w:t>城区宏运石料厂</w:t>
      </w:r>
      <w:r w:rsidR="00BD1C8B">
        <w:rPr>
          <w:rFonts w:hAnsi="宋体" w:hint="eastAsia"/>
        </w:rPr>
        <w:t>玄武岩开采加工项目于</w:t>
      </w:r>
      <w:r w:rsidR="00BD1C8B">
        <w:rPr>
          <w:rFonts w:hAnsi="宋体" w:hint="eastAsia"/>
        </w:rPr>
        <w:t>2004</w:t>
      </w:r>
      <w:r w:rsidR="00BD1C8B">
        <w:rPr>
          <w:rFonts w:hAnsi="宋体" w:hint="eastAsia"/>
        </w:rPr>
        <w:t>年</w:t>
      </w:r>
      <w:r w:rsidR="00BD1C8B">
        <w:rPr>
          <w:rFonts w:hAnsi="宋体" w:hint="eastAsia"/>
        </w:rPr>
        <w:t>6</w:t>
      </w:r>
      <w:r w:rsidR="00BD1C8B">
        <w:rPr>
          <w:rFonts w:hAnsi="宋体" w:hint="eastAsia"/>
        </w:rPr>
        <w:t>月取得</w:t>
      </w:r>
      <w:proofErr w:type="gramStart"/>
      <w:r w:rsidR="00BD1C8B">
        <w:rPr>
          <w:rFonts w:hAnsi="宋体" w:hint="eastAsia"/>
        </w:rPr>
        <w:t>项目环</w:t>
      </w:r>
      <w:proofErr w:type="gramEnd"/>
      <w:r w:rsidR="00BD1C8B">
        <w:rPr>
          <w:rFonts w:hAnsi="宋体" w:hint="eastAsia"/>
        </w:rPr>
        <w:t>评批复，批复文号</w:t>
      </w:r>
      <w:proofErr w:type="gramStart"/>
      <w:r w:rsidR="00BD1C8B">
        <w:rPr>
          <w:rFonts w:hAnsi="宋体" w:hint="eastAsia"/>
        </w:rPr>
        <w:t>泌</w:t>
      </w:r>
      <w:proofErr w:type="gramEnd"/>
      <w:r w:rsidR="00BD1C8B">
        <w:rPr>
          <w:rFonts w:hAnsi="宋体" w:hint="eastAsia"/>
        </w:rPr>
        <w:t>环综（</w:t>
      </w:r>
      <w:r w:rsidR="00BD1C8B">
        <w:rPr>
          <w:rFonts w:hAnsi="宋体" w:hint="eastAsia"/>
        </w:rPr>
        <w:t>2004</w:t>
      </w:r>
      <w:r w:rsidR="00BD1C8B">
        <w:rPr>
          <w:rFonts w:hAnsi="宋体" w:hint="eastAsia"/>
        </w:rPr>
        <w:t>）</w:t>
      </w:r>
      <w:r w:rsidR="00BD1C8B">
        <w:rPr>
          <w:rFonts w:hAnsi="宋体" w:hint="eastAsia"/>
        </w:rPr>
        <w:t>12</w:t>
      </w:r>
      <w:r w:rsidR="00BD1C8B">
        <w:rPr>
          <w:rFonts w:hAnsi="宋体" w:hint="eastAsia"/>
        </w:rPr>
        <w:t>号，环评是按照建设项目环境影响等级表做的，</w:t>
      </w:r>
      <w:r w:rsidR="00BD1C8B">
        <w:rPr>
          <w:rFonts w:hAnsi="宋体" w:hint="eastAsia"/>
        </w:rPr>
        <w:t>2015</w:t>
      </w:r>
      <w:r w:rsidR="00BD1C8B">
        <w:rPr>
          <w:rFonts w:hAnsi="宋体" w:hint="eastAsia"/>
        </w:rPr>
        <w:t>年</w:t>
      </w:r>
      <w:r w:rsidR="00BD1C8B">
        <w:rPr>
          <w:rFonts w:hAnsi="宋体" w:hint="eastAsia"/>
        </w:rPr>
        <w:t>12</w:t>
      </w:r>
      <w:r w:rsidR="00BD1C8B">
        <w:rPr>
          <w:rFonts w:hAnsi="宋体" w:hint="eastAsia"/>
        </w:rPr>
        <w:t>月在</w:t>
      </w:r>
      <w:proofErr w:type="gramStart"/>
      <w:r w:rsidR="00BD1C8B">
        <w:rPr>
          <w:rFonts w:hAnsi="宋体" w:hint="eastAsia"/>
        </w:rPr>
        <w:t>驿</w:t>
      </w:r>
      <w:proofErr w:type="gramEnd"/>
      <w:r w:rsidR="00BD1C8B">
        <w:rPr>
          <w:rFonts w:hAnsi="宋体" w:hint="eastAsia"/>
        </w:rPr>
        <w:t>城区环保局完成了建设项目竣工环境保护验收申请登记卡（</w:t>
      </w:r>
      <w:proofErr w:type="gramStart"/>
      <w:r w:rsidR="00BD1C8B" w:rsidRPr="00BD1C8B">
        <w:rPr>
          <w:rFonts w:hAnsi="宋体" w:hint="eastAsia"/>
        </w:rPr>
        <w:t>驿</w:t>
      </w:r>
      <w:r w:rsidR="00BD1C8B">
        <w:rPr>
          <w:rFonts w:hAnsi="宋体" w:hint="eastAsia"/>
        </w:rPr>
        <w:t>环验</w:t>
      </w:r>
      <w:proofErr w:type="gramEnd"/>
      <w:r w:rsidR="00BD1C8B">
        <w:rPr>
          <w:rFonts w:hAnsi="宋体" w:hint="eastAsia"/>
        </w:rPr>
        <w:t>登记表</w:t>
      </w:r>
      <w:r w:rsidR="00BD1C8B">
        <w:rPr>
          <w:rFonts w:hAnsi="宋体" w:hint="eastAsia"/>
        </w:rPr>
        <w:t>2015-04</w:t>
      </w:r>
      <w:r w:rsidR="00BD1C8B">
        <w:rPr>
          <w:rFonts w:hAnsi="宋体" w:hint="eastAsia"/>
        </w:rPr>
        <w:t>号）。</w:t>
      </w:r>
      <w:r w:rsidR="00BD1C8B">
        <w:rPr>
          <w:rFonts w:hAnsi="宋体" w:hint="eastAsia"/>
        </w:rPr>
        <w:t>2016</w:t>
      </w:r>
      <w:r w:rsidR="00BD1C8B">
        <w:rPr>
          <w:rFonts w:hAnsi="宋体" w:hint="eastAsia"/>
        </w:rPr>
        <w:t>年</w:t>
      </w:r>
      <w:r w:rsidR="00BD1C8B">
        <w:rPr>
          <w:rFonts w:hAnsi="宋体" w:hint="eastAsia"/>
        </w:rPr>
        <w:t>6</w:t>
      </w:r>
      <w:r w:rsidR="00BD1C8B">
        <w:rPr>
          <w:rFonts w:hAnsi="宋体" w:hint="eastAsia"/>
        </w:rPr>
        <w:t>月，</w:t>
      </w:r>
      <w:proofErr w:type="gramStart"/>
      <w:r w:rsidR="00BD1C8B">
        <w:rPr>
          <w:rFonts w:hAnsi="宋体" w:hint="eastAsia"/>
        </w:rPr>
        <w:t>驿</w:t>
      </w:r>
      <w:proofErr w:type="gramEnd"/>
      <w:r w:rsidR="00BD1C8B">
        <w:rPr>
          <w:rFonts w:hAnsi="宋体" w:hint="eastAsia"/>
        </w:rPr>
        <w:t>城区环保局将该项目认定为清理整改环保违法违规项目，并编写了《驻马店市</w:t>
      </w:r>
      <w:r w:rsidR="00BD1C8B" w:rsidRPr="00BD1C8B">
        <w:rPr>
          <w:rFonts w:hAnsi="宋体" w:hint="eastAsia"/>
        </w:rPr>
        <w:t>驿城区宏运石料厂</w:t>
      </w:r>
      <w:r w:rsidR="00BD1C8B">
        <w:rPr>
          <w:rFonts w:hAnsi="宋体" w:hint="eastAsia"/>
        </w:rPr>
        <w:t>玄武岩开采加工项目现状环境影响评估报告》，</w:t>
      </w:r>
      <w:r w:rsidR="00BD1C8B" w:rsidRPr="00C938AD">
        <w:rPr>
          <w:rFonts w:hint="eastAsia"/>
        </w:rPr>
        <w:t>2018</w:t>
      </w:r>
      <w:r w:rsidR="00BD1C8B" w:rsidRPr="00C938AD">
        <w:rPr>
          <w:rFonts w:hint="eastAsia"/>
        </w:rPr>
        <w:t>年</w:t>
      </w:r>
      <w:r w:rsidR="00BD1C8B">
        <w:rPr>
          <w:rFonts w:hint="eastAsia"/>
        </w:rPr>
        <w:t>7</w:t>
      </w:r>
      <w:r w:rsidR="00BD1C8B" w:rsidRPr="00C938AD">
        <w:rPr>
          <w:rFonts w:hint="eastAsia"/>
        </w:rPr>
        <w:t>月至今矿山</w:t>
      </w:r>
      <w:r w:rsidR="00BD1C8B">
        <w:rPr>
          <w:rFonts w:hint="eastAsia"/>
        </w:rPr>
        <w:t>和破</w:t>
      </w:r>
      <w:r w:rsidR="00BD1C8B">
        <w:rPr>
          <w:rFonts w:hint="eastAsia"/>
        </w:rPr>
        <w:lastRenderedPageBreak/>
        <w:t>碎加工区均</w:t>
      </w:r>
      <w:r w:rsidR="00BD1C8B" w:rsidRPr="00C938AD">
        <w:rPr>
          <w:rFonts w:hint="eastAsia"/>
        </w:rPr>
        <w:t>处于停产状态。</w:t>
      </w:r>
    </w:p>
    <w:p w14:paraId="7FBEF273" w14:textId="6BDAD5CE" w:rsidR="00682975" w:rsidRPr="00C938AD" w:rsidRDefault="0060561B" w:rsidP="00682975">
      <w:pPr>
        <w:spacing w:line="480" w:lineRule="exact"/>
        <w:ind w:firstLine="504"/>
        <w:rPr>
          <w:rFonts w:cs="Times New Roman"/>
          <w:spacing w:val="6"/>
          <w:szCs w:val="24"/>
        </w:rPr>
      </w:pPr>
      <w:r w:rsidRPr="00C938AD">
        <w:rPr>
          <w:rFonts w:cs="Times New Roman" w:hint="eastAsia"/>
          <w:spacing w:val="6"/>
          <w:szCs w:val="24"/>
        </w:rPr>
        <w:t>3.1.1.2</w:t>
      </w:r>
      <w:r w:rsidR="00682975" w:rsidRPr="00C938AD">
        <w:rPr>
          <w:rFonts w:hAnsi="宋体"/>
        </w:rPr>
        <w:t>矿区范围</w:t>
      </w:r>
    </w:p>
    <w:p w14:paraId="5B683291" w14:textId="30F688CC" w:rsidR="00682975" w:rsidRPr="00C938AD" w:rsidRDefault="00952689" w:rsidP="00B611DE">
      <w:pPr>
        <w:adjustRightInd w:val="0"/>
        <w:spacing w:line="480" w:lineRule="exact"/>
      </w:pPr>
      <w:r>
        <w:rPr>
          <w:rFonts w:hint="eastAsia"/>
        </w:rPr>
        <w:t>整合前</w:t>
      </w:r>
      <w:r w:rsidRPr="00952689">
        <w:rPr>
          <w:rFonts w:hint="eastAsia"/>
        </w:rPr>
        <w:t>驻马店市</w:t>
      </w:r>
      <w:proofErr w:type="gramStart"/>
      <w:r w:rsidRPr="00952689">
        <w:rPr>
          <w:rFonts w:hint="eastAsia"/>
        </w:rPr>
        <w:t>驿</w:t>
      </w:r>
      <w:proofErr w:type="gramEnd"/>
      <w:r w:rsidRPr="00952689">
        <w:rPr>
          <w:rFonts w:hint="eastAsia"/>
        </w:rPr>
        <w:t>城区丰鑫矿业有限公司</w:t>
      </w:r>
      <w:r w:rsidR="00682975" w:rsidRPr="00C938AD">
        <w:t>矿区范围由</w:t>
      </w:r>
      <w:r w:rsidR="00682975" w:rsidRPr="00C938AD">
        <w:rPr>
          <w:rFonts w:hint="eastAsia"/>
        </w:rPr>
        <w:t>4</w:t>
      </w:r>
      <w:r w:rsidR="00682975" w:rsidRPr="00C938AD">
        <w:t>个拐点圈定，矿区面积</w:t>
      </w:r>
      <w:r w:rsidR="00682975" w:rsidRPr="00C938AD">
        <w:rPr>
          <w:rFonts w:hint="eastAsia"/>
        </w:rPr>
        <w:t>0.21</w:t>
      </w:r>
      <w:r w:rsidR="00682975" w:rsidRPr="00C938AD">
        <w:t>km</w:t>
      </w:r>
      <w:r w:rsidR="00682975" w:rsidRPr="00C938AD">
        <w:rPr>
          <w:vertAlign w:val="superscript"/>
        </w:rPr>
        <w:t>2</w:t>
      </w:r>
      <w:r w:rsidR="00682975" w:rsidRPr="00C938AD">
        <w:t>，露天开采标高由</w:t>
      </w:r>
      <w:r w:rsidR="00682975" w:rsidRPr="00C938AD">
        <w:t>+</w:t>
      </w:r>
      <w:r w:rsidR="00682975" w:rsidRPr="00C938AD">
        <w:rPr>
          <w:rFonts w:hint="eastAsia"/>
        </w:rPr>
        <w:t>395</w:t>
      </w:r>
      <w:r w:rsidR="00682975" w:rsidRPr="00C938AD">
        <w:t>m</w:t>
      </w:r>
      <w:r w:rsidR="00682975" w:rsidRPr="00C938AD">
        <w:t>～</w:t>
      </w:r>
      <w:r w:rsidR="00682975" w:rsidRPr="00C938AD">
        <w:t>+</w:t>
      </w:r>
      <w:r w:rsidR="00682975" w:rsidRPr="00C938AD">
        <w:rPr>
          <w:rFonts w:hint="eastAsia"/>
        </w:rPr>
        <w:t>270</w:t>
      </w:r>
      <w:r w:rsidR="00682975" w:rsidRPr="00C938AD">
        <w:t>m</w:t>
      </w:r>
      <w:r>
        <w:rPr>
          <w:rFonts w:hint="eastAsia"/>
        </w:rPr>
        <w:t>；整合前</w:t>
      </w:r>
      <w:r w:rsidRPr="00952689">
        <w:rPr>
          <w:rFonts w:hint="eastAsia"/>
        </w:rPr>
        <w:t>驻马店市</w:t>
      </w:r>
      <w:proofErr w:type="gramStart"/>
      <w:r w:rsidRPr="00952689">
        <w:rPr>
          <w:rFonts w:hint="eastAsia"/>
        </w:rPr>
        <w:t>驿</w:t>
      </w:r>
      <w:proofErr w:type="gramEnd"/>
      <w:r w:rsidRPr="00952689">
        <w:rPr>
          <w:rFonts w:hint="eastAsia"/>
        </w:rPr>
        <w:t>城区宏运石料</w:t>
      </w:r>
      <w:proofErr w:type="gramStart"/>
      <w:r w:rsidRPr="00952689">
        <w:rPr>
          <w:rFonts w:hint="eastAsia"/>
        </w:rPr>
        <w:t>厂</w:t>
      </w:r>
      <w:r w:rsidRPr="00C938AD">
        <w:t>矿区</w:t>
      </w:r>
      <w:proofErr w:type="gramEnd"/>
      <w:r w:rsidRPr="00C938AD">
        <w:t>范围由</w:t>
      </w:r>
      <w:r w:rsidRPr="00C938AD">
        <w:rPr>
          <w:rFonts w:hint="eastAsia"/>
        </w:rPr>
        <w:t>4</w:t>
      </w:r>
      <w:r w:rsidRPr="00C938AD">
        <w:t>个拐点圈定，矿区面积</w:t>
      </w:r>
      <w:r w:rsidRPr="00C938AD">
        <w:rPr>
          <w:rFonts w:hint="eastAsia"/>
        </w:rPr>
        <w:t>0.2</w:t>
      </w:r>
      <w:r>
        <w:rPr>
          <w:rFonts w:hint="eastAsia"/>
        </w:rPr>
        <w:t>242</w:t>
      </w:r>
      <w:r w:rsidRPr="00C938AD">
        <w:t>km</w:t>
      </w:r>
      <w:r w:rsidRPr="00C938AD">
        <w:rPr>
          <w:vertAlign w:val="superscript"/>
        </w:rPr>
        <w:t>2</w:t>
      </w:r>
      <w:r w:rsidRPr="00C938AD">
        <w:t>，露天开采标高由</w:t>
      </w:r>
      <w:r w:rsidRPr="00C938AD">
        <w:t>+</w:t>
      </w:r>
      <w:r>
        <w:rPr>
          <w:rFonts w:hint="eastAsia"/>
        </w:rPr>
        <w:t>490</w:t>
      </w:r>
      <w:r w:rsidRPr="00C938AD">
        <w:t>m</w:t>
      </w:r>
      <w:r w:rsidRPr="00C938AD">
        <w:t>～</w:t>
      </w:r>
      <w:r w:rsidRPr="00C938AD">
        <w:t>+</w:t>
      </w:r>
      <w:r>
        <w:rPr>
          <w:rFonts w:hint="eastAsia"/>
        </w:rPr>
        <w:t>380</w:t>
      </w:r>
      <w:r w:rsidRPr="00C938AD">
        <w:t>m</w:t>
      </w:r>
      <w:r>
        <w:rPr>
          <w:rFonts w:hint="eastAsia"/>
        </w:rPr>
        <w:t>；</w:t>
      </w:r>
      <w:r w:rsidR="00682975" w:rsidRPr="00C938AD">
        <w:t>矿区拐点坐标见表</w:t>
      </w:r>
      <w:r w:rsidR="00682975" w:rsidRPr="00C938AD">
        <w:rPr>
          <w:rFonts w:hint="eastAsia"/>
        </w:rPr>
        <w:t>3</w:t>
      </w:r>
      <w:r w:rsidR="00682975" w:rsidRPr="00C938AD">
        <w:t>.1</w:t>
      </w:r>
      <w:r w:rsidR="00682975" w:rsidRPr="00C938AD">
        <w:rPr>
          <w:rFonts w:hint="eastAsia"/>
        </w:rPr>
        <w:t>-1</w:t>
      </w:r>
      <w:r w:rsidR="00682975" w:rsidRPr="00C938AD">
        <w:rPr>
          <w:rFonts w:hint="eastAsia"/>
        </w:rPr>
        <w:t>。</w:t>
      </w:r>
    </w:p>
    <w:p w14:paraId="4768CA34" w14:textId="02681716" w:rsidR="00682975" w:rsidRPr="00C938AD" w:rsidRDefault="00682975" w:rsidP="00DD22FF">
      <w:pPr>
        <w:adjustRightInd w:val="0"/>
        <w:spacing w:line="480" w:lineRule="exact"/>
        <w:ind w:firstLineChars="300" w:firstLine="720"/>
        <w:jc w:val="center"/>
      </w:pPr>
      <w:r w:rsidRPr="00C938AD">
        <w:rPr>
          <w:rFonts w:eastAsia="黑体"/>
        </w:rPr>
        <w:t>表</w:t>
      </w:r>
      <w:r w:rsidRPr="00C938AD">
        <w:rPr>
          <w:rFonts w:eastAsia="黑体" w:hint="eastAsia"/>
        </w:rPr>
        <w:t>3.1-1</w:t>
      </w:r>
      <w:r w:rsidR="00A21D5F" w:rsidRPr="00650CF4">
        <w:rPr>
          <w:rFonts w:eastAsia="黑体" w:hint="eastAsia"/>
        </w:rPr>
        <w:t>资源整合</w:t>
      </w:r>
      <w:proofErr w:type="gramStart"/>
      <w:r w:rsidR="00A21D5F" w:rsidRPr="00650CF4">
        <w:rPr>
          <w:rFonts w:eastAsia="黑体" w:hint="eastAsia"/>
        </w:rPr>
        <w:t>前现有</w:t>
      </w:r>
      <w:proofErr w:type="gramEnd"/>
      <w:r w:rsidR="00A21D5F" w:rsidRPr="00650CF4">
        <w:rPr>
          <w:rFonts w:eastAsia="黑体" w:hint="eastAsia"/>
        </w:rPr>
        <w:t>工程</w:t>
      </w:r>
      <w:r w:rsidRPr="00650CF4">
        <w:rPr>
          <w:rFonts w:eastAsia="黑体"/>
        </w:rPr>
        <w:t>矿区拐点坐标</w:t>
      </w:r>
    </w:p>
    <w:tbl>
      <w:tblPr>
        <w:tblW w:w="872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1455"/>
        <w:gridCol w:w="3502"/>
        <w:gridCol w:w="3763"/>
      </w:tblGrid>
      <w:tr w:rsidR="00952689" w:rsidRPr="00C938AD" w14:paraId="36655DD2" w14:textId="77777777" w:rsidTr="00952689">
        <w:trPr>
          <w:jc w:val="center"/>
        </w:trPr>
        <w:tc>
          <w:tcPr>
            <w:tcW w:w="8720" w:type="dxa"/>
            <w:gridSpan w:val="3"/>
            <w:vAlign w:val="center"/>
          </w:tcPr>
          <w:p w14:paraId="3B689693" w14:textId="79ED8057" w:rsidR="00952689" w:rsidRPr="009170DB" w:rsidRDefault="00952689" w:rsidP="00682975">
            <w:pPr>
              <w:spacing w:line="320" w:lineRule="exact"/>
              <w:ind w:firstLine="420"/>
              <w:jc w:val="center"/>
              <w:rPr>
                <w:rFonts w:cs="Times New Roman"/>
                <w:bCs/>
                <w:sz w:val="21"/>
                <w:szCs w:val="21"/>
              </w:rPr>
            </w:pPr>
            <w:bookmarkStart w:id="71" w:name="_Hlk33179508"/>
            <w:r w:rsidRPr="009170DB">
              <w:rPr>
                <w:rFonts w:cs="Times New Roman" w:hint="eastAsia"/>
                <w:bCs/>
                <w:sz w:val="21"/>
                <w:szCs w:val="21"/>
              </w:rPr>
              <w:t>驻马店市</w:t>
            </w:r>
            <w:proofErr w:type="gramStart"/>
            <w:r w:rsidRPr="009170DB">
              <w:rPr>
                <w:rFonts w:cs="Times New Roman" w:hint="eastAsia"/>
                <w:bCs/>
                <w:sz w:val="21"/>
                <w:szCs w:val="21"/>
              </w:rPr>
              <w:t>驿</w:t>
            </w:r>
            <w:proofErr w:type="gramEnd"/>
            <w:r w:rsidRPr="009170DB">
              <w:rPr>
                <w:rFonts w:cs="Times New Roman" w:hint="eastAsia"/>
                <w:bCs/>
                <w:sz w:val="21"/>
                <w:szCs w:val="21"/>
              </w:rPr>
              <w:t>城区丰鑫矿业有限公司</w:t>
            </w:r>
          </w:p>
        </w:tc>
      </w:tr>
      <w:tr w:rsidR="00C938AD" w:rsidRPr="00C938AD" w14:paraId="495CF3CF" w14:textId="77777777" w:rsidTr="00952689">
        <w:trPr>
          <w:jc w:val="center"/>
        </w:trPr>
        <w:tc>
          <w:tcPr>
            <w:tcW w:w="1455" w:type="dxa"/>
            <w:vMerge w:val="restart"/>
            <w:vAlign w:val="center"/>
          </w:tcPr>
          <w:p w14:paraId="1A220B74" w14:textId="77777777"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拐点</w:t>
            </w:r>
          </w:p>
        </w:tc>
        <w:tc>
          <w:tcPr>
            <w:tcW w:w="7265" w:type="dxa"/>
            <w:gridSpan w:val="2"/>
            <w:vAlign w:val="center"/>
          </w:tcPr>
          <w:p w14:paraId="271E1D76" w14:textId="77777777"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1980</w:t>
            </w:r>
            <w:r w:rsidRPr="009170DB">
              <w:rPr>
                <w:rFonts w:cs="Times New Roman" w:hint="eastAsia"/>
                <w:bCs/>
                <w:sz w:val="21"/>
                <w:szCs w:val="21"/>
              </w:rPr>
              <w:t>西安坐标系</w:t>
            </w:r>
          </w:p>
        </w:tc>
      </w:tr>
      <w:tr w:rsidR="00C938AD" w:rsidRPr="00C938AD" w14:paraId="2BDFEA3D" w14:textId="77777777" w:rsidTr="00952689">
        <w:trPr>
          <w:jc w:val="center"/>
        </w:trPr>
        <w:tc>
          <w:tcPr>
            <w:tcW w:w="1455" w:type="dxa"/>
            <w:vMerge/>
            <w:vAlign w:val="center"/>
          </w:tcPr>
          <w:p w14:paraId="0E023208" w14:textId="77777777" w:rsidR="00682975" w:rsidRPr="009170DB" w:rsidRDefault="00682975" w:rsidP="00682975">
            <w:pPr>
              <w:spacing w:line="320" w:lineRule="exact"/>
              <w:ind w:firstLine="420"/>
              <w:jc w:val="center"/>
              <w:rPr>
                <w:rFonts w:cs="Times New Roman"/>
                <w:bCs/>
                <w:sz w:val="21"/>
                <w:szCs w:val="21"/>
              </w:rPr>
            </w:pPr>
          </w:p>
        </w:tc>
        <w:tc>
          <w:tcPr>
            <w:tcW w:w="3502" w:type="dxa"/>
            <w:vAlign w:val="center"/>
          </w:tcPr>
          <w:p w14:paraId="05460A9E" w14:textId="77777777"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X</w:t>
            </w:r>
          </w:p>
        </w:tc>
        <w:tc>
          <w:tcPr>
            <w:tcW w:w="3763" w:type="dxa"/>
            <w:vAlign w:val="center"/>
          </w:tcPr>
          <w:p w14:paraId="6B11FB3B" w14:textId="77777777"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Y</w:t>
            </w:r>
          </w:p>
        </w:tc>
      </w:tr>
      <w:tr w:rsidR="00C938AD" w:rsidRPr="00C938AD" w14:paraId="32A675EC" w14:textId="77777777" w:rsidTr="00952689">
        <w:trPr>
          <w:jc w:val="center"/>
        </w:trPr>
        <w:tc>
          <w:tcPr>
            <w:tcW w:w="1455" w:type="dxa"/>
            <w:vAlign w:val="center"/>
          </w:tcPr>
          <w:p w14:paraId="4829FDE7" w14:textId="77777777"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1</w:t>
            </w:r>
          </w:p>
        </w:tc>
        <w:tc>
          <w:tcPr>
            <w:tcW w:w="3502" w:type="dxa"/>
            <w:vAlign w:val="center"/>
          </w:tcPr>
          <w:p w14:paraId="0DFE554C" w14:textId="4F252E92"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3667144.9581</w:t>
            </w:r>
          </w:p>
        </w:tc>
        <w:tc>
          <w:tcPr>
            <w:tcW w:w="3763" w:type="dxa"/>
            <w:vAlign w:val="center"/>
          </w:tcPr>
          <w:p w14:paraId="711AF7EF" w14:textId="038C445E" w:rsidR="00682975" w:rsidRPr="009170DB" w:rsidRDefault="0060561B" w:rsidP="00682975">
            <w:pPr>
              <w:spacing w:line="320" w:lineRule="exact"/>
              <w:ind w:firstLine="420"/>
              <w:jc w:val="center"/>
              <w:rPr>
                <w:rFonts w:cs="Times New Roman"/>
                <w:bCs/>
                <w:sz w:val="21"/>
                <w:szCs w:val="21"/>
              </w:rPr>
            </w:pPr>
            <w:r w:rsidRPr="009170DB">
              <w:rPr>
                <w:rFonts w:cs="Times New Roman" w:hint="eastAsia"/>
                <w:bCs/>
                <w:sz w:val="21"/>
                <w:szCs w:val="21"/>
              </w:rPr>
              <w:t>38467824.4500</w:t>
            </w:r>
          </w:p>
        </w:tc>
      </w:tr>
      <w:tr w:rsidR="00C938AD" w:rsidRPr="00C938AD" w14:paraId="05AB4390" w14:textId="77777777" w:rsidTr="00952689">
        <w:trPr>
          <w:jc w:val="center"/>
        </w:trPr>
        <w:tc>
          <w:tcPr>
            <w:tcW w:w="1455" w:type="dxa"/>
            <w:vAlign w:val="center"/>
          </w:tcPr>
          <w:p w14:paraId="3706C05E" w14:textId="77777777"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2</w:t>
            </w:r>
          </w:p>
        </w:tc>
        <w:tc>
          <w:tcPr>
            <w:tcW w:w="3502" w:type="dxa"/>
            <w:vAlign w:val="center"/>
          </w:tcPr>
          <w:p w14:paraId="190EA3A1" w14:textId="57E9B35F"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3666924.9581</w:t>
            </w:r>
          </w:p>
        </w:tc>
        <w:tc>
          <w:tcPr>
            <w:tcW w:w="3763" w:type="dxa"/>
            <w:vAlign w:val="center"/>
          </w:tcPr>
          <w:p w14:paraId="61A803EB" w14:textId="7EE377D6" w:rsidR="00682975" w:rsidRPr="009170DB" w:rsidRDefault="0060561B" w:rsidP="00682975">
            <w:pPr>
              <w:spacing w:line="320" w:lineRule="exact"/>
              <w:ind w:firstLine="420"/>
              <w:jc w:val="center"/>
              <w:rPr>
                <w:rFonts w:cs="Times New Roman"/>
                <w:bCs/>
                <w:sz w:val="21"/>
                <w:szCs w:val="21"/>
              </w:rPr>
            </w:pPr>
            <w:r w:rsidRPr="009170DB">
              <w:rPr>
                <w:rFonts w:cs="Times New Roman" w:hint="eastAsia"/>
                <w:bCs/>
                <w:sz w:val="21"/>
                <w:szCs w:val="21"/>
              </w:rPr>
              <w:t>38467204.4500</w:t>
            </w:r>
          </w:p>
        </w:tc>
      </w:tr>
      <w:tr w:rsidR="00C938AD" w:rsidRPr="00C938AD" w14:paraId="4350EE8B" w14:textId="77777777" w:rsidTr="00952689">
        <w:trPr>
          <w:jc w:val="center"/>
        </w:trPr>
        <w:tc>
          <w:tcPr>
            <w:tcW w:w="1455" w:type="dxa"/>
            <w:vAlign w:val="center"/>
          </w:tcPr>
          <w:p w14:paraId="164BA217" w14:textId="77777777"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3</w:t>
            </w:r>
          </w:p>
        </w:tc>
        <w:tc>
          <w:tcPr>
            <w:tcW w:w="3502" w:type="dxa"/>
            <w:vAlign w:val="center"/>
          </w:tcPr>
          <w:p w14:paraId="6E95F75D" w14:textId="156B3C1E"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3666588.2481</w:t>
            </w:r>
          </w:p>
        </w:tc>
        <w:tc>
          <w:tcPr>
            <w:tcW w:w="3763" w:type="dxa"/>
            <w:vAlign w:val="center"/>
          </w:tcPr>
          <w:p w14:paraId="0A3F8EAB" w14:textId="6696356E" w:rsidR="00682975" w:rsidRPr="009170DB" w:rsidRDefault="0060561B" w:rsidP="00682975">
            <w:pPr>
              <w:spacing w:line="320" w:lineRule="exact"/>
              <w:ind w:firstLine="420"/>
              <w:jc w:val="center"/>
              <w:rPr>
                <w:rFonts w:cs="Times New Roman"/>
                <w:bCs/>
                <w:sz w:val="21"/>
                <w:szCs w:val="21"/>
              </w:rPr>
            </w:pPr>
            <w:r w:rsidRPr="009170DB">
              <w:rPr>
                <w:rFonts w:cs="Times New Roman" w:hint="eastAsia"/>
                <w:bCs/>
                <w:sz w:val="21"/>
                <w:szCs w:val="21"/>
              </w:rPr>
              <w:t>38467403.0200</w:t>
            </w:r>
          </w:p>
        </w:tc>
      </w:tr>
      <w:tr w:rsidR="00C938AD" w:rsidRPr="00C938AD" w14:paraId="307719F7" w14:textId="77777777" w:rsidTr="00952689">
        <w:trPr>
          <w:jc w:val="center"/>
        </w:trPr>
        <w:tc>
          <w:tcPr>
            <w:tcW w:w="1455" w:type="dxa"/>
            <w:vAlign w:val="center"/>
          </w:tcPr>
          <w:p w14:paraId="12DC1BB9" w14:textId="77777777"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4</w:t>
            </w:r>
          </w:p>
        </w:tc>
        <w:tc>
          <w:tcPr>
            <w:tcW w:w="3502" w:type="dxa"/>
            <w:vAlign w:val="center"/>
          </w:tcPr>
          <w:p w14:paraId="212037CA" w14:textId="41732AB6" w:rsidR="00682975" w:rsidRPr="009170DB" w:rsidRDefault="00682975" w:rsidP="00682975">
            <w:pPr>
              <w:spacing w:line="320" w:lineRule="exact"/>
              <w:ind w:firstLine="420"/>
              <w:jc w:val="center"/>
              <w:rPr>
                <w:rFonts w:cs="Times New Roman"/>
                <w:bCs/>
                <w:sz w:val="21"/>
                <w:szCs w:val="21"/>
              </w:rPr>
            </w:pPr>
            <w:r w:rsidRPr="009170DB">
              <w:rPr>
                <w:rFonts w:cs="Times New Roman" w:hint="eastAsia"/>
                <w:bCs/>
                <w:sz w:val="21"/>
                <w:szCs w:val="21"/>
              </w:rPr>
              <w:t>3666691.7181</w:t>
            </w:r>
          </w:p>
        </w:tc>
        <w:tc>
          <w:tcPr>
            <w:tcW w:w="3763" w:type="dxa"/>
            <w:vAlign w:val="center"/>
          </w:tcPr>
          <w:p w14:paraId="6C0900F8" w14:textId="06821544" w:rsidR="00682975" w:rsidRPr="009170DB" w:rsidRDefault="0060561B" w:rsidP="00682975">
            <w:pPr>
              <w:spacing w:line="320" w:lineRule="exact"/>
              <w:ind w:firstLine="420"/>
              <w:jc w:val="center"/>
              <w:rPr>
                <w:rFonts w:cs="Times New Roman"/>
                <w:bCs/>
                <w:sz w:val="21"/>
                <w:szCs w:val="21"/>
              </w:rPr>
            </w:pPr>
            <w:r w:rsidRPr="009170DB">
              <w:rPr>
                <w:rFonts w:cs="Times New Roman" w:hint="eastAsia"/>
                <w:bCs/>
                <w:sz w:val="21"/>
                <w:szCs w:val="21"/>
              </w:rPr>
              <w:t>38467783.6800</w:t>
            </w:r>
          </w:p>
        </w:tc>
      </w:tr>
      <w:bookmarkEnd w:id="71"/>
      <w:tr w:rsidR="00952689" w:rsidRPr="00C938AD" w14:paraId="387F4741" w14:textId="77777777" w:rsidTr="00952689">
        <w:trPr>
          <w:jc w:val="center"/>
        </w:trPr>
        <w:tc>
          <w:tcPr>
            <w:tcW w:w="8720" w:type="dxa"/>
            <w:gridSpan w:val="3"/>
            <w:vAlign w:val="center"/>
          </w:tcPr>
          <w:p w14:paraId="3332A20B" w14:textId="21E1850C" w:rsidR="00952689" w:rsidRPr="009170DB" w:rsidRDefault="00952689" w:rsidP="0000008B">
            <w:pPr>
              <w:spacing w:line="320" w:lineRule="exact"/>
              <w:ind w:firstLine="420"/>
              <w:jc w:val="center"/>
              <w:rPr>
                <w:rFonts w:cs="Times New Roman"/>
                <w:bCs/>
                <w:sz w:val="21"/>
                <w:szCs w:val="21"/>
              </w:rPr>
            </w:pPr>
            <w:r w:rsidRPr="009170DB">
              <w:rPr>
                <w:rFonts w:cs="Times New Roman" w:hint="eastAsia"/>
                <w:bCs/>
                <w:sz w:val="21"/>
                <w:szCs w:val="21"/>
              </w:rPr>
              <w:t>驻马店市</w:t>
            </w:r>
            <w:proofErr w:type="gramStart"/>
            <w:r w:rsidRPr="009170DB">
              <w:rPr>
                <w:rFonts w:cs="Times New Roman" w:hint="eastAsia"/>
                <w:bCs/>
                <w:sz w:val="21"/>
                <w:szCs w:val="21"/>
              </w:rPr>
              <w:t>驿</w:t>
            </w:r>
            <w:proofErr w:type="gramEnd"/>
            <w:r w:rsidRPr="009170DB">
              <w:rPr>
                <w:rFonts w:cs="Times New Roman" w:hint="eastAsia"/>
                <w:bCs/>
                <w:sz w:val="21"/>
                <w:szCs w:val="21"/>
              </w:rPr>
              <w:t>城区宏运石料厂</w:t>
            </w:r>
          </w:p>
        </w:tc>
      </w:tr>
      <w:tr w:rsidR="00952689" w:rsidRPr="00C938AD" w14:paraId="504D7A7E" w14:textId="77777777" w:rsidTr="00952689">
        <w:trPr>
          <w:jc w:val="center"/>
        </w:trPr>
        <w:tc>
          <w:tcPr>
            <w:tcW w:w="1455" w:type="dxa"/>
            <w:vMerge w:val="restart"/>
            <w:vAlign w:val="center"/>
          </w:tcPr>
          <w:p w14:paraId="05DD587E" w14:textId="77777777" w:rsidR="00952689" w:rsidRPr="009170DB" w:rsidRDefault="00952689" w:rsidP="0000008B">
            <w:pPr>
              <w:spacing w:line="320" w:lineRule="exact"/>
              <w:ind w:firstLine="420"/>
              <w:jc w:val="center"/>
              <w:rPr>
                <w:rFonts w:cs="Times New Roman"/>
                <w:bCs/>
                <w:sz w:val="21"/>
                <w:szCs w:val="21"/>
              </w:rPr>
            </w:pPr>
            <w:r w:rsidRPr="009170DB">
              <w:rPr>
                <w:rFonts w:cs="Times New Roman" w:hint="eastAsia"/>
                <w:bCs/>
                <w:sz w:val="21"/>
                <w:szCs w:val="21"/>
              </w:rPr>
              <w:t>拐点</w:t>
            </w:r>
          </w:p>
        </w:tc>
        <w:tc>
          <w:tcPr>
            <w:tcW w:w="7265" w:type="dxa"/>
            <w:gridSpan w:val="2"/>
            <w:vAlign w:val="center"/>
          </w:tcPr>
          <w:p w14:paraId="17987F04" w14:textId="77777777" w:rsidR="00952689" w:rsidRPr="009170DB" w:rsidRDefault="00952689" w:rsidP="0000008B">
            <w:pPr>
              <w:spacing w:line="320" w:lineRule="exact"/>
              <w:ind w:firstLine="420"/>
              <w:jc w:val="center"/>
              <w:rPr>
                <w:rFonts w:cs="Times New Roman"/>
                <w:bCs/>
                <w:sz w:val="21"/>
                <w:szCs w:val="21"/>
              </w:rPr>
            </w:pPr>
            <w:r w:rsidRPr="009170DB">
              <w:rPr>
                <w:rFonts w:cs="Times New Roman" w:hint="eastAsia"/>
                <w:bCs/>
                <w:sz w:val="21"/>
                <w:szCs w:val="21"/>
              </w:rPr>
              <w:t>1980</w:t>
            </w:r>
            <w:r w:rsidRPr="009170DB">
              <w:rPr>
                <w:rFonts w:cs="Times New Roman" w:hint="eastAsia"/>
                <w:bCs/>
                <w:sz w:val="21"/>
                <w:szCs w:val="21"/>
              </w:rPr>
              <w:t>西安坐标系</w:t>
            </w:r>
          </w:p>
        </w:tc>
      </w:tr>
      <w:tr w:rsidR="00952689" w:rsidRPr="00C938AD" w14:paraId="42EC111B" w14:textId="77777777" w:rsidTr="00952689">
        <w:trPr>
          <w:jc w:val="center"/>
        </w:trPr>
        <w:tc>
          <w:tcPr>
            <w:tcW w:w="1455" w:type="dxa"/>
            <w:vMerge/>
            <w:vAlign w:val="center"/>
          </w:tcPr>
          <w:p w14:paraId="47611CE6" w14:textId="77777777" w:rsidR="00952689" w:rsidRPr="009170DB" w:rsidRDefault="00952689" w:rsidP="0000008B">
            <w:pPr>
              <w:spacing w:line="320" w:lineRule="exact"/>
              <w:ind w:firstLine="420"/>
              <w:jc w:val="center"/>
              <w:rPr>
                <w:rFonts w:cs="Times New Roman"/>
                <w:bCs/>
                <w:sz w:val="21"/>
                <w:szCs w:val="21"/>
              </w:rPr>
            </w:pPr>
          </w:p>
        </w:tc>
        <w:tc>
          <w:tcPr>
            <w:tcW w:w="3502" w:type="dxa"/>
            <w:vAlign w:val="center"/>
          </w:tcPr>
          <w:p w14:paraId="739E7752" w14:textId="77777777" w:rsidR="00952689" w:rsidRPr="009170DB" w:rsidRDefault="00952689" w:rsidP="0000008B">
            <w:pPr>
              <w:spacing w:line="320" w:lineRule="exact"/>
              <w:ind w:firstLine="420"/>
              <w:jc w:val="center"/>
              <w:rPr>
                <w:rFonts w:cs="Times New Roman"/>
                <w:bCs/>
                <w:sz w:val="21"/>
                <w:szCs w:val="21"/>
              </w:rPr>
            </w:pPr>
            <w:r w:rsidRPr="009170DB">
              <w:rPr>
                <w:rFonts w:cs="Times New Roman" w:hint="eastAsia"/>
                <w:bCs/>
                <w:sz w:val="21"/>
                <w:szCs w:val="21"/>
              </w:rPr>
              <w:t>X</w:t>
            </w:r>
          </w:p>
        </w:tc>
        <w:tc>
          <w:tcPr>
            <w:tcW w:w="3763" w:type="dxa"/>
            <w:vAlign w:val="center"/>
          </w:tcPr>
          <w:p w14:paraId="215487D7" w14:textId="77777777" w:rsidR="00952689" w:rsidRPr="009170DB" w:rsidRDefault="00952689" w:rsidP="0000008B">
            <w:pPr>
              <w:spacing w:line="320" w:lineRule="exact"/>
              <w:ind w:firstLine="420"/>
              <w:jc w:val="center"/>
              <w:rPr>
                <w:rFonts w:cs="Times New Roman"/>
                <w:bCs/>
                <w:sz w:val="21"/>
                <w:szCs w:val="21"/>
              </w:rPr>
            </w:pPr>
            <w:r w:rsidRPr="009170DB">
              <w:rPr>
                <w:rFonts w:cs="Times New Roman" w:hint="eastAsia"/>
                <w:bCs/>
                <w:sz w:val="21"/>
                <w:szCs w:val="21"/>
              </w:rPr>
              <w:t>Y</w:t>
            </w:r>
          </w:p>
        </w:tc>
      </w:tr>
      <w:tr w:rsidR="00952689" w:rsidRPr="00C938AD" w14:paraId="72BB41E9" w14:textId="77777777" w:rsidTr="00952689">
        <w:trPr>
          <w:jc w:val="center"/>
        </w:trPr>
        <w:tc>
          <w:tcPr>
            <w:tcW w:w="1455" w:type="dxa"/>
            <w:vAlign w:val="center"/>
          </w:tcPr>
          <w:p w14:paraId="75591604" w14:textId="77777777" w:rsidR="00952689" w:rsidRPr="00C938AD" w:rsidRDefault="00952689" w:rsidP="0000008B">
            <w:pPr>
              <w:spacing w:line="320" w:lineRule="exact"/>
              <w:ind w:firstLine="420"/>
              <w:jc w:val="center"/>
              <w:rPr>
                <w:rFonts w:cs="Times New Roman"/>
                <w:sz w:val="21"/>
                <w:szCs w:val="21"/>
              </w:rPr>
            </w:pPr>
            <w:r w:rsidRPr="00C938AD">
              <w:rPr>
                <w:rFonts w:cs="Times New Roman" w:hint="eastAsia"/>
                <w:sz w:val="21"/>
                <w:szCs w:val="21"/>
              </w:rPr>
              <w:t>1</w:t>
            </w:r>
          </w:p>
        </w:tc>
        <w:tc>
          <w:tcPr>
            <w:tcW w:w="3502" w:type="dxa"/>
            <w:vAlign w:val="center"/>
          </w:tcPr>
          <w:p w14:paraId="75AE9627" w14:textId="2AA9493D" w:rsidR="00952689" w:rsidRPr="00C938AD" w:rsidRDefault="00952689" w:rsidP="0000008B">
            <w:pPr>
              <w:spacing w:line="320" w:lineRule="exact"/>
              <w:ind w:firstLine="420"/>
              <w:jc w:val="center"/>
              <w:rPr>
                <w:rFonts w:cs="Times New Roman"/>
                <w:sz w:val="21"/>
                <w:szCs w:val="21"/>
              </w:rPr>
            </w:pPr>
            <w:r>
              <w:rPr>
                <w:rFonts w:cs="Times New Roman" w:hint="eastAsia"/>
                <w:sz w:val="21"/>
                <w:szCs w:val="21"/>
              </w:rPr>
              <w:t>3666700.75</w:t>
            </w:r>
          </w:p>
        </w:tc>
        <w:tc>
          <w:tcPr>
            <w:tcW w:w="3763" w:type="dxa"/>
            <w:vAlign w:val="center"/>
          </w:tcPr>
          <w:p w14:paraId="45C35C5D" w14:textId="35B40E72" w:rsidR="00952689" w:rsidRPr="00C938AD" w:rsidRDefault="00952689" w:rsidP="0000008B">
            <w:pPr>
              <w:spacing w:line="320" w:lineRule="exact"/>
              <w:ind w:firstLine="420"/>
              <w:jc w:val="center"/>
              <w:rPr>
                <w:rFonts w:cs="Times New Roman"/>
                <w:sz w:val="21"/>
                <w:szCs w:val="21"/>
              </w:rPr>
            </w:pPr>
            <w:r w:rsidRPr="00C938AD">
              <w:rPr>
                <w:rFonts w:cs="Times New Roman" w:hint="eastAsia"/>
                <w:sz w:val="21"/>
                <w:szCs w:val="21"/>
              </w:rPr>
              <w:t>3846</w:t>
            </w:r>
            <w:r>
              <w:rPr>
                <w:rFonts w:cs="Times New Roman" w:hint="eastAsia"/>
                <w:sz w:val="21"/>
                <w:szCs w:val="21"/>
              </w:rPr>
              <w:t>6800.15</w:t>
            </w:r>
          </w:p>
        </w:tc>
      </w:tr>
      <w:tr w:rsidR="00952689" w:rsidRPr="00C938AD" w14:paraId="3D55429F" w14:textId="77777777" w:rsidTr="00952689">
        <w:trPr>
          <w:jc w:val="center"/>
        </w:trPr>
        <w:tc>
          <w:tcPr>
            <w:tcW w:w="1455" w:type="dxa"/>
            <w:vAlign w:val="center"/>
          </w:tcPr>
          <w:p w14:paraId="14DC7797" w14:textId="77777777" w:rsidR="00952689" w:rsidRPr="00C938AD" w:rsidRDefault="00952689" w:rsidP="0000008B">
            <w:pPr>
              <w:spacing w:line="320" w:lineRule="exact"/>
              <w:ind w:firstLine="420"/>
              <w:jc w:val="center"/>
              <w:rPr>
                <w:rFonts w:cs="Times New Roman"/>
                <w:sz w:val="21"/>
                <w:szCs w:val="21"/>
              </w:rPr>
            </w:pPr>
            <w:r w:rsidRPr="00C938AD">
              <w:rPr>
                <w:rFonts w:cs="Times New Roman" w:hint="eastAsia"/>
                <w:sz w:val="21"/>
                <w:szCs w:val="21"/>
              </w:rPr>
              <w:t>2</w:t>
            </w:r>
          </w:p>
        </w:tc>
        <w:tc>
          <w:tcPr>
            <w:tcW w:w="3502" w:type="dxa"/>
            <w:vAlign w:val="center"/>
          </w:tcPr>
          <w:p w14:paraId="68E49DB7" w14:textId="0348B618" w:rsidR="00952689" w:rsidRPr="00C938AD" w:rsidRDefault="00952689" w:rsidP="0000008B">
            <w:pPr>
              <w:spacing w:line="320" w:lineRule="exact"/>
              <w:ind w:firstLine="420"/>
              <w:jc w:val="center"/>
              <w:rPr>
                <w:rFonts w:cs="Times New Roman"/>
                <w:sz w:val="21"/>
                <w:szCs w:val="21"/>
              </w:rPr>
            </w:pPr>
            <w:r>
              <w:rPr>
                <w:rFonts w:cs="Times New Roman" w:hint="eastAsia"/>
                <w:sz w:val="21"/>
                <w:szCs w:val="21"/>
              </w:rPr>
              <w:t>3666790.75</w:t>
            </w:r>
          </w:p>
        </w:tc>
        <w:tc>
          <w:tcPr>
            <w:tcW w:w="3763" w:type="dxa"/>
            <w:vAlign w:val="center"/>
          </w:tcPr>
          <w:p w14:paraId="258368B9" w14:textId="64F3E63B" w:rsidR="00952689" w:rsidRPr="00C938AD" w:rsidRDefault="00952689" w:rsidP="0000008B">
            <w:pPr>
              <w:spacing w:line="320" w:lineRule="exact"/>
              <w:ind w:firstLine="420"/>
              <w:jc w:val="center"/>
              <w:rPr>
                <w:rFonts w:cs="Times New Roman"/>
                <w:sz w:val="21"/>
                <w:szCs w:val="21"/>
              </w:rPr>
            </w:pPr>
            <w:r>
              <w:rPr>
                <w:rFonts w:cs="Times New Roman" w:hint="eastAsia"/>
                <w:sz w:val="21"/>
                <w:szCs w:val="21"/>
              </w:rPr>
              <w:t>38467050.15</w:t>
            </w:r>
          </w:p>
        </w:tc>
      </w:tr>
      <w:tr w:rsidR="00952689" w:rsidRPr="00C938AD" w14:paraId="21533534" w14:textId="77777777" w:rsidTr="00952689">
        <w:trPr>
          <w:jc w:val="center"/>
        </w:trPr>
        <w:tc>
          <w:tcPr>
            <w:tcW w:w="1455" w:type="dxa"/>
            <w:vAlign w:val="center"/>
          </w:tcPr>
          <w:p w14:paraId="0AE99732" w14:textId="77777777" w:rsidR="00952689" w:rsidRPr="00C938AD" w:rsidRDefault="00952689" w:rsidP="0000008B">
            <w:pPr>
              <w:spacing w:line="320" w:lineRule="exact"/>
              <w:ind w:firstLine="420"/>
              <w:jc w:val="center"/>
              <w:rPr>
                <w:rFonts w:cs="Times New Roman"/>
                <w:sz w:val="21"/>
                <w:szCs w:val="21"/>
              </w:rPr>
            </w:pPr>
            <w:r w:rsidRPr="00C938AD">
              <w:rPr>
                <w:rFonts w:cs="Times New Roman" w:hint="eastAsia"/>
                <w:sz w:val="21"/>
                <w:szCs w:val="21"/>
              </w:rPr>
              <w:t>3</w:t>
            </w:r>
          </w:p>
        </w:tc>
        <w:tc>
          <w:tcPr>
            <w:tcW w:w="3502" w:type="dxa"/>
            <w:vAlign w:val="center"/>
          </w:tcPr>
          <w:p w14:paraId="3E5A0CF1" w14:textId="7763EB4B" w:rsidR="00952689" w:rsidRPr="00C938AD" w:rsidRDefault="00952689" w:rsidP="0000008B">
            <w:pPr>
              <w:spacing w:line="320" w:lineRule="exact"/>
              <w:ind w:firstLine="420"/>
              <w:jc w:val="center"/>
              <w:rPr>
                <w:rFonts w:cs="Times New Roman"/>
                <w:sz w:val="21"/>
                <w:szCs w:val="21"/>
              </w:rPr>
            </w:pPr>
            <w:r>
              <w:rPr>
                <w:rFonts w:cs="Times New Roman" w:hint="eastAsia"/>
                <w:sz w:val="21"/>
                <w:szCs w:val="21"/>
              </w:rPr>
              <w:t>3666130.75</w:t>
            </w:r>
          </w:p>
        </w:tc>
        <w:tc>
          <w:tcPr>
            <w:tcW w:w="3763" w:type="dxa"/>
            <w:vAlign w:val="center"/>
          </w:tcPr>
          <w:p w14:paraId="1FAF40BC" w14:textId="70F5A390" w:rsidR="00952689" w:rsidRPr="00C938AD" w:rsidRDefault="00952689" w:rsidP="0000008B">
            <w:pPr>
              <w:spacing w:line="320" w:lineRule="exact"/>
              <w:ind w:firstLine="420"/>
              <w:jc w:val="center"/>
              <w:rPr>
                <w:rFonts w:cs="Times New Roman"/>
                <w:sz w:val="21"/>
                <w:szCs w:val="21"/>
              </w:rPr>
            </w:pPr>
            <w:r>
              <w:rPr>
                <w:rFonts w:cs="Times New Roman" w:hint="eastAsia"/>
                <w:sz w:val="21"/>
                <w:szCs w:val="21"/>
              </w:rPr>
              <w:t>38467360.16</w:t>
            </w:r>
          </w:p>
        </w:tc>
      </w:tr>
      <w:tr w:rsidR="00952689" w:rsidRPr="00C938AD" w14:paraId="1A6A84E2" w14:textId="77777777" w:rsidTr="00952689">
        <w:trPr>
          <w:jc w:val="center"/>
        </w:trPr>
        <w:tc>
          <w:tcPr>
            <w:tcW w:w="1455" w:type="dxa"/>
            <w:vAlign w:val="center"/>
          </w:tcPr>
          <w:p w14:paraId="102CDB9E" w14:textId="77777777" w:rsidR="00952689" w:rsidRPr="00C938AD" w:rsidRDefault="00952689" w:rsidP="0000008B">
            <w:pPr>
              <w:spacing w:line="320" w:lineRule="exact"/>
              <w:ind w:firstLine="420"/>
              <w:jc w:val="center"/>
              <w:rPr>
                <w:rFonts w:cs="Times New Roman"/>
                <w:sz w:val="21"/>
                <w:szCs w:val="21"/>
              </w:rPr>
            </w:pPr>
            <w:r w:rsidRPr="00C938AD">
              <w:rPr>
                <w:rFonts w:cs="Times New Roman" w:hint="eastAsia"/>
                <w:sz w:val="21"/>
                <w:szCs w:val="21"/>
              </w:rPr>
              <w:t>4</w:t>
            </w:r>
          </w:p>
        </w:tc>
        <w:tc>
          <w:tcPr>
            <w:tcW w:w="3502" w:type="dxa"/>
            <w:vAlign w:val="center"/>
          </w:tcPr>
          <w:p w14:paraId="23F1FA11" w14:textId="2E89E2D0" w:rsidR="00952689" w:rsidRPr="00C938AD" w:rsidRDefault="00952689" w:rsidP="0000008B">
            <w:pPr>
              <w:spacing w:line="320" w:lineRule="exact"/>
              <w:ind w:firstLine="420"/>
              <w:jc w:val="center"/>
              <w:rPr>
                <w:rFonts w:cs="Times New Roman"/>
                <w:sz w:val="21"/>
                <w:szCs w:val="21"/>
              </w:rPr>
            </w:pPr>
            <w:r>
              <w:rPr>
                <w:rFonts w:cs="Times New Roman" w:hint="eastAsia"/>
                <w:sz w:val="21"/>
                <w:szCs w:val="21"/>
              </w:rPr>
              <w:t>3666020.75</w:t>
            </w:r>
          </w:p>
        </w:tc>
        <w:tc>
          <w:tcPr>
            <w:tcW w:w="3763" w:type="dxa"/>
            <w:vAlign w:val="center"/>
          </w:tcPr>
          <w:p w14:paraId="15132476" w14:textId="1A9A1B42" w:rsidR="00952689" w:rsidRPr="00C938AD" w:rsidRDefault="00952689" w:rsidP="0000008B">
            <w:pPr>
              <w:spacing w:line="320" w:lineRule="exact"/>
              <w:ind w:firstLine="420"/>
              <w:jc w:val="center"/>
              <w:rPr>
                <w:rFonts w:cs="Times New Roman"/>
                <w:sz w:val="21"/>
                <w:szCs w:val="21"/>
              </w:rPr>
            </w:pPr>
            <w:r>
              <w:rPr>
                <w:rFonts w:cs="Times New Roman" w:hint="eastAsia"/>
                <w:sz w:val="21"/>
                <w:szCs w:val="21"/>
              </w:rPr>
              <w:t>38467020.15</w:t>
            </w:r>
          </w:p>
        </w:tc>
      </w:tr>
    </w:tbl>
    <w:p w14:paraId="5D01CC88" w14:textId="01F11916" w:rsidR="00DF3BA0" w:rsidRPr="00C938AD" w:rsidRDefault="0060561B" w:rsidP="00952689">
      <w:pPr>
        <w:rPr>
          <w:rFonts w:eastAsia="黑体" w:hAnsi="黑体"/>
        </w:rPr>
      </w:pPr>
      <w:r w:rsidRPr="00C938AD">
        <w:rPr>
          <w:rFonts w:hint="eastAsia"/>
        </w:rPr>
        <w:t>3.1.1.</w:t>
      </w:r>
      <w:r w:rsidR="00EC07F6">
        <w:rPr>
          <w:rFonts w:hint="eastAsia"/>
        </w:rPr>
        <w:t>3</w:t>
      </w:r>
      <w:r w:rsidR="00952689">
        <w:rPr>
          <w:rFonts w:hint="eastAsia"/>
        </w:rPr>
        <w:t>整合</w:t>
      </w:r>
      <w:proofErr w:type="gramStart"/>
      <w:r w:rsidR="00952689">
        <w:rPr>
          <w:rFonts w:hint="eastAsia"/>
        </w:rPr>
        <w:t>前</w:t>
      </w:r>
      <w:r w:rsidRPr="00C938AD">
        <w:rPr>
          <w:rFonts w:hint="eastAsia"/>
        </w:rPr>
        <w:t>项目</w:t>
      </w:r>
      <w:proofErr w:type="gramEnd"/>
      <w:r w:rsidRPr="00C938AD">
        <w:rPr>
          <w:rFonts w:hint="eastAsia"/>
        </w:rPr>
        <w:t>主要建设内容</w:t>
      </w:r>
    </w:p>
    <w:p w14:paraId="14C7751C" w14:textId="375EBDF1" w:rsidR="00C74949" w:rsidRPr="00C938AD" w:rsidRDefault="00C74949" w:rsidP="00DF3BA0">
      <w:pPr>
        <w:adjustRightInd w:val="0"/>
        <w:snapToGrid w:val="0"/>
        <w:spacing w:line="240" w:lineRule="auto"/>
        <w:ind w:firstLineChars="0" w:firstLine="0"/>
        <w:jc w:val="center"/>
        <w:rPr>
          <w:rFonts w:eastAsia="黑体" w:hAnsi="黑体"/>
        </w:rPr>
      </w:pPr>
      <w:bookmarkStart w:id="72" w:name="_Hlk33195449"/>
      <w:r w:rsidRPr="00C938AD">
        <w:rPr>
          <w:rFonts w:eastAsia="黑体" w:hAnsi="黑体"/>
        </w:rPr>
        <w:t>表</w:t>
      </w:r>
      <w:r w:rsidRPr="00C938AD">
        <w:rPr>
          <w:rFonts w:eastAsia="黑体" w:hint="eastAsia"/>
        </w:rPr>
        <w:t>3.1</w:t>
      </w:r>
      <w:r w:rsidRPr="00C938AD">
        <w:rPr>
          <w:rFonts w:eastAsia="黑体"/>
        </w:rPr>
        <w:t>-</w:t>
      </w:r>
      <w:r w:rsidR="00317E60" w:rsidRPr="00C938AD">
        <w:rPr>
          <w:rFonts w:eastAsia="黑体" w:hint="eastAsia"/>
        </w:rPr>
        <w:t>2</w:t>
      </w:r>
      <w:r w:rsidRPr="00C938AD">
        <w:rPr>
          <w:rFonts w:eastAsia="黑体" w:hint="eastAsia"/>
        </w:rPr>
        <w:t>整合前</w:t>
      </w:r>
      <w:r w:rsidR="00AA5145" w:rsidRPr="00AA5145">
        <w:rPr>
          <w:rFonts w:eastAsia="黑体" w:hint="eastAsia"/>
        </w:rPr>
        <w:t>驻马店市</w:t>
      </w:r>
      <w:proofErr w:type="gramStart"/>
      <w:r w:rsidR="00AA5145" w:rsidRPr="00AA5145">
        <w:rPr>
          <w:rFonts w:eastAsia="黑体" w:hint="eastAsia"/>
        </w:rPr>
        <w:t>驿</w:t>
      </w:r>
      <w:proofErr w:type="gramEnd"/>
      <w:r w:rsidR="00AA5145" w:rsidRPr="00AA5145">
        <w:rPr>
          <w:rFonts w:eastAsia="黑体" w:hint="eastAsia"/>
        </w:rPr>
        <w:t>城区丰鑫矿业有限公司</w:t>
      </w:r>
      <w:r w:rsidRPr="00C938AD">
        <w:rPr>
          <w:rFonts w:eastAsia="黑体" w:hint="eastAsia"/>
        </w:rPr>
        <w:t>项目组成</w:t>
      </w:r>
      <w:r w:rsidRPr="00C938AD">
        <w:rPr>
          <w:rFonts w:eastAsia="黑体" w:hAnsi="黑体" w:hint="eastAsia"/>
        </w:rPr>
        <w:t>工程组成</w:t>
      </w:r>
      <w:r w:rsidRPr="00C938AD">
        <w:rPr>
          <w:rFonts w:eastAsia="黑体" w:hAnsi="黑体"/>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678"/>
        <w:gridCol w:w="684"/>
        <w:gridCol w:w="5314"/>
        <w:gridCol w:w="2044"/>
      </w:tblGrid>
      <w:tr w:rsidR="00C938AD" w:rsidRPr="00297DDF" w14:paraId="1873BBF6" w14:textId="77777777" w:rsidTr="00297DDF">
        <w:trPr>
          <w:cantSplit/>
          <w:jc w:val="center"/>
        </w:trPr>
        <w:tc>
          <w:tcPr>
            <w:tcW w:w="389" w:type="pct"/>
            <w:shd w:val="clear" w:color="auto" w:fill="auto"/>
            <w:vAlign w:val="center"/>
          </w:tcPr>
          <w:p w14:paraId="3076B604"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工程类别</w:t>
            </w:r>
          </w:p>
        </w:tc>
        <w:tc>
          <w:tcPr>
            <w:tcW w:w="392" w:type="pct"/>
            <w:shd w:val="clear" w:color="auto" w:fill="auto"/>
            <w:vAlign w:val="center"/>
          </w:tcPr>
          <w:p w14:paraId="5531878D"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单项工程</w:t>
            </w:r>
          </w:p>
        </w:tc>
        <w:tc>
          <w:tcPr>
            <w:tcW w:w="3047" w:type="pct"/>
            <w:shd w:val="clear" w:color="auto" w:fill="auto"/>
            <w:vAlign w:val="center"/>
          </w:tcPr>
          <w:p w14:paraId="682A0CBA"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工程内容</w:t>
            </w:r>
          </w:p>
        </w:tc>
        <w:tc>
          <w:tcPr>
            <w:tcW w:w="1172" w:type="pct"/>
            <w:vAlign w:val="center"/>
          </w:tcPr>
          <w:p w14:paraId="303739FA"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本项目</w:t>
            </w:r>
          </w:p>
        </w:tc>
      </w:tr>
      <w:tr w:rsidR="00C938AD" w:rsidRPr="00297DDF" w14:paraId="57C95918" w14:textId="77777777" w:rsidTr="00297DDF">
        <w:trPr>
          <w:cantSplit/>
          <w:jc w:val="center"/>
        </w:trPr>
        <w:tc>
          <w:tcPr>
            <w:tcW w:w="389" w:type="pct"/>
            <w:vMerge w:val="restart"/>
            <w:shd w:val="clear" w:color="auto" w:fill="auto"/>
            <w:vAlign w:val="center"/>
          </w:tcPr>
          <w:p w14:paraId="2AFE919A"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主体工程</w:t>
            </w:r>
          </w:p>
        </w:tc>
        <w:tc>
          <w:tcPr>
            <w:tcW w:w="392" w:type="pct"/>
            <w:vMerge w:val="restart"/>
            <w:shd w:val="clear" w:color="auto" w:fill="auto"/>
            <w:vAlign w:val="center"/>
          </w:tcPr>
          <w:p w14:paraId="0324947F"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采矿工程</w:t>
            </w:r>
          </w:p>
        </w:tc>
        <w:tc>
          <w:tcPr>
            <w:tcW w:w="3047" w:type="pct"/>
            <w:shd w:val="clear" w:color="auto" w:fill="auto"/>
            <w:vAlign w:val="center"/>
          </w:tcPr>
          <w:p w14:paraId="2D616D8E"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开采规模：</w:t>
            </w:r>
            <w:r w:rsidRPr="00297DDF">
              <w:rPr>
                <w:rFonts w:ascii="Times New Roman" w:hAnsi="Times New Roman" w:cs="Times New Roman"/>
              </w:rPr>
              <w:t>20</w:t>
            </w:r>
            <w:r w:rsidRPr="00297DDF">
              <w:rPr>
                <w:rFonts w:ascii="Times New Roman" w:hAnsi="Times New Roman" w:cs="Times New Roman"/>
              </w:rPr>
              <w:t>万吨</w:t>
            </w:r>
            <w:r w:rsidRPr="00297DDF">
              <w:rPr>
                <w:rFonts w:ascii="Times New Roman" w:hAnsi="Times New Roman" w:cs="Times New Roman"/>
              </w:rPr>
              <w:t>/</w:t>
            </w:r>
            <w:r w:rsidRPr="00297DDF">
              <w:rPr>
                <w:rFonts w:ascii="Times New Roman" w:hAnsi="Times New Roman" w:cs="Times New Roman"/>
              </w:rPr>
              <w:t>年，服务年限</w:t>
            </w:r>
            <w:r w:rsidRPr="00297DDF">
              <w:rPr>
                <w:rFonts w:ascii="Times New Roman" w:hAnsi="Times New Roman" w:cs="Times New Roman"/>
              </w:rPr>
              <w:t>12.25</w:t>
            </w:r>
            <w:r w:rsidRPr="00297DDF">
              <w:rPr>
                <w:rFonts w:ascii="Times New Roman" w:hAnsi="Times New Roman" w:cs="Times New Roman"/>
              </w:rPr>
              <w:t>年</w:t>
            </w:r>
          </w:p>
        </w:tc>
        <w:tc>
          <w:tcPr>
            <w:tcW w:w="1172" w:type="pct"/>
            <w:vMerge w:val="restart"/>
            <w:vAlign w:val="center"/>
          </w:tcPr>
          <w:p w14:paraId="0DB4BAE1"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继续开采</w:t>
            </w:r>
          </w:p>
        </w:tc>
      </w:tr>
      <w:tr w:rsidR="00C938AD" w:rsidRPr="00297DDF" w14:paraId="22DEBD28" w14:textId="77777777" w:rsidTr="00297DDF">
        <w:trPr>
          <w:cantSplit/>
          <w:jc w:val="center"/>
        </w:trPr>
        <w:tc>
          <w:tcPr>
            <w:tcW w:w="389" w:type="pct"/>
            <w:vMerge/>
            <w:shd w:val="clear" w:color="auto" w:fill="auto"/>
            <w:vAlign w:val="center"/>
          </w:tcPr>
          <w:p w14:paraId="626BE561" w14:textId="77777777" w:rsidR="00DF3BA0" w:rsidRPr="00297DDF" w:rsidRDefault="00DF3BA0" w:rsidP="00317E60">
            <w:pPr>
              <w:pStyle w:val="aff"/>
              <w:rPr>
                <w:rFonts w:ascii="Times New Roman" w:hAnsi="Times New Roman" w:cs="Times New Roman"/>
              </w:rPr>
            </w:pPr>
          </w:p>
        </w:tc>
        <w:tc>
          <w:tcPr>
            <w:tcW w:w="392" w:type="pct"/>
            <w:vMerge/>
            <w:shd w:val="clear" w:color="auto" w:fill="auto"/>
            <w:vAlign w:val="center"/>
          </w:tcPr>
          <w:p w14:paraId="604B9726" w14:textId="77777777" w:rsidR="00DF3BA0" w:rsidRPr="00297DDF" w:rsidRDefault="00DF3BA0" w:rsidP="00317E60">
            <w:pPr>
              <w:pStyle w:val="aff"/>
              <w:rPr>
                <w:rFonts w:ascii="Times New Roman" w:hAnsi="Times New Roman" w:cs="Times New Roman"/>
              </w:rPr>
            </w:pPr>
          </w:p>
        </w:tc>
        <w:tc>
          <w:tcPr>
            <w:tcW w:w="3047" w:type="pct"/>
            <w:shd w:val="clear" w:color="auto" w:fill="auto"/>
            <w:vAlign w:val="center"/>
          </w:tcPr>
          <w:p w14:paraId="4EF26FA2"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开采方式：露天开采，公路开拓，汽车运输方案</w:t>
            </w:r>
          </w:p>
        </w:tc>
        <w:tc>
          <w:tcPr>
            <w:tcW w:w="1172" w:type="pct"/>
            <w:vMerge/>
            <w:vAlign w:val="center"/>
          </w:tcPr>
          <w:p w14:paraId="45B18A18" w14:textId="77777777" w:rsidR="00DF3BA0" w:rsidRPr="00297DDF" w:rsidRDefault="00DF3BA0" w:rsidP="00317E60">
            <w:pPr>
              <w:pStyle w:val="aff"/>
              <w:rPr>
                <w:rFonts w:ascii="Times New Roman" w:hAnsi="Times New Roman" w:cs="Times New Roman"/>
              </w:rPr>
            </w:pPr>
          </w:p>
        </w:tc>
      </w:tr>
      <w:tr w:rsidR="00C938AD" w:rsidRPr="00297DDF" w14:paraId="184B444B" w14:textId="77777777" w:rsidTr="00297DDF">
        <w:trPr>
          <w:cantSplit/>
          <w:jc w:val="center"/>
        </w:trPr>
        <w:tc>
          <w:tcPr>
            <w:tcW w:w="389" w:type="pct"/>
            <w:vMerge/>
            <w:shd w:val="clear" w:color="auto" w:fill="auto"/>
            <w:vAlign w:val="center"/>
          </w:tcPr>
          <w:p w14:paraId="560B72AF" w14:textId="77777777" w:rsidR="00DF3BA0" w:rsidRPr="00297DDF" w:rsidRDefault="00DF3BA0" w:rsidP="00317E60">
            <w:pPr>
              <w:pStyle w:val="aff"/>
              <w:rPr>
                <w:rFonts w:ascii="Times New Roman" w:hAnsi="Times New Roman" w:cs="Times New Roman"/>
              </w:rPr>
            </w:pPr>
          </w:p>
        </w:tc>
        <w:tc>
          <w:tcPr>
            <w:tcW w:w="392" w:type="pct"/>
            <w:vMerge/>
            <w:shd w:val="clear" w:color="auto" w:fill="auto"/>
            <w:vAlign w:val="center"/>
          </w:tcPr>
          <w:p w14:paraId="103B8489" w14:textId="77777777" w:rsidR="00DF3BA0" w:rsidRPr="00297DDF" w:rsidRDefault="00DF3BA0" w:rsidP="00317E60">
            <w:pPr>
              <w:pStyle w:val="aff"/>
              <w:rPr>
                <w:rFonts w:ascii="Times New Roman" w:hAnsi="Times New Roman" w:cs="Times New Roman"/>
              </w:rPr>
            </w:pPr>
          </w:p>
        </w:tc>
        <w:tc>
          <w:tcPr>
            <w:tcW w:w="3047" w:type="pct"/>
            <w:shd w:val="clear" w:color="auto" w:fill="auto"/>
            <w:vAlign w:val="center"/>
          </w:tcPr>
          <w:p w14:paraId="565830E5"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矿山采用自上而下台阶式开采</w:t>
            </w:r>
          </w:p>
        </w:tc>
        <w:tc>
          <w:tcPr>
            <w:tcW w:w="1172" w:type="pct"/>
            <w:vMerge/>
            <w:vAlign w:val="center"/>
          </w:tcPr>
          <w:p w14:paraId="105892B7" w14:textId="77777777" w:rsidR="00DF3BA0" w:rsidRPr="00297DDF" w:rsidRDefault="00DF3BA0" w:rsidP="00317E60">
            <w:pPr>
              <w:pStyle w:val="aff"/>
              <w:rPr>
                <w:rFonts w:ascii="Times New Roman" w:hAnsi="Times New Roman" w:cs="Times New Roman"/>
              </w:rPr>
            </w:pPr>
          </w:p>
        </w:tc>
      </w:tr>
      <w:tr w:rsidR="00C938AD" w:rsidRPr="00297DDF" w14:paraId="461360E6" w14:textId="77777777" w:rsidTr="00297DDF">
        <w:trPr>
          <w:cantSplit/>
          <w:jc w:val="center"/>
        </w:trPr>
        <w:tc>
          <w:tcPr>
            <w:tcW w:w="389" w:type="pct"/>
            <w:vMerge/>
            <w:shd w:val="clear" w:color="auto" w:fill="auto"/>
            <w:vAlign w:val="center"/>
          </w:tcPr>
          <w:p w14:paraId="1A87BC40" w14:textId="77777777" w:rsidR="00DF3BA0" w:rsidRPr="00297DDF" w:rsidRDefault="00DF3BA0" w:rsidP="00317E60">
            <w:pPr>
              <w:pStyle w:val="aff"/>
              <w:rPr>
                <w:rFonts w:ascii="Times New Roman" w:hAnsi="Times New Roman" w:cs="Times New Roman"/>
              </w:rPr>
            </w:pPr>
          </w:p>
        </w:tc>
        <w:tc>
          <w:tcPr>
            <w:tcW w:w="392" w:type="pct"/>
            <w:vMerge/>
            <w:shd w:val="clear" w:color="auto" w:fill="auto"/>
            <w:vAlign w:val="center"/>
          </w:tcPr>
          <w:p w14:paraId="644DB645" w14:textId="77777777" w:rsidR="00DF3BA0" w:rsidRPr="00297DDF" w:rsidRDefault="00DF3BA0" w:rsidP="00317E60">
            <w:pPr>
              <w:pStyle w:val="aff"/>
              <w:rPr>
                <w:rFonts w:ascii="Times New Roman" w:hAnsi="Times New Roman" w:cs="Times New Roman"/>
              </w:rPr>
            </w:pPr>
          </w:p>
        </w:tc>
        <w:tc>
          <w:tcPr>
            <w:tcW w:w="3047" w:type="pct"/>
            <w:shd w:val="clear" w:color="auto" w:fill="auto"/>
            <w:vAlign w:val="center"/>
          </w:tcPr>
          <w:p w14:paraId="145658CD"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1</w:t>
            </w:r>
            <w:r w:rsidRPr="00297DDF">
              <w:rPr>
                <w:rFonts w:ascii="Times New Roman" w:hAnsi="Times New Roman" w:cs="Times New Roman"/>
              </w:rPr>
              <w:t>、开采标高</w:t>
            </w:r>
            <w:r w:rsidRPr="00297DDF">
              <w:rPr>
                <w:rFonts w:ascii="Times New Roman" w:hAnsi="Times New Roman" w:cs="Times New Roman"/>
              </w:rPr>
              <w:t>+395-+270m</w:t>
            </w:r>
            <w:r w:rsidRPr="00297DDF">
              <w:rPr>
                <w:rFonts w:ascii="Times New Roman" w:hAnsi="Times New Roman" w:cs="Times New Roman"/>
              </w:rPr>
              <w:t>。</w:t>
            </w:r>
            <w:r w:rsidRPr="00297DDF">
              <w:rPr>
                <w:rFonts w:ascii="Times New Roman" w:hAnsi="Times New Roman" w:cs="Times New Roman"/>
              </w:rPr>
              <w:t>2</w:t>
            </w:r>
            <w:r w:rsidRPr="00297DDF">
              <w:rPr>
                <w:rFonts w:ascii="Times New Roman" w:hAnsi="Times New Roman" w:cs="Times New Roman"/>
              </w:rPr>
              <w:t>、台阶高度：台阶高度均为</w:t>
            </w:r>
            <w:r w:rsidRPr="00297DDF">
              <w:rPr>
                <w:rFonts w:ascii="Times New Roman" w:hAnsi="Times New Roman" w:cs="Times New Roman"/>
              </w:rPr>
              <w:t>10m</w:t>
            </w:r>
            <w:r w:rsidRPr="00297DDF">
              <w:rPr>
                <w:rFonts w:ascii="Times New Roman" w:hAnsi="Times New Roman" w:cs="Times New Roman"/>
              </w:rPr>
              <w:t>。</w:t>
            </w:r>
            <w:r w:rsidRPr="00297DDF">
              <w:rPr>
                <w:rFonts w:ascii="Times New Roman" w:hAnsi="Times New Roman" w:cs="Times New Roman"/>
              </w:rPr>
              <w:t>3</w:t>
            </w:r>
            <w:r w:rsidRPr="00297DDF">
              <w:rPr>
                <w:rFonts w:ascii="Times New Roman" w:hAnsi="Times New Roman" w:cs="Times New Roman"/>
              </w:rPr>
              <w:t>、开采深度：</w:t>
            </w:r>
            <w:r w:rsidRPr="00297DDF">
              <w:rPr>
                <w:rFonts w:ascii="Times New Roman" w:hAnsi="Times New Roman" w:cs="Times New Roman"/>
              </w:rPr>
              <w:t>125m</w:t>
            </w:r>
            <w:r w:rsidRPr="00297DDF">
              <w:rPr>
                <w:rFonts w:ascii="Times New Roman" w:hAnsi="Times New Roman" w:cs="Times New Roman"/>
              </w:rPr>
              <w:t>。</w:t>
            </w:r>
            <w:r w:rsidRPr="00297DDF">
              <w:rPr>
                <w:rFonts w:ascii="Times New Roman" w:hAnsi="Times New Roman" w:cs="Times New Roman"/>
              </w:rPr>
              <w:t>4</w:t>
            </w:r>
            <w:r w:rsidRPr="00297DDF">
              <w:rPr>
                <w:rFonts w:ascii="Times New Roman" w:hAnsi="Times New Roman" w:cs="Times New Roman"/>
              </w:rPr>
              <w:t>、梯段安全平台宽</w:t>
            </w:r>
            <w:r w:rsidRPr="00297DDF">
              <w:rPr>
                <w:rFonts w:ascii="Times New Roman" w:hAnsi="Times New Roman" w:cs="Times New Roman"/>
              </w:rPr>
              <w:t>8m</w:t>
            </w:r>
            <w:r w:rsidRPr="00297DDF">
              <w:rPr>
                <w:rFonts w:ascii="Times New Roman" w:hAnsi="Times New Roman" w:cs="Times New Roman"/>
              </w:rPr>
              <w:t>。</w:t>
            </w:r>
            <w:r w:rsidRPr="00297DDF">
              <w:rPr>
                <w:rFonts w:ascii="Times New Roman" w:hAnsi="Times New Roman" w:cs="Times New Roman"/>
              </w:rPr>
              <w:t>5</w:t>
            </w:r>
            <w:r w:rsidRPr="00297DDF">
              <w:rPr>
                <w:rFonts w:ascii="Times New Roman" w:hAnsi="Times New Roman" w:cs="Times New Roman"/>
              </w:rPr>
              <w:t>、最终边坡角：</w:t>
            </w:r>
            <w:r w:rsidRPr="00297DDF">
              <w:rPr>
                <w:rFonts w:ascii="Times New Roman" w:hAnsi="Times New Roman" w:cs="Times New Roman"/>
              </w:rPr>
              <w:t>70°</w:t>
            </w:r>
            <w:r w:rsidRPr="00297DDF">
              <w:rPr>
                <w:rFonts w:ascii="Times New Roman" w:hAnsi="Times New Roman" w:cs="Times New Roman"/>
              </w:rPr>
              <w:t>。</w:t>
            </w:r>
            <w:r w:rsidRPr="00297DDF">
              <w:rPr>
                <w:rFonts w:ascii="Times New Roman" w:hAnsi="Times New Roman" w:cs="Times New Roman"/>
              </w:rPr>
              <w:t>6</w:t>
            </w:r>
            <w:r w:rsidRPr="00297DDF">
              <w:rPr>
                <w:rFonts w:ascii="Times New Roman" w:hAnsi="Times New Roman" w:cs="Times New Roman"/>
              </w:rPr>
              <w:t>、底盘宽度：</w:t>
            </w:r>
            <w:r w:rsidRPr="00297DDF">
              <w:rPr>
                <w:rFonts w:ascii="Times New Roman" w:hAnsi="Times New Roman" w:cs="Times New Roman"/>
              </w:rPr>
              <w:t>40m</w:t>
            </w:r>
            <w:r w:rsidRPr="00297DDF">
              <w:rPr>
                <w:rFonts w:ascii="Times New Roman" w:hAnsi="Times New Roman" w:cs="Times New Roman"/>
              </w:rPr>
              <w:t>。</w:t>
            </w:r>
            <w:r w:rsidRPr="00297DDF">
              <w:rPr>
                <w:rFonts w:ascii="Times New Roman" w:hAnsi="Times New Roman" w:cs="Times New Roman"/>
              </w:rPr>
              <w:t>7</w:t>
            </w:r>
            <w:r w:rsidRPr="00297DDF">
              <w:rPr>
                <w:rFonts w:ascii="Times New Roman" w:hAnsi="Times New Roman" w:cs="Times New Roman"/>
              </w:rPr>
              <w:t>、爆破安全距离：</w:t>
            </w:r>
            <w:r w:rsidRPr="00297DDF">
              <w:rPr>
                <w:rFonts w:ascii="Times New Roman" w:hAnsi="Times New Roman" w:cs="Times New Roman"/>
              </w:rPr>
              <w:t>˃300m</w:t>
            </w:r>
            <w:r w:rsidRPr="00297DDF">
              <w:rPr>
                <w:rFonts w:ascii="Times New Roman" w:hAnsi="Times New Roman" w:cs="Times New Roman"/>
              </w:rPr>
              <w:t>。</w:t>
            </w:r>
          </w:p>
        </w:tc>
        <w:tc>
          <w:tcPr>
            <w:tcW w:w="1172" w:type="pct"/>
            <w:vMerge/>
            <w:vAlign w:val="center"/>
          </w:tcPr>
          <w:p w14:paraId="4F995AE2" w14:textId="77777777" w:rsidR="00DF3BA0" w:rsidRPr="00297DDF" w:rsidRDefault="00DF3BA0" w:rsidP="00317E60">
            <w:pPr>
              <w:pStyle w:val="aff"/>
              <w:rPr>
                <w:rFonts w:ascii="Times New Roman" w:hAnsi="Times New Roman" w:cs="Times New Roman"/>
                <w:b/>
              </w:rPr>
            </w:pPr>
          </w:p>
        </w:tc>
      </w:tr>
      <w:tr w:rsidR="00C938AD" w:rsidRPr="00297DDF" w14:paraId="07491529" w14:textId="77777777" w:rsidTr="00297DDF">
        <w:trPr>
          <w:cantSplit/>
          <w:jc w:val="center"/>
        </w:trPr>
        <w:tc>
          <w:tcPr>
            <w:tcW w:w="389" w:type="pct"/>
            <w:vMerge/>
            <w:shd w:val="clear" w:color="auto" w:fill="auto"/>
            <w:vAlign w:val="center"/>
          </w:tcPr>
          <w:p w14:paraId="70791ECF" w14:textId="77777777" w:rsidR="00DF3BA0" w:rsidRPr="00297DDF" w:rsidRDefault="00DF3BA0" w:rsidP="00317E60">
            <w:pPr>
              <w:pStyle w:val="aff"/>
              <w:rPr>
                <w:rFonts w:ascii="Times New Roman" w:hAnsi="Times New Roman" w:cs="Times New Roman"/>
              </w:rPr>
            </w:pPr>
          </w:p>
        </w:tc>
        <w:tc>
          <w:tcPr>
            <w:tcW w:w="392" w:type="pct"/>
            <w:shd w:val="clear" w:color="auto" w:fill="auto"/>
            <w:vAlign w:val="center"/>
          </w:tcPr>
          <w:p w14:paraId="719FE16F"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石子加工工程</w:t>
            </w:r>
          </w:p>
        </w:tc>
        <w:tc>
          <w:tcPr>
            <w:tcW w:w="3047" w:type="pct"/>
            <w:shd w:val="clear" w:color="auto" w:fill="auto"/>
            <w:vAlign w:val="center"/>
          </w:tcPr>
          <w:p w14:paraId="1D985171"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露天开采的矿石直接经给料口进入颚式破碎机，经破碎后进入厢式破碎机，经输送皮带运至振动筛后，分选出不同规格产品，外运销售，设颚式破碎机</w:t>
            </w:r>
            <w:r w:rsidRPr="00297DDF">
              <w:rPr>
                <w:rFonts w:ascii="Times New Roman" w:hAnsi="Times New Roman" w:cs="Times New Roman"/>
              </w:rPr>
              <w:t>2</w:t>
            </w:r>
            <w:r w:rsidRPr="00297DDF">
              <w:rPr>
                <w:rFonts w:ascii="Times New Roman" w:hAnsi="Times New Roman" w:cs="Times New Roman"/>
              </w:rPr>
              <w:t>台、反击式破碎机</w:t>
            </w:r>
            <w:r w:rsidRPr="00297DDF">
              <w:rPr>
                <w:rFonts w:ascii="Times New Roman" w:hAnsi="Times New Roman" w:cs="Times New Roman"/>
              </w:rPr>
              <w:t>2</w:t>
            </w:r>
            <w:r w:rsidRPr="00297DDF">
              <w:rPr>
                <w:rFonts w:ascii="Times New Roman" w:hAnsi="Times New Roman" w:cs="Times New Roman"/>
              </w:rPr>
              <w:t>台，圆型振动筛</w:t>
            </w:r>
            <w:r w:rsidRPr="00297DDF">
              <w:rPr>
                <w:rFonts w:ascii="Times New Roman" w:hAnsi="Times New Roman" w:cs="Times New Roman"/>
              </w:rPr>
              <w:t>2</w:t>
            </w:r>
            <w:r w:rsidRPr="00297DDF">
              <w:rPr>
                <w:rFonts w:ascii="Times New Roman" w:hAnsi="Times New Roman" w:cs="Times New Roman"/>
              </w:rPr>
              <w:t>台，共</w:t>
            </w:r>
            <w:r w:rsidRPr="00297DDF">
              <w:rPr>
                <w:rFonts w:ascii="Times New Roman" w:hAnsi="Times New Roman" w:cs="Times New Roman"/>
              </w:rPr>
              <w:t>2</w:t>
            </w:r>
            <w:r w:rsidRPr="00297DDF">
              <w:rPr>
                <w:rFonts w:ascii="Times New Roman" w:hAnsi="Times New Roman" w:cs="Times New Roman"/>
              </w:rPr>
              <w:t>条破碎生产线，位于采区南侧。加工规模为</w:t>
            </w:r>
            <w:r w:rsidRPr="00297DDF">
              <w:rPr>
                <w:rFonts w:ascii="Times New Roman" w:hAnsi="Times New Roman" w:cs="Times New Roman"/>
              </w:rPr>
              <w:t>20</w:t>
            </w:r>
            <w:r w:rsidRPr="00297DDF">
              <w:rPr>
                <w:rFonts w:ascii="Times New Roman" w:hAnsi="Times New Roman" w:cs="Times New Roman"/>
              </w:rPr>
              <w:t>万吨</w:t>
            </w:r>
            <w:r w:rsidRPr="00297DDF">
              <w:rPr>
                <w:rFonts w:ascii="Times New Roman" w:hAnsi="Times New Roman" w:cs="Times New Roman"/>
              </w:rPr>
              <w:t>/</w:t>
            </w:r>
            <w:r w:rsidRPr="00297DDF">
              <w:rPr>
                <w:rFonts w:ascii="Times New Roman" w:hAnsi="Times New Roman" w:cs="Times New Roman"/>
              </w:rPr>
              <w:t>年。</w:t>
            </w:r>
          </w:p>
        </w:tc>
        <w:tc>
          <w:tcPr>
            <w:tcW w:w="1172" w:type="pct"/>
            <w:vAlign w:val="center"/>
          </w:tcPr>
          <w:p w14:paraId="7779281A" w14:textId="1AD4AF3C"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原有石子加工工程设施进行拆除，本项目不利用原有石子加工工程</w:t>
            </w:r>
          </w:p>
        </w:tc>
      </w:tr>
      <w:tr w:rsidR="00C938AD" w:rsidRPr="00297DDF" w14:paraId="0AAD859A" w14:textId="77777777" w:rsidTr="00297DDF">
        <w:trPr>
          <w:cantSplit/>
          <w:trHeight w:val="1014"/>
          <w:jc w:val="center"/>
        </w:trPr>
        <w:tc>
          <w:tcPr>
            <w:tcW w:w="389" w:type="pct"/>
            <w:tcBorders>
              <w:top w:val="single" w:sz="4" w:space="0" w:color="000000"/>
            </w:tcBorders>
            <w:shd w:val="clear" w:color="auto" w:fill="auto"/>
            <w:vAlign w:val="center"/>
          </w:tcPr>
          <w:p w14:paraId="47522787"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辅助工程</w:t>
            </w:r>
          </w:p>
        </w:tc>
        <w:tc>
          <w:tcPr>
            <w:tcW w:w="392" w:type="pct"/>
            <w:tcBorders>
              <w:top w:val="single" w:sz="4" w:space="0" w:color="000000"/>
            </w:tcBorders>
            <w:shd w:val="clear" w:color="auto" w:fill="auto"/>
            <w:vAlign w:val="center"/>
          </w:tcPr>
          <w:p w14:paraId="35C350D1" w14:textId="3BFA83E1"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排土堆场</w:t>
            </w:r>
          </w:p>
        </w:tc>
        <w:tc>
          <w:tcPr>
            <w:tcW w:w="3047" w:type="pct"/>
            <w:shd w:val="clear" w:color="auto" w:fill="auto"/>
            <w:vAlign w:val="center"/>
          </w:tcPr>
          <w:p w14:paraId="2100358C" w14:textId="14A22223"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由于露天开采，该项目设置废石、排土堆场</w:t>
            </w:r>
            <w:r w:rsidRPr="00297DDF">
              <w:rPr>
                <w:rFonts w:ascii="Times New Roman" w:hAnsi="Times New Roman" w:cs="Times New Roman"/>
              </w:rPr>
              <w:t>1</w:t>
            </w:r>
            <w:r w:rsidRPr="00297DDF">
              <w:rPr>
                <w:rFonts w:ascii="Times New Roman" w:hAnsi="Times New Roman" w:cs="Times New Roman"/>
              </w:rPr>
              <w:t>个，位于矿区东南侧。</w:t>
            </w:r>
          </w:p>
        </w:tc>
        <w:tc>
          <w:tcPr>
            <w:tcW w:w="1172" w:type="pct"/>
            <w:vAlign w:val="center"/>
          </w:tcPr>
          <w:p w14:paraId="20130A9C"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原有废石、排土堆场进行平整压实，本项目不再利用</w:t>
            </w:r>
          </w:p>
        </w:tc>
      </w:tr>
      <w:tr w:rsidR="00C938AD" w:rsidRPr="00297DDF" w14:paraId="58986422" w14:textId="77777777" w:rsidTr="00297DDF">
        <w:trPr>
          <w:cantSplit/>
          <w:jc w:val="center"/>
        </w:trPr>
        <w:tc>
          <w:tcPr>
            <w:tcW w:w="389" w:type="pct"/>
            <w:vMerge w:val="restart"/>
            <w:shd w:val="clear" w:color="auto" w:fill="auto"/>
            <w:vAlign w:val="center"/>
          </w:tcPr>
          <w:p w14:paraId="3DEB2216"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公用工程</w:t>
            </w:r>
          </w:p>
        </w:tc>
        <w:tc>
          <w:tcPr>
            <w:tcW w:w="392" w:type="pct"/>
            <w:shd w:val="clear" w:color="auto" w:fill="auto"/>
            <w:vAlign w:val="center"/>
          </w:tcPr>
          <w:p w14:paraId="0087883A"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供水</w:t>
            </w:r>
          </w:p>
        </w:tc>
        <w:tc>
          <w:tcPr>
            <w:tcW w:w="3047" w:type="pct"/>
            <w:shd w:val="clear" w:color="auto" w:fill="auto"/>
            <w:vAlign w:val="center"/>
          </w:tcPr>
          <w:p w14:paraId="6A81D190"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矿区及附近生产、生活用水主要来源于地下水。</w:t>
            </w:r>
          </w:p>
        </w:tc>
        <w:tc>
          <w:tcPr>
            <w:tcW w:w="1172" w:type="pct"/>
            <w:vAlign w:val="center"/>
          </w:tcPr>
          <w:p w14:paraId="11517FDF"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依托现有</w:t>
            </w:r>
          </w:p>
        </w:tc>
      </w:tr>
      <w:tr w:rsidR="00C938AD" w:rsidRPr="00297DDF" w14:paraId="5EDB321F" w14:textId="77777777" w:rsidTr="00297DDF">
        <w:trPr>
          <w:cantSplit/>
          <w:jc w:val="center"/>
        </w:trPr>
        <w:tc>
          <w:tcPr>
            <w:tcW w:w="389" w:type="pct"/>
            <w:vMerge/>
            <w:shd w:val="clear" w:color="auto" w:fill="auto"/>
            <w:vAlign w:val="center"/>
          </w:tcPr>
          <w:p w14:paraId="694647FD" w14:textId="77777777" w:rsidR="00DF3BA0" w:rsidRPr="00297DDF" w:rsidRDefault="00DF3BA0" w:rsidP="00317E60">
            <w:pPr>
              <w:pStyle w:val="aff"/>
              <w:rPr>
                <w:rFonts w:ascii="Times New Roman" w:hAnsi="Times New Roman" w:cs="Times New Roman"/>
              </w:rPr>
            </w:pPr>
          </w:p>
        </w:tc>
        <w:tc>
          <w:tcPr>
            <w:tcW w:w="392" w:type="pct"/>
            <w:shd w:val="clear" w:color="auto" w:fill="auto"/>
            <w:vAlign w:val="center"/>
          </w:tcPr>
          <w:p w14:paraId="4844945E"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排水</w:t>
            </w:r>
          </w:p>
        </w:tc>
        <w:tc>
          <w:tcPr>
            <w:tcW w:w="3047" w:type="pct"/>
            <w:shd w:val="clear" w:color="auto" w:fill="auto"/>
            <w:vAlign w:val="center"/>
          </w:tcPr>
          <w:p w14:paraId="09FCC3BA"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该项目矿山开采后，采场极易积存雨水，对采场入口要适当抬高利用地形自然排水，在采场地位置设置聚水坑，便于水从采面流入水坑，然后采用潜水泵将水泵出，在出入采场的道路一侧开挖排水沟，将降水自然外排，各清扫平台开挖边沟，排土场上游及其两侧开挖截水沟，下游砌筑挡土墙。工业场地设置旱厕，定期清运，员工洗漱废水经集水池处理后用于场地降尘。</w:t>
            </w:r>
          </w:p>
        </w:tc>
        <w:tc>
          <w:tcPr>
            <w:tcW w:w="1172" w:type="pct"/>
            <w:vAlign w:val="center"/>
          </w:tcPr>
          <w:p w14:paraId="40ED676D"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原有排水沟已经废弃，本项目设计在采场周边开采境界以外</w:t>
            </w:r>
            <w:r w:rsidRPr="00297DDF">
              <w:rPr>
                <w:rFonts w:ascii="Times New Roman" w:hAnsi="Times New Roman" w:cs="Times New Roman"/>
              </w:rPr>
              <w:t>2.0m</w:t>
            </w:r>
            <w:r w:rsidRPr="00297DDF">
              <w:rPr>
                <w:rFonts w:ascii="Times New Roman" w:hAnsi="Times New Roman" w:cs="Times New Roman"/>
              </w:rPr>
              <w:t>的位置，根据地形条件设置</w:t>
            </w:r>
            <w:proofErr w:type="gramStart"/>
            <w:r w:rsidRPr="00297DDF">
              <w:rPr>
                <w:rFonts w:ascii="Times New Roman" w:hAnsi="Times New Roman" w:cs="Times New Roman"/>
              </w:rPr>
              <w:t>截</w:t>
            </w:r>
            <w:proofErr w:type="gramEnd"/>
            <w:r w:rsidRPr="00297DDF">
              <w:rPr>
                <w:rFonts w:ascii="Times New Roman" w:hAnsi="Times New Roman" w:cs="Times New Roman"/>
              </w:rPr>
              <w:t>排水沟，将</w:t>
            </w:r>
            <w:proofErr w:type="gramStart"/>
            <w:r w:rsidRPr="00297DDF">
              <w:rPr>
                <w:rFonts w:ascii="Times New Roman" w:hAnsi="Times New Roman" w:cs="Times New Roman"/>
              </w:rPr>
              <w:t>雨水排离采场</w:t>
            </w:r>
            <w:proofErr w:type="gramEnd"/>
            <w:r w:rsidRPr="00297DDF">
              <w:rPr>
                <w:rFonts w:ascii="Times New Roman" w:hAnsi="Times New Roman" w:cs="Times New Roman"/>
              </w:rPr>
              <w:t>。工业场地设置旱厕肥田；生活污水经化粪池处理后汇总至沉淀池用于场地降尘。</w:t>
            </w:r>
          </w:p>
        </w:tc>
      </w:tr>
      <w:tr w:rsidR="00C938AD" w:rsidRPr="00297DDF" w14:paraId="2319B0DD" w14:textId="77777777" w:rsidTr="00297DDF">
        <w:trPr>
          <w:cantSplit/>
          <w:jc w:val="center"/>
        </w:trPr>
        <w:tc>
          <w:tcPr>
            <w:tcW w:w="389" w:type="pct"/>
            <w:vMerge/>
            <w:shd w:val="clear" w:color="auto" w:fill="auto"/>
            <w:vAlign w:val="center"/>
          </w:tcPr>
          <w:p w14:paraId="1A1EB6E4" w14:textId="77777777" w:rsidR="00DF3BA0" w:rsidRPr="00297DDF" w:rsidRDefault="00DF3BA0" w:rsidP="00317E60">
            <w:pPr>
              <w:pStyle w:val="aff"/>
              <w:rPr>
                <w:rFonts w:ascii="Times New Roman" w:hAnsi="Times New Roman" w:cs="Times New Roman"/>
              </w:rPr>
            </w:pPr>
          </w:p>
        </w:tc>
        <w:tc>
          <w:tcPr>
            <w:tcW w:w="392" w:type="pct"/>
            <w:shd w:val="clear" w:color="auto" w:fill="auto"/>
            <w:vAlign w:val="center"/>
          </w:tcPr>
          <w:p w14:paraId="275B0453"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供电</w:t>
            </w:r>
          </w:p>
        </w:tc>
        <w:tc>
          <w:tcPr>
            <w:tcW w:w="3047" w:type="pct"/>
            <w:shd w:val="clear" w:color="auto" w:fill="auto"/>
            <w:vAlign w:val="center"/>
          </w:tcPr>
          <w:p w14:paraId="69C1A02B"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供电引自矿区变电器线路，可供矿区生产、生活和照明用电。</w:t>
            </w:r>
          </w:p>
        </w:tc>
        <w:tc>
          <w:tcPr>
            <w:tcW w:w="1172" w:type="pct"/>
            <w:vMerge w:val="restart"/>
            <w:vAlign w:val="center"/>
          </w:tcPr>
          <w:p w14:paraId="442A7E6B"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依托现有，扩建道路</w:t>
            </w:r>
            <w:r w:rsidRPr="00297DDF">
              <w:rPr>
                <w:rFonts w:ascii="Times New Roman" w:hAnsi="Times New Roman" w:cs="Times New Roman"/>
              </w:rPr>
              <w:t>1500m</w:t>
            </w:r>
            <w:r w:rsidRPr="00297DDF">
              <w:rPr>
                <w:rFonts w:ascii="Times New Roman" w:hAnsi="Times New Roman" w:cs="Times New Roman"/>
              </w:rPr>
              <w:t>，新修连接</w:t>
            </w:r>
            <w:r w:rsidRPr="00297DDF">
              <w:rPr>
                <w:rFonts w:ascii="Times New Roman" w:hAnsi="Times New Roman" w:cs="Times New Roman"/>
              </w:rPr>
              <w:t>+500</w:t>
            </w:r>
            <w:r w:rsidRPr="00297DDF">
              <w:rPr>
                <w:rFonts w:ascii="Times New Roman" w:hAnsi="Times New Roman" w:cs="Times New Roman"/>
              </w:rPr>
              <w:t>平台道路</w:t>
            </w:r>
            <w:r w:rsidRPr="00297DDF">
              <w:rPr>
                <w:rFonts w:ascii="Times New Roman" w:hAnsi="Times New Roman" w:cs="Times New Roman"/>
              </w:rPr>
              <w:t>960m</w:t>
            </w:r>
          </w:p>
        </w:tc>
      </w:tr>
      <w:tr w:rsidR="00C938AD" w:rsidRPr="00297DDF" w14:paraId="5139047C" w14:textId="77777777" w:rsidTr="00297DDF">
        <w:trPr>
          <w:cantSplit/>
          <w:jc w:val="center"/>
        </w:trPr>
        <w:tc>
          <w:tcPr>
            <w:tcW w:w="389" w:type="pct"/>
            <w:vMerge/>
            <w:shd w:val="clear" w:color="auto" w:fill="auto"/>
            <w:vAlign w:val="center"/>
          </w:tcPr>
          <w:p w14:paraId="2BA2C835" w14:textId="77777777" w:rsidR="00DF3BA0" w:rsidRPr="00297DDF" w:rsidRDefault="00DF3BA0" w:rsidP="00317E60">
            <w:pPr>
              <w:pStyle w:val="aff"/>
              <w:rPr>
                <w:rFonts w:ascii="Times New Roman" w:hAnsi="Times New Roman" w:cs="Times New Roman"/>
              </w:rPr>
            </w:pPr>
          </w:p>
        </w:tc>
        <w:tc>
          <w:tcPr>
            <w:tcW w:w="392" w:type="pct"/>
            <w:shd w:val="clear" w:color="auto" w:fill="auto"/>
            <w:vAlign w:val="center"/>
          </w:tcPr>
          <w:p w14:paraId="1EE75C64"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交通</w:t>
            </w:r>
          </w:p>
        </w:tc>
        <w:tc>
          <w:tcPr>
            <w:tcW w:w="3047" w:type="pct"/>
            <w:shd w:val="clear" w:color="auto" w:fill="auto"/>
            <w:vAlign w:val="center"/>
          </w:tcPr>
          <w:p w14:paraId="2CD03894"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该项目开采区东侧与</w:t>
            </w:r>
            <w:r w:rsidRPr="00297DDF">
              <w:rPr>
                <w:rFonts w:ascii="Times New Roman" w:hAnsi="Times New Roman" w:cs="Times New Roman"/>
              </w:rPr>
              <w:t>S220</w:t>
            </w:r>
            <w:r w:rsidRPr="00297DDF">
              <w:rPr>
                <w:rFonts w:ascii="Times New Roman" w:hAnsi="Times New Roman" w:cs="Times New Roman"/>
              </w:rPr>
              <w:t>省道相联，可直接利用现有道路。</w:t>
            </w:r>
          </w:p>
        </w:tc>
        <w:tc>
          <w:tcPr>
            <w:tcW w:w="1172" w:type="pct"/>
            <w:vMerge/>
            <w:vAlign w:val="center"/>
          </w:tcPr>
          <w:p w14:paraId="4B174DD9" w14:textId="77777777" w:rsidR="00DF3BA0" w:rsidRPr="00297DDF" w:rsidRDefault="00DF3BA0" w:rsidP="00317E60">
            <w:pPr>
              <w:pStyle w:val="aff"/>
              <w:rPr>
                <w:rFonts w:ascii="Times New Roman" w:hAnsi="Times New Roman" w:cs="Times New Roman"/>
              </w:rPr>
            </w:pPr>
          </w:p>
        </w:tc>
      </w:tr>
      <w:tr w:rsidR="00C938AD" w:rsidRPr="00297DDF" w14:paraId="429158B6" w14:textId="77777777" w:rsidTr="00297DDF">
        <w:trPr>
          <w:cantSplit/>
          <w:jc w:val="center"/>
        </w:trPr>
        <w:tc>
          <w:tcPr>
            <w:tcW w:w="389" w:type="pct"/>
            <w:vMerge w:val="restart"/>
            <w:shd w:val="clear" w:color="auto" w:fill="auto"/>
            <w:vAlign w:val="center"/>
          </w:tcPr>
          <w:p w14:paraId="136DF193"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环保工程</w:t>
            </w:r>
          </w:p>
        </w:tc>
        <w:tc>
          <w:tcPr>
            <w:tcW w:w="392" w:type="pct"/>
            <w:shd w:val="clear" w:color="auto" w:fill="auto"/>
            <w:vAlign w:val="center"/>
          </w:tcPr>
          <w:p w14:paraId="7BD956C9"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废气</w:t>
            </w:r>
          </w:p>
        </w:tc>
        <w:tc>
          <w:tcPr>
            <w:tcW w:w="3047" w:type="pct"/>
            <w:shd w:val="clear" w:color="auto" w:fill="auto"/>
            <w:vAlign w:val="center"/>
          </w:tcPr>
          <w:p w14:paraId="5BE35AAC"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扬尘控制采用湿式凿岩，对道路进行洒水控制。对破碎加工区密闭，设置袋式除尘器及</w:t>
            </w:r>
            <w:r w:rsidRPr="00297DDF">
              <w:rPr>
                <w:rFonts w:ascii="Times New Roman" w:hAnsi="Times New Roman" w:cs="Times New Roman"/>
              </w:rPr>
              <w:t>15m</w:t>
            </w:r>
            <w:r w:rsidRPr="00297DDF">
              <w:rPr>
                <w:rFonts w:ascii="Times New Roman" w:hAnsi="Times New Roman" w:cs="Times New Roman"/>
              </w:rPr>
              <w:t>高排气筒，进料口、落料口设洒水喷淋装置降尘，传送带密闭；堆场设置防风</w:t>
            </w:r>
            <w:proofErr w:type="gramStart"/>
            <w:r w:rsidRPr="00297DDF">
              <w:rPr>
                <w:rFonts w:ascii="Times New Roman" w:hAnsi="Times New Roman" w:cs="Times New Roman"/>
              </w:rPr>
              <w:t>抑</w:t>
            </w:r>
            <w:proofErr w:type="gramEnd"/>
            <w:r w:rsidRPr="00297DDF">
              <w:rPr>
                <w:rFonts w:ascii="Times New Roman" w:hAnsi="Times New Roman" w:cs="Times New Roman"/>
              </w:rPr>
              <w:t>尘网等降尘措施；场地硬化、绿化；洒水车对运输道路进行洒水降尘。</w:t>
            </w:r>
          </w:p>
        </w:tc>
        <w:tc>
          <w:tcPr>
            <w:tcW w:w="1172" w:type="pct"/>
            <w:vAlign w:val="center"/>
          </w:tcPr>
          <w:p w14:paraId="3C1A69DA"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原有破碎加工区设施全部拆除，本项目不再利用，同时本项目扬尘控制采用湿式凿岩，对道路进行洒水控制。堆场设置防尘网等降尘措施；场地硬化、绿化；洒水车对运输道路进行洒水降尘。</w:t>
            </w:r>
          </w:p>
        </w:tc>
      </w:tr>
      <w:tr w:rsidR="00C938AD" w:rsidRPr="00297DDF" w14:paraId="7DDB6F23" w14:textId="77777777" w:rsidTr="00297DDF">
        <w:trPr>
          <w:cantSplit/>
          <w:jc w:val="center"/>
        </w:trPr>
        <w:tc>
          <w:tcPr>
            <w:tcW w:w="389" w:type="pct"/>
            <w:vMerge/>
            <w:shd w:val="clear" w:color="auto" w:fill="auto"/>
            <w:vAlign w:val="center"/>
          </w:tcPr>
          <w:p w14:paraId="5D050EE3" w14:textId="77777777" w:rsidR="00DF3BA0" w:rsidRPr="00297DDF" w:rsidRDefault="00DF3BA0" w:rsidP="00317E60">
            <w:pPr>
              <w:pStyle w:val="aff"/>
              <w:rPr>
                <w:rFonts w:ascii="Times New Roman" w:hAnsi="Times New Roman" w:cs="Times New Roman"/>
              </w:rPr>
            </w:pPr>
          </w:p>
        </w:tc>
        <w:tc>
          <w:tcPr>
            <w:tcW w:w="392" w:type="pct"/>
            <w:shd w:val="clear" w:color="auto" w:fill="auto"/>
            <w:vAlign w:val="center"/>
          </w:tcPr>
          <w:p w14:paraId="26191353"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废水</w:t>
            </w:r>
          </w:p>
        </w:tc>
        <w:tc>
          <w:tcPr>
            <w:tcW w:w="3047" w:type="pct"/>
            <w:shd w:val="clear" w:color="auto" w:fill="auto"/>
            <w:vAlign w:val="center"/>
          </w:tcPr>
          <w:p w14:paraId="2B073078"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生活污水收集之后用于场地洒水降尘，生产废水循环利用不外排。</w:t>
            </w:r>
          </w:p>
        </w:tc>
        <w:tc>
          <w:tcPr>
            <w:tcW w:w="1172" w:type="pct"/>
            <w:vAlign w:val="center"/>
          </w:tcPr>
          <w:p w14:paraId="4DDB32DA"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生活污水收集之后用于场地洒水降尘，生产废水循环利用不外排。</w:t>
            </w:r>
          </w:p>
        </w:tc>
      </w:tr>
      <w:tr w:rsidR="00C938AD" w:rsidRPr="00297DDF" w14:paraId="312693A6" w14:textId="77777777" w:rsidTr="00297DDF">
        <w:trPr>
          <w:cantSplit/>
          <w:jc w:val="center"/>
        </w:trPr>
        <w:tc>
          <w:tcPr>
            <w:tcW w:w="389" w:type="pct"/>
            <w:vMerge/>
            <w:shd w:val="clear" w:color="auto" w:fill="auto"/>
            <w:vAlign w:val="center"/>
          </w:tcPr>
          <w:p w14:paraId="66439C8E" w14:textId="77777777" w:rsidR="00DF3BA0" w:rsidRPr="00297DDF" w:rsidRDefault="00DF3BA0" w:rsidP="00317E60">
            <w:pPr>
              <w:pStyle w:val="aff"/>
              <w:rPr>
                <w:rFonts w:ascii="Times New Roman" w:hAnsi="Times New Roman" w:cs="Times New Roman"/>
              </w:rPr>
            </w:pPr>
          </w:p>
        </w:tc>
        <w:tc>
          <w:tcPr>
            <w:tcW w:w="392" w:type="pct"/>
            <w:shd w:val="clear" w:color="auto" w:fill="auto"/>
            <w:vAlign w:val="center"/>
          </w:tcPr>
          <w:p w14:paraId="4AD9E3C1"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噪声</w:t>
            </w:r>
          </w:p>
        </w:tc>
        <w:tc>
          <w:tcPr>
            <w:tcW w:w="3047" w:type="pct"/>
            <w:shd w:val="clear" w:color="auto" w:fill="auto"/>
            <w:vAlign w:val="center"/>
          </w:tcPr>
          <w:p w14:paraId="240339BB" w14:textId="77777777" w:rsidR="00DF3BA0" w:rsidRPr="00297DDF" w:rsidRDefault="00DF3BA0" w:rsidP="00317E60">
            <w:pPr>
              <w:pStyle w:val="aff"/>
              <w:rPr>
                <w:rFonts w:ascii="Times New Roman" w:hAnsi="Times New Roman" w:cs="Times New Roman"/>
              </w:rPr>
            </w:pPr>
            <w:bookmarkStart w:id="73" w:name="_Hlk536095364"/>
            <w:proofErr w:type="gramStart"/>
            <w:r w:rsidRPr="00297DDF">
              <w:rPr>
                <w:rFonts w:ascii="Times New Roman" w:hAnsi="Times New Roman" w:cs="Times New Roman"/>
              </w:rPr>
              <w:t>设基础</w:t>
            </w:r>
            <w:proofErr w:type="gramEnd"/>
            <w:r w:rsidRPr="00297DDF">
              <w:rPr>
                <w:rFonts w:ascii="Times New Roman" w:hAnsi="Times New Roman" w:cs="Times New Roman"/>
              </w:rPr>
              <w:t>减振，安装消声设备、合理布局、绿化降噪。</w:t>
            </w:r>
            <w:bookmarkEnd w:id="73"/>
          </w:p>
        </w:tc>
        <w:tc>
          <w:tcPr>
            <w:tcW w:w="1172" w:type="pct"/>
            <w:vAlign w:val="center"/>
          </w:tcPr>
          <w:p w14:paraId="2ACA93E0" w14:textId="77777777" w:rsidR="00DF3BA0" w:rsidRPr="00297DDF" w:rsidRDefault="00DF3BA0" w:rsidP="00317E60">
            <w:pPr>
              <w:pStyle w:val="aff"/>
              <w:rPr>
                <w:rFonts w:ascii="Times New Roman" w:hAnsi="Times New Roman" w:cs="Times New Roman"/>
              </w:rPr>
            </w:pPr>
            <w:proofErr w:type="gramStart"/>
            <w:r w:rsidRPr="00297DDF">
              <w:rPr>
                <w:rFonts w:ascii="Times New Roman" w:hAnsi="Times New Roman" w:cs="Times New Roman"/>
              </w:rPr>
              <w:t>设基础</w:t>
            </w:r>
            <w:proofErr w:type="gramEnd"/>
            <w:r w:rsidRPr="00297DDF">
              <w:rPr>
                <w:rFonts w:ascii="Times New Roman" w:hAnsi="Times New Roman" w:cs="Times New Roman"/>
              </w:rPr>
              <w:t>减振，安装消声设备、合理布局、绿化降噪。</w:t>
            </w:r>
          </w:p>
        </w:tc>
      </w:tr>
      <w:tr w:rsidR="00C938AD" w:rsidRPr="00297DDF" w14:paraId="53749F5F" w14:textId="77777777" w:rsidTr="00297DDF">
        <w:trPr>
          <w:cantSplit/>
          <w:jc w:val="center"/>
        </w:trPr>
        <w:tc>
          <w:tcPr>
            <w:tcW w:w="389" w:type="pct"/>
            <w:vMerge/>
            <w:shd w:val="clear" w:color="auto" w:fill="auto"/>
            <w:vAlign w:val="center"/>
          </w:tcPr>
          <w:p w14:paraId="2FFB1109" w14:textId="77777777" w:rsidR="00DF3BA0" w:rsidRPr="00297DDF" w:rsidRDefault="00DF3BA0" w:rsidP="00317E60">
            <w:pPr>
              <w:pStyle w:val="aff"/>
              <w:rPr>
                <w:rFonts w:ascii="Times New Roman" w:hAnsi="Times New Roman" w:cs="Times New Roman"/>
              </w:rPr>
            </w:pPr>
          </w:p>
        </w:tc>
        <w:tc>
          <w:tcPr>
            <w:tcW w:w="392" w:type="pct"/>
            <w:shd w:val="clear" w:color="auto" w:fill="auto"/>
            <w:vAlign w:val="center"/>
          </w:tcPr>
          <w:p w14:paraId="4DC955EB"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固体废物</w:t>
            </w:r>
          </w:p>
        </w:tc>
        <w:tc>
          <w:tcPr>
            <w:tcW w:w="3047" w:type="pct"/>
            <w:shd w:val="clear" w:color="auto" w:fill="auto"/>
            <w:vAlign w:val="center"/>
          </w:tcPr>
          <w:p w14:paraId="3FF1F56F"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为减少废石占地对环境及生态的影响，充分利用自然资源，搭配开采、综合利用，减少剥离。在生产过程中，对废石、表土进行综合利用好，用于闭矿期矿区的生态恢复。生活垃圾运往垃圾中转站处理。</w:t>
            </w:r>
          </w:p>
        </w:tc>
        <w:tc>
          <w:tcPr>
            <w:tcW w:w="1172" w:type="pct"/>
            <w:vAlign w:val="center"/>
          </w:tcPr>
          <w:p w14:paraId="40616DBA" w14:textId="77777777" w:rsidR="00DF3BA0" w:rsidRPr="00297DDF" w:rsidRDefault="00DF3BA0" w:rsidP="00317E60">
            <w:pPr>
              <w:pStyle w:val="aff"/>
              <w:rPr>
                <w:rFonts w:ascii="Times New Roman" w:hAnsi="Times New Roman" w:cs="Times New Roman"/>
              </w:rPr>
            </w:pPr>
            <w:r w:rsidRPr="00297DDF">
              <w:rPr>
                <w:rFonts w:ascii="Times New Roman" w:hAnsi="Times New Roman" w:cs="Times New Roman"/>
              </w:rPr>
              <w:t>在生产过程中，表土废石暂存于排土场，后期用于闭矿期矿区的生态恢复及回填凹陷采坑。生活垃圾运往垃圾中转站处理。</w:t>
            </w:r>
          </w:p>
        </w:tc>
      </w:tr>
    </w:tbl>
    <w:bookmarkEnd w:id="72"/>
    <w:p w14:paraId="30417BD6" w14:textId="7B71FF35" w:rsidR="00AA5145" w:rsidRPr="00C938AD" w:rsidRDefault="00AA5145" w:rsidP="00AA5145">
      <w:pPr>
        <w:adjustRightInd w:val="0"/>
        <w:snapToGrid w:val="0"/>
        <w:spacing w:line="240" w:lineRule="auto"/>
        <w:ind w:firstLineChars="0" w:firstLine="0"/>
        <w:jc w:val="center"/>
        <w:rPr>
          <w:rFonts w:eastAsia="黑体" w:hAnsi="黑体"/>
        </w:rPr>
      </w:pPr>
      <w:r w:rsidRPr="006C7501">
        <w:rPr>
          <w:rFonts w:eastAsia="黑体" w:hAnsi="黑体"/>
        </w:rPr>
        <w:t>表</w:t>
      </w:r>
      <w:r w:rsidRPr="006C7501">
        <w:rPr>
          <w:rFonts w:eastAsia="黑体" w:hint="eastAsia"/>
        </w:rPr>
        <w:t>3.1</w:t>
      </w:r>
      <w:r w:rsidRPr="006C7501">
        <w:rPr>
          <w:rFonts w:eastAsia="黑体"/>
        </w:rPr>
        <w:t>-</w:t>
      </w:r>
      <w:r w:rsidRPr="006C7501">
        <w:rPr>
          <w:rFonts w:eastAsia="黑体" w:hint="eastAsia"/>
        </w:rPr>
        <w:t>3</w:t>
      </w:r>
      <w:r w:rsidRPr="006C7501">
        <w:rPr>
          <w:rFonts w:eastAsia="黑体" w:hint="eastAsia"/>
        </w:rPr>
        <w:t>整合前驻马店市</w:t>
      </w:r>
      <w:proofErr w:type="gramStart"/>
      <w:r w:rsidRPr="006C7501">
        <w:rPr>
          <w:rFonts w:eastAsia="黑体" w:hint="eastAsia"/>
        </w:rPr>
        <w:t>驿</w:t>
      </w:r>
      <w:proofErr w:type="gramEnd"/>
      <w:r w:rsidRPr="006C7501">
        <w:rPr>
          <w:rFonts w:eastAsia="黑体" w:hint="eastAsia"/>
        </w:rPr>
        <w:t>城区宏运石料厂项目组成</w:t>
      </w:r>
      <w:r w:rsidRPr="006C7501">
        <w:rPr>
          <w:rFonts w:eastAsia="黑体" w:hAnsi="黑体" w:hint="eastAsia"/>
        </w:rPr>
        <w:t>工程组成</w:t>
      </w:r>
      <w:r w:rsidRPr="006C7501">
        <w:rPr>
          <w:rFonts w:eastAsia="黑体" w:hAnsi="黑体"/>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678"/>
        <w:gridCol w:w="684"/>
        <w:gridCol w:w="5314"/>
        <w:gridCol w:w="2044"/>
      </w:tblGrid>
      <w:tr w:rsidR="00AA5145" w:rsidRPr="00297DDF" w14:paraId="25525CEB" w14:textId="77777777" w:rsidTr="00BD1C8B">
        <w:trPr>
          <w:cantSplit/>
          <w:jc w:val="center"/>
        </w:trPr>
        <w:tc>
          <w:tcPr>
            <w:tcW w:w="389" w:type="pct"/>
            <w:shd w:val="clear" w:color="auto" w:fill="auto"/>
            <w:vAlign w:val="center"/>
          </w:tcPr>
          <w:p w14:paraId="5B3899AE"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工程类别</w:t>
            </w:r>
          </w:p>
        </w:tc>
        <w:tc>
          <w:tcPr>
            <w:tcW w:w="392" w:type="pct"/>
            <w:shd w:val="clear" w:color="auto" w:fill="auto"/>
            <w:vAlign w:val="center"/>
          </w:tcPr>
          <w:p w14:paraId="256C995B"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单项工程</w:t>
            </w:r>
          </w:p>
        </w:tc>
        <w:tc>
          <w:tcPr>
            <w:tcW w:w="3047" w:type="pct"/>
            <w:shd w:val="clear" w:color="auto" w:fill="auto"/>
            <w:vAlign w:val="center"/>
          </w:tcPr>
          <w:p w14:paraId="5243F62C"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工程内容</w:t>
            </w:r>
          </w:p>
        </w:tc>
        <w:tc>
          <w:tcPr>
            <w:tcW w:w="1172" w:type="pct"/>
            <w:vAlign w:val="center"/>
          </w:tcPr>
          <w:p w14:paraId="1447E615"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本项目</w:t>
            </w:r>
          </w:p>
        </w:tc>
      </w:tr>
      <w:tr w:rsidR="00AA5145" w:rsidRPr="00297DDF" w14:paraId="6763B1CC" w14:textId="77777777" w:rsidTr="00BD1C8B">
        <w:trPr>
          <w:cantSplit/>
          <w:jc w:val="center"/>
        </w:trPr>
        <w:tc>
          <w:tcPr>
            <w:tcW w:w="389" w:type="pct"/>
            <w:vMerge w:val="restart"/>
            <w:shd w:val="clear" w:color="auto" w:fill="auto"/>
            <w:vAlign w:val="center"/>
          </w:tcPr>
          <w:p w14:paraId="63C35A11"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主体工程</w:t>
            </w:r>
          </w:p>
        </w:tc>
        <w:tc>
          <w:tcPr>
            <w:tcW w:w="392" w:type="pct"/>
            <w:vMerge w:val="restart"/>
            <w:shd w:val="clear" w:color="auto" w:fill="auto"/>
            <w:vAlign w:val="center"/>
          </w:tcPr>
          <w:p w14:paraId="58632EF1"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采矿工程</w:t>
            </w:r>
          </w:p>
        </w:tc>
        <w:tc>
          <w:tcPr>
            <w:tcW w:w="3047" w:type="pct"/>
            <w:shd w:val="clear" w:color="auto" w:fill="auto"/>
            <w:vAlign w:val="center"/>
          </w:tcPr>
          <w:p w14:paraId="700CBB8C" w14:textId="3E9D60E3"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开采规模：</w:t>
            </w:r>
            <w:r w:rsidR="007242B8">
              <w:rPr>
                <w:rFonts w:ascii="Times New Roman" w:hAnsi="Times New Roman" w:cs="Times New Roman" w:hint="eastAsia"/>
              </w:rPr>
              <w:t>1</w:t>
            </w:r>
            <w:r w:rsidRPr="00297DDF">
              <w:rPr>
                <w:rFonts w:ascii="Times New Roman" w:hAnsi="Times New Roman" w:cs="Times New Roman"/>
              </w:rPr>
              <w:t>0</w:t>
            </w:r>
            <w:r w:rsidRPr="00297DDF">
              <w:rPr>
                <w:rFonts w:ascii="Times New Roman" w:hAnsi="Times New Roman" w:cs="Times New Roman"/>
              </w:rPr>
              <w:t>万吨</w:t>
            </w:r>
            <w:r w:rsidRPr="00297DDF">
              <w:rPr>
                <w:rFonts w:ascii="Times New Roman" w:hAnsi="Times New Roman" w:cs="Times New Roman"/>
              </w:rPr>
              <w:t>/</w:t>
            </w:r>
            <w:r w:rsidRPr="00297DDF">
              <w:rPr>
                <w:rFonts w:ascii="Times New Roman" w:hAnsi="Times New Roman" w:cs="Times New Roman"/>
              </w:rPr>
              <w:t>年，服务年限</w:t>
            </w:r>
            <w:r w:rsidR="007242B8">
              <w:rPr>
                <w:rFonts w:ascii="Times New Roman" w:hAnsi="Times New Roman" w:cs="Times New Roman" w:hint="eastAsia"/>
              </w:rPr>
              <w:t>35.2</w:t>
            </w:r>
            <w:r w:rsidRPr="00297DDF">
              <w:rPr>
                <w:rFonts w:ascii="Times New Roman" w:hAnsi="Times New Roman" w:cs="Times New Roman"/>
              </w:rPr>
              <w:t>年</w:t>
            </w:r>
          </w:p>
        </w:tc>
        <w:tc>
          <w:tcPr>
            <w:tcW w:w="1172" w:type="pct"/>
            <w:vMerge w:val="restart"/>
            <w:vAlign w:val="center"/>
          </w:tcPr>
          <w:p w14:paraId="3383EE8F" w14:textId="68BA510F" w:rsidR="00AA5145" w:rsidRPr="00297DDF" w:rsidRDefault="007242B8" w:rsidP="00BD1C8B">
            <w:pPr>
              <w:pStyle w:val="aff"/>
              <w:rPr>
                <w:rFonts w:ascii="Times New Roman" w:hAnsi="Times New Roman" w:cs="Times New Roman"/>
              </w:rPr>
            </w:pPr>
            <w:r>
              <w:rPr>
                <w:rFonts w:ascii="Times New Roman" w:hAnsi="Times New Roman" w:cs="Times New Roman" w:hint="eastAsia"/>
              </w:rPr>
              <w:t>/</w:t>
            </w:r>
          </w:p>
        </w:tc>
      </w:tr>
      <w:tr w:rsidR="00AA5145" w:rsidRPr="00297DDF" w14:paraId="4BBB99DF" w14:textId="77777777" w:rsidTr="00BD1C8B">
        <w:trPr>
          <w:cantSplit/>
          <w:jc w:val="center"/>
        </w:trPr>
        <w:tc>
          <w:tcPr>
            <w:tcW w:w="389" w:type="pct"/>
            <w:vMerge/>
            <w:shd w:val="clear" w:color="auto" w:fill="auto"/>
            <w:vAlign w:val="center"/>
          </w:tcPr>
          <w:p w14:paraId="76A8D4BE" w14:textId="77777777" w:rsidR="00AA5145" w:rsidRPr="00297DDF" w:rsidRDefault="00AA5145" w:rsidP="00BD1C8B">
            <w:pPr>
              <w:pStyle w:val="aff"/>
              <w:rPr>
                <w:rFonts w:ascii="Times New Roman" w:hAnsi="Times New Roman" w:cs="Times New Roman"/>
              </w:rPr>
            </w:pPr>
          </w:p>
        </w:tc>
        <w:tc>
          <w:tcPr>
            <w:tcW w:w="392" w:type="pct"/>
            <w:vMerge/>
            <w:shd w:val="clear" w:color="auto" w:fill="auto"/>
            <w:vAlign w:val="center"/>
          </w:tcPr>
          <w:p w14:paraId="45F683F8" w14:textId="77777777" w:rsidR="00AA5145" w:rsidRPr="00297DDF" w:rsidRDefault="00AA5145" w:rsidP="00BD1C8B">
            <w:pPr>
              <w:pStyle w:val="aff"/>
              <w:rPr>
                <w:rFonts w:ascii="Times New Roman" w:hAnsi="Times New Roman" w:cs="Times New Roman"/>
              </w:rPr>
            </w:pPr>
          </w:p>
        </w:tc>
        <w:tc>
          <w:tcPr>
            <w:tcW w:w="3047" w:type="pct"/>
            <w:shd w:val="clear" w:color="auto" w:fill="auto"/>
            <w:vAlign w:val="center"/>
          </w:tcPr>
          <w:p w14:paraId="1D31A02E"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开采方式：露天开采，公路开拓，汽车运输方案</w:t>
            </w:r>
          </w:p>
        </w:tc>
        <w:tc>
          <w:tcPr>
            <w:tcW w:w="1172" w:type="pct"/>
            <w:vMerge/>
            <w:vAlign w:val="center"/>
          </w:tcPr>
          <w:p w14:paraId="13DACB72" w14:textId="77777777" w:rsidR="00AA5145" w:rsidRPr="00297DDF" w:rsidRDefault="00AA5145" w:rsidP="00BD1C8B">
            <w:pPr>
              <w:pStyle w:val="aff"/>
              <w:rPr>
                <w:rFonts w:ascii="Times New Roman" w:hAnsi="Times New Roman" w:cs="Times New Roman"/>
              </w:rPr>
            </w:pPr>
          </w:p>
        </w:tc>
      </w:tr>
      <w:tr w:rsidR="00AA5145" w:rsidRPr="00297DDF" w14:paraId="40E43664" w14:textId="77777777" w:rsidTr="00BD1C8B">
        <w:trPr>
          <w:cantSplit/>
          <w:jc w:val="center"/>
        </w:trPr>
        <w:tc>
          <w:tcPr>
            <w:tcW w:w="389" w:type="pct"/>
            <w:vMerge/>
            <w:shd w:val="clear" w:color="auto" w:fill="auto"/>
            <w:vAlign w:val="center"/>
          </w:tcPr>
          <w:p w14:paraId="770AE875" w14:textId="77777777" w:rsidR="00AA5145" w:rsidRPr="00297DDF" w:rsidRDefault="00AA5145" w:rsidP="00BD1C8B">
            <w:pPr>
              <w:pStyle w:val="aff"/>
              <w:rPr>
                <w:rFonts w:ascii="Times New Roman" w:hAnsi="Times New Roman" w:cs="Times New Roman"/>
              </w:rPr>
            </w:pPr>
          </w:p>
        </w:tc>
        <w:tc>
          <w:tcPr>
            <w:tcW w:w="392" w:type="pct"/>
            <w:vMerge/>
            <w:shd w:val="clear" w:color="auto" w:fill="auto"/>
            <w:vAlign w:val="center"/>
          </w:tcPr>
          <w:p w14:paraId="7884D8A5" w14:textId="77777777" w:rsidR="00AA5145" w:rsidRPr="00297DDF" w:rsidRDefault="00AA5145" w:rsidP="00BD1C8B">
            <w:pPr>
              <w:pStyle w:val="aff"/>
              <w:rPr>
                <w:rFonts w:ascii="Times New Roman" w:hAnsi="Times New Roman" w:cs="Times New Roman"/>
              </w:rPr>
            </w:pPr>
          </w:p>
        </w:tc>
        <w:tc>
          <w:tcPr>
            <w:tcW w:w="3047" w:type="pct"/>
            <w:shd w:val="clear" w:color="auto" w:fill="auto"/>
            <w:vAlign w:val="center"/>
          </w:tcPr>
          <w:p w14:paraId="1B7833CB"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矿山采用自上而下台阶式开采</w:t>
            </w:r>
          </w:p>
        </w:tc>
        <w:tc>
          <w:tcPr>
            <w:tcW w:w="1172" w:type="pct"/>
            <w:vMerge/>
            <w:vAlign w:val="center"/>
          </w:tcPr>
          <w:p w14:paraId="6D67C457" w14:textId="77777777" w:rsidR="00AA5145" w:rsidRPr="00297DDF" w:rsidRDefault="00AA5145" w:rsidP="00BD1C8B">
            <w:pPr>
              <w:pStyle w:val="aff"/>
              <w:rPr>
                <w:rFonts w:ascii="Times New Roman" w:hAnsi="Times New Roman" w:cs="Times New Roman"/>
              </w:rPr>
            </w:pPr>
          </w:p>
        </w:tc>
      </w:tr>
      <w:tr w:rsidR="00AA5145" w:rsidRPr="00297DDF" w14:paraId="123F2006" w14:textId="77777777" w:rsidTr="00BD1C8B">
        <w:trPr>
          <w:cantSplit/>
          <w:jc w:val="center"/>
        </w:trPr>
        <w:tc>
          <w:tcPr>
            <w:tcW w:w="389" w:type="pct"/>
            <w:vMerge/>
            <w:shd w:val="clear" w:color="auto" w:fill="auto"/>
            <w:vAlign w:val="center"/>
          </w:tcPr>
          <w:p w14:paraId="6BD9F22B" w14:textId="77777777" w:rsidR="00AA5145" w:rsidRPr="00297DDF" w:rsidRDefault="00AA5145" w:rsidP="00BD1C8B">
            <w:pPr>
              <w:pStyle w:val="aff"/>
              <w:rPr>
                <w:rFonts w:ascii="Times New Roman" w:hAnsi="Times New Roman" w:cs="Times New Roman"/>
              </w:rPr>
            </w:pPr>
          </w:p>
        </w:tc>
        <w:tc>
          <w:tcPr>
            <w:tcW w:w="392" w:type="pct"/>
            <w:shd w:val="clear" w:color="auto" w:fill="auto"/>
            <w:vAlign w:val="center"/>
          </w:tcPr>
          <w:p w14:paraId="232C4100"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石子加工工程</w:t>
            </w:r>
          </w:p>
        </w:tc>
        <w:tc>
          <w:tcPr>
            <w:tcW w:w="3047" w:type="pct"/>
            <w:shd w:val="clear" w:color="auto" w:fill="auto"/>
            <w:vAlign w:val="center"/>
          </w:tcPr>
          <w:p w14:paraId="73C66DB2" w14:textId="68002A8C"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露天开采的矿石直接经给料口进入颚式破碎机，经破碎后进入厢式破碎机，经输送皮带运至振动筛后，分选出不同规格产品，外运销售，加工规模为</w:t>
            </w:r>
            <w:r w:rsidR="007242B8">
              <w:rPr>
                <w:rFonts w:ascii="Times New Roman" w:hAnsi="Times New Roman" w:cs="Times New Roman"/>
              </w:rPr>
              <w:t>1</w:t>
            </w:r>
            <w:r w:rsidRPr="00297DDF">
              <w:rPr>
                <w:rFonts w:ascii="Times New Roman" w:hAnsi="Times New Roman" w:cs="Times New Roman"/>
              </w:rPr>
              <w:t>0</w:t>
            </w:r>
            <w:r w:rsidRPr="00297DDF">
              <w:rPr>
                <w:rFonts w:ascii="Times New Roman" w:hAnsi="Times New Roman" w:cs="Times New Roman"/>
              </w:rPr>
              <w:t>万吨</w:t>
            </w:r>
            <w:r w:rsidRPr="00297DDF">
              <w:rPr>
                <w:rFonts w:ascii="Times New Roman" w:hAnsi="Times New Roman" w:cs="Times New Roman"/>
              </w:rPr>
              <w:t>/</w:t>
            </w:r>
            <w:r w:rsidRPr="00297DDF">
              <w:rPr>
                <w:rFonts w:ascii="Times New Roman" w:hAnsi="Times New Roman" w:cs="Times New Roman"/>
              </w:rPr>
              <w:t>年。</w:t>
            </w:r>
          </w:p>
        </w:tc>
        <w:tc>
          <w:tcPr>
            <w:tcW w:w="1172" w:type="pct"/>
            <w:vAlign w:val="center"/>
          </w:tcPr>
          <w:p w14:paraId="1E6B378F"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原有石子加工工程设施进行拆除，本项目不利用原有石子加工工程</w:t>
            </w:r>
          </w:p>
        </w:tc>
      </w:tr>
      <w:tr w:rsidR="00AA5145" w:rsidRPr="00297DDF" w14:paraId="2CEBDD6D" w14:textId="77777777" w:rsidTr="00BD1C8B">
        <w:trPr>
          <w:cantSplit/>
          <w:trHeight w:val="1014"/>
          <w:jc w:val="center"/>
        </w:trPr>
        <w:tc>
          <w:tcPr>
            <w:tcW w:w="389" w:type="pct"/>
            <w:tcBorders>
              <w:top w:val="single" w:sz="4" w:space="0" w:color="000000"/>
            </w:tcBorders>
            <w:shd w:val="clear" w:color="auto" w:fill="auto"/>
            <w:vAlign w:val="center"/>
          </w:tcPr>
          <w:p w14:paraId="1ABC4D11"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辅助工程</w:t>
            </w:r>
          </w:p>
        </w:tc>
        <w:tc>
          <w:tcPr>
            <w:tcW w:w="392" w:type="pct"/>
            <w:tcBorders>
              <w:top w:val="single" w:sz="4" w:space="0" w:color="000000"/>
            </w:tcBorders>
            <w:shd w:val="clear" w:color="auto" w:fill="auto"/>
            <w:vAlign w:val="center"/>
          </w:tcPr>
          <w:p w14:paraId="44E53235"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排土堆场</w:t>
            </w:r>
          </w:p>
        </w:tc>
        <w:tc>
          <w:tcPr>
            <w:tcW w:w="3047" w:type="pct"/>
            <w:shd w:val="clear" w:color="auto" w:fill="auto"/>
            <w:vAlign w:val="center"/>
          </w:tcPr>
          <w:p w14:paraId="27C3FB77"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由于露天开采，该项目设置废石、排土堆场</w:t>
            </w:r>
            <w:r w:rsidRPr="00297DDF">
              <w:rPr>
                <w:rFonts w:ascii="Times New Roman" w:hAnsi="Times New Roman" w:cs="Times New Roman"/>
              </w:rPr>
              <w:t>1</w:t>
            </w:r>
            <w:r w:rsidRPr="00297DDF">
              <w:rPr>
                <w:rFonts w:ascii="Times New Roman" w:hAnsi="Times New Roman" w:cs="Times New Roman"/>
              </w:rPr>
              <w:t>个，位于矿区东南侧。</w:t>
            </w:r>
          </w:p>
        </w:tc>
        <w:tc>
          <w:tcPr>
            <w:tcW w:w="1172" w:type="pct"/>
            <w:vAlign w:val="center"/>
          </w:tcPr>
          <w:p w14:paraId="2492C066"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原有废石、排土堆场进行平整压实，本项目不再利用</w:t>
            </w:r>
          </w:p>
        </w:tc>
      </w:tr>
      <w:tr w:rsidR="00AA5145" w:rsidRPr="00297DDF" w14:paraId="65DA1AD6" w14:textId="77777777" w:rsidTr="00BD1C8B">
        <w:trPr>
          <w:cantSplit/>
          <w:jc w:val="center"/>
        </w:trPr>
        <w:tc>
          <w:tcPr>
            <w:tcW w:w="389" w:type="pct"/>
            <w:vMerge w:val="restart"/>
            <w:shd w:val="clear" w:color="auto" w:fill="auto"/>
            <w:vAlign w:val="center"/>
          </w:tcPr>
          <w:p w14:paraId="6F9A664D"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公用工程</w:t>
            </w:r>
          </w:p>
        </w:tc>
        <w:tc>
          <w:tcPr>
            <w:tcW w:w="392" w:type="pct"/>
            <w:shd w:val="clear" w:color="auto" w:fill="auto"/>
            <w:vAlign w:val="center"/>
          </w:tcPr>
          <w:p w14:paraId="115391A9"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供水</w:t>
            </w:r>
          </w:p>
        </w:tc>
        <w:tc>
          <w:tcPr>
            <w:tcW w:w="3047" w:type="pct"/>
            <w:shd w:val="clear" w:color="auto" w:fill="auto"/>
            <w:vAlign w:val="center"/>
          </w:tcPr>
          <w:p w14:paraId="4E07B345"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矿区及附近生产、生活用水主要来源于地下水。</w:t>
            </w:r>
          </w:p>
        </w:tc>
        <w:tc>
          <w:tcPr>
            <w:tcW w:w="1172" w:type="pct"/>
            <w:vAlign w:val="center"/>
          </w:tcPr>
          <w:p w14:paraId="187544B9"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依托现有</w:t>
            </w:r>
          </w:p>
        </w:tc>
      </w:tr>
      <w:tr w:rsidR="00AA5145" w:rsidRPr="00297DDF" w14:paraId="5D5CC234" w14:textId="77777777" w:rsidTr="00BD1C8B">
        <w:trPr>
          <w:cantSplit/>
          <w:jc w:val="center"/>
        </w:trPr>
        <w:tc>
          <w:tcPr>
            <w:tcW w:w="389" w:type="pct"/>
            <w:vMerge/>
            <w:shd w:val="clear" w:color="auto" w:fill="auto"/>
            <w:vAlign w:val="center"/>
          </w:tcPr>
          <w:p w14:paraId="7B447555" w14:textId="77777777" w:rsidR="00AA5145" w:rsidRPr="00297DDF" w:rsidRDefault="00AA5145" w:rsidP="00BD1C8B">
            <w:pPr>
              <w:pStyle w:val="aff"/>
              <w:rPr>
                <w:rFonts w:ascii="Times New Roman" w:hAnsi="Times New Roman" w:cs="Times New Roman"/>
              </w:rPr>
            </w:pPr>
          </w:p>
        </w:tc>
        <w:tc>
          <w:tcPr>
            <w:tcW w:w="392" w:type="pct"/>
            <w:shd w:val="clear" w:color="auto" w:fill="auto"/>
            <w:vAlign w:val="center"/>
          </w:tcPr>
          <w:p w14:paraId="0C5625CF"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排水</w:t>
            </w:r>
          </w:p>
        </w:tc>
        <w:tc>
          <w:tcPr>
            <w:tcW w:w="3047" w:type="pct"/>
            <w:shd w:val="clear" w:color="auto" w:fill="auto"/>
            <w:vAlign w:val="center"/>
          </w:tcPr>
          <w:p w14:paraId="5FF52747"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该项目矿山开采后，采场极易积存雨水，对采场入口要适当抬高利用地形自然排水，在采场地位置设置聚水坑，便于水从采面流入水坑，然后采用潜水泵将水泵出，在出入采场的道路一侧开挖排水沟，将降水自然外排，各清扫平台开挖边沟，排土场上游及其两侧开挖截水沟，下游砌筑挡土墙。工业场地设置旱厕，定期清运，员工洗漱废水经集水池处理后用于场地降尘。</w:t>
            </w:r>
          </w:p>
        </w:tc>
        <w:tc>
          <w:tcPr>
            <w:tcW w:w="1172" w:type="pct"/>
            <w:vAlign w:val="center"/>
          </w:tcPr>
          <w:p w14:paraId="5AF0A7A8"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原有排水沟已经废弃，本项目设计在采场周边开采境界以外</w:t>
            </w:r>
            <w:r w:rsidRPr="00297DDF">
              <w:rPr>
                <w:rFonts w:ascii="Times New Roman" w:hAnsi="Times New Roman" w:cs="Times New Roman"/>
              </w:rPr>
              <w:t>2.0m</w:t>
            </w:r>
            <w:r w:rsidRPr="00297DDF">
              <w:rPr>
                <w:rFonts w:ascii="Times New Roman" w:hAnsi="Times New Roman" w:cs="Times New Roman"/>
              </w:rPr>
              <w:t>的位置，根据地形条件设置</w:t>
            </w:r>
            <w:proofErr w:type="gramStart"/>
            <w:r w:rsidRPr="00297DDF">
              <w:rPr>
                <w:rFonts w:ascii="Times New Roman" w:hAnsi="Times New Roman" w:cs="Times New Roman"/>
              </w:rPr>
              <w:t>截</w:t>
            </w:r>
            <w:proofErr w:type="gramEnd"/>
            <w:r w:rsidRPr="00297DDF">
              <w:rPr>
                <w:rFonts w:ascii="Times New Roman" w:hAnsi="Times New Roman" w:cs="Times New Roman"/>
              </w:rPr>
              <w:t>排水沟，将</w:t>
            </w:r>
            <w:proofErr w:type="gramStart"/>
            <w:r w:rsidRPr="00297DDF">
              <w:rPr>
                <w:rFonts w:ascii="Times New Roman" w:hAnsi="Times New Roman" w:cs="Times New Roman"/>
              </w:rPr>
              <w:t>雨水排离采场</w:t>
            </w:r>
            <w:proofErr w:type="gramEnd"/>
            <w:r w:rsidRPr="00297DDF">
              <w:rPr>
                <w:rFonts w:ascii="Times New Roman" w:hAnsi="Times New Roman" w:cs="Times New Roman"/>
              </w:rPr>
              <w:t>。工业场地设置旱厕肥田；生活污水经化粪池处理后汇总至沉淀池用于场地降尘。</w:t>
            </w:r>
          </w:p>
        </w:tc>
      </w:tr>
      <w:tr w:rsidR="00AA5145" w:rsidRPr="00297DDF" w14:paraId="0A735E23" w14:textId="77777777" w:rsidTr="00BD1C8B">
        <w:trPr>
          <w:cantSplit/>
          <w:jc w:val="center"/>
        </w:trPr>
        <w:tc>
          <w:tcPr>
            <w:tcW w:w="389" w:type="pct"/>
            <w:vMerge/>
            <w:shd w:val="clear" w:color="auto" w:fill="auto"/>
            <w:vAlign w:val="center"/>
          </w:tcPr>
          <w:p w14:paraId="4A932D7D" w14:textId="77777777" w:rsidR="00AA5145" w:rsidRPr="00297DDF" w:rsidRDefault="00AA5145" w:rsidP="00BD1C8B">
            <w:pPr>
              <w:pStyle w:val="aff"/>
              <w:rPr>
                <w:rFonts w:ascii="Times New Roman" w:hAnsi="Times New Roman" w:cs="Times New Roman"/>
              </w:rPr>
            </w:pPr>
          </w:p>
        </w:tc>
        <w:tc>
          <w:tcPr>
            <w:tcW w:w="392" w:type="pct"/>
            <w:shd w:val="clear" w:color="auto" w:fill="auto"/>
            <w:vAlign w:val="center"/>
          </w:tcPr>
          <w:p w14:paraId="0B450422"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供电</w:t>
            </w:r>
          </w:p>
        </w:tc>
        <w:tc>
          <w:tcPr>
            <w:tcW w:w="3047" w:type="pct"/>
            <w:shd w:val="clear" w:color="auto" w:fill="auto"/>
            <w:vAlign w:val="center"/>
          </w:tcPr>
          <w:p w14:paraId="71BC3928"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供电引自矿区变电器线路，可供矿区生产、生活和照明用电。</w:t>
            </w:r>
          </w:p>
        </w:tc>
        <w:tc>
          <w:tcPr>
            <w:tcW w:w="1172" w:type="pct"/>
            <w:vMerge w:val="restart"/>
            <w:vAlign w:val="center"/>
          </w:tcPr>
          <w:p w14:paraId="5CE9A532"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依托现有，扩建道路</w:t>
            </w:r>
            <w:r w:rsidRPr="00297DDF">
              <w:rPr>
                <w:rFonts w:ascii="Times New Roman" w:hAnsi="Times New Roman" w:cs="Times New Roman"/>
              </w:rPr>
              <w:t>1500m</w:t>
            </w:r>
            <w:r w:rsidRPr="00297DDF">
              <w:rPr>
                <w:rFonts w:ascii="Times New Roman" w:hAnsi="Times New Roman" w:cs="Times New Roman"/>
              </w:rPr>
              <w:t>，新修连接</w:t>
            </w:r>
            <w:r w:rsidRPr="00297DDF">
              <w:rPr>
                <w:rFonts w:ascii="Times New Roman" w:hAnsi="Times New Roman" w:cs="Times New Roman"/>
              </w:rPr>
              <w:t>+500</w:t>
            </w:r>
            <w:r w:rsidRPr="00297DDF">
              <w:rPr>
                <w:rFonts w:ascii="Times New Roman" w:hAnsi="Times New Roman" w:cs="Times New Roman"/>
              </w:rPr>
              <w:t>平台道路</w:t>
            </w:r>
            <w:r w:rsidRPr="00297DDF">
              <w:rPr>
                <w:rFonts w:ascii="Times New Roman" w:hAnsi="Times New Roman" w:cs="Times New Roman"/>
              </w:rPr>
              <w:t>960m</w:t>
            </w:r>
          </w:p>
        </w:tc>
      </w:tr>
      <w:tr w:rsidR="00AA5145" w:rsidRPr="00297DDF" w14:paraId="5406FA9F" w14:textId="77777777" w:rsidTr="00BD1C8B">
        <w:trPr>
          <w:cantSplit/>
          <w:jc w:val="center"/>
        </w:trPr>
        <w:tc>
          <w:tcPr>
            <w:tcW w:w="389" w:type="pct"/>
            <w:vMerge/>
            <w:shd w:val="clear" w:color="auto" w:fill="auto"/>
            <w:vAlign w:val="center"/>
          </w:tcPr>
          <w:p w14:paraId="06EF1892" w14:textId="77777777" w:rsidR="00AA5145" w:rsidRPr="00297DDF" w:rsidRDefault="00AA5145" w:rsidP="00BD1C8B">
            <w:pPr>
              <w:pStyle w:val="aff"/>
              <w:rPr>
                <w:rFonts w:ascii="Times New Roman" w:hAnsi="Times New Roman" w:cs="Times New Roman"/>
              </w:rPr>
            </w:pPr>
          </w:p>
        </w:tc>
        <w:tc>
          <w:tcPr>
            <w:tcW w:w="392" w:type="pct"/>
            <w:shd w:val="clear" w:color="auto" w:fill="auto"/>
            <w:vAlign w:val="center"/>
          </w:tcPr>
          <w:p w14:paraId="1D8E40D4"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交通</w:t>
            </w:r>
          </w:p>
        </w:tc>
        <w:tc>
          <w:tcPr>
            <w:tcW w:w="3047" w:type="pct"/>
            <w:shd w:val="clear" w:color="auto" w:fill="auto"/>
            <w:vAlign w:val="center"/>
          </w:tcPr>
          <w:p w14:paraId="7559C9CC"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该项目开采区东侧与</w:t>
            </w:r>
            <w:r w:rsidRPr="00297DDF">
              <w:rPr>
                <w:rFonts w:ascii="Times New Roman" w:hAnsi="Times New Roman" w:cs="Times New Roman"/>
              </w:rPr>
              <w:t>S220</w:t>
            </w:r>
            <w:r w:rsidRPr="00297DDF">
              <w:rPr>
                <w:rFonts w:ascii="Times New Roman" w:hAnsi="Times New Roman" w:cs="Times New Roman"/>
              </w:rPr>
              <w:t>省道相联，可直接利用现有道路。</w:t>
            </w:r>
          </w:p>
        </w:tc>
        <w:tc>
          <w:tcPr>
            <w:tcW w:w="1172" w:type="pct"/>
            <w:vMerge/>
            <w:vAlign w:val="center"/>
          </w:tcPr>
          <w:p w14:paraId="109F8D93" w14:textId="77777777" w:rsidR="00AA5145" w:rsidRPr="00297DDF" w:rsidRDefault="00AA5145" w:rsidP="00BD1C8B">
            <w:pPr>
              <w:pStyle w:val="aff"/>
              <w:rPr>
                <w:rFonts w:ascii="Times New Roman" w:hAnsi="Times New Roman" w:cs="Times New Roman"/>
              </w:rPr>
            </w:pPr>
          </w:p>
        </w:tc>
      </w:tr>
      <w:tr w:rsidR="00AA5145" w:rsidRPr="00297DDF" w14:paraId="1AC67DE3" w14:textId="77777777" w:rsidTr="00BD1C8B">
        <w:trPr>
          <w:cantSplit/>
          <w:jc w:val="center"/>
        </w:trPr>
        <w:tc>
          <w:tcPr>
            <w:tcW w:w="389" w:type="pct"/>
            <w:vMerge w:val="restart"/>
            <w:shd w:val="clear" w:color="auto" w:fill="auto"/>
            <w:vAlign w:val="center"/>
          </w:tcPr>
          <w:p w14:paraId="2AC984C6"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环保工程</w:t>
            </w:r>
          </w:p>
        </w:tc>
        <w:tc>
          <w:tcPr>
            <w:tcW w:w="392" w:type="pct"/>
            <w:shd w:val="clear" w:color="auto" w:fill="auto"/>
            <w:vAlign w:val="center"/>
          </w:tcPr>
          <w:p w14:paraId="0FF75FB2"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废气</w:t>
            </w:r>
          </w:p>
        </w:tc>
        <w:tc>
          <w:tcPr>
            <w:tcW w:w="3047" w:type="pct"/>
            <w:shd w:val="clear" w:color="auto" w:fill="auto"/>
            <w:vAlign w:val="center"/>
          </w:tcPr>
          <w:p w14:paraId="201EF93F"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扬尘控制采用湿式凿岩，对道路进行洒水控制。对破碎加工区密闭，设置袋式除尘器及</w:t>
            </w:r>
            <w:r w:rsidRPr="00297DDF">
              <w:rPr>
                <w:rFonts w:ascii="Times New Roman" w:hAnsi="Times New Roman" w:cs="Times New Roman"/>
              </w:rPr>
              <w:t>15m</w:t>
            </w:r>
            <w:r w:rsidRPr="00297DDF">
              <w:rPr>
                <w:rFonts w:ascii="Times New Roman" w:hAnsi="Times New Roman" w:cs="Times New Roman"/>
              </w:rPr>
              <w:t>高排气筒，进料口、落料口设洒水喷淋装置降尘，传送带密闭；堆场设置防风</w:t>
            </w:r>
            <w:proofErr w:type="gramStart"/>
            <w:r w:rsidRPr="00297DDF">
              <w:rPr>
                <w:rFonts w:ascii="Times New Roman" w:hAnsi="Times New Roman" w:cs="Times New Roman"/>
              </w:rPr>
              <w:t>抑</w:t>
            </w:r>
            <w:proofErr w:type="gramEnd"/>
            <w:r w:rsidRPr="00297DDF">
              <w:rPr>
                <w:rFonts w:ascii="Times New Roman" w:hAnsi="Times New Roman" w:cs="Times New Roman"/>
              </w:rPr>
              <w:t>尘网等降尘措施；场地硬化、绿化；洒水车对运输道路进行洒水降尘。</w:t>
            </w:r>
          </w:p>
        </w:tc>
        <w:tc>
          <w:tcPr>
            <w:tcW w:w="1172" w:type="pct"/>
            <w:vAlign w:val="center"/>
          </w:tcPr>
          <w:p w14:paraId="5F4CA799"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原有破碎加工区设施全部拆除，本项目不再利用，同时本项目扬尘控制采用湿式凿岩，对道路进行洒水控制。堆场设置防尘网等降尘措施；场地硬化、绿化；洒水车对运输道路进行洒水降尘。</w:t>
            </w:r>
          </w:p>
        </w:tc>
      </w:tr>
      <w:tr w:rsidR="00AA5145" w:rsidRPr="00297DDF" w14:paraId="59A12FAC" w14:textId="77777777" w:rsidTr="00BD1C8B">
        <w:trPr>
          <w:cantSplit/>
          <w:jc w:val="center"/>
        </w:trPr>
        <w:tc>
          <w:tcPr>
            <w:tcW w:w="389" w:type="pct"/>
            <w:vMerge/>
            <w:shd w:val="clear" w:color="auto" w:fill="auto"/>
            <w:vAlign w:val="center"/>
          </w:tcPr>
          <w:p w14:paraId="4BD8371E" w14:textId="77777777" w:rsidR="00AA5145" w:rsidRPr="00297DDF" w:rsidRDefault="00AA5145" w:rsidP="00BD1C8B">
            <w:pPr>
              <w:pStyle w:val="aff"/>
              <w:rPr>
                <w:rFonts w:ascii="Times New Roman" w:hAnsi="Times New Roman" w:cs="Times New Roman"/>
              </w:rPr>
            </w:pPr>
          </w:p>
        </w:tc>
        <w:tc>
          <w:tcPr>
            <w:tcW w:w="392" w:type="pct"/>
            <w:shd w:val="clear" w:color="auto" w:fill="auto"/>
            <w:vAlign w:val="center"/>
          </w:tcPr>
          <w:p w14:paraId="40C768F1"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废水</w:t>
            </w:r>
          </w:p>
        </w:tc>
        <w:tc>
          <w:tcPr>
            <w:tcW w:w="3047" w:type="pct"/>
            <w:shd w:val="clear" w:color="auto" w:fill="auto"/>
            <w:vAlign w:val="center"/>
          </w:tcPr>
          <w:p w14:paraId="3D11C6BC"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生活污水收集之后用于场地洒水降尘，生产废水循环利用不外排。</w:t>
            </w:r>
          </w:p>
        </w:tc>
        <w:tc>
          <w:tcPr>
            <w:tcW w:w="1172" w:type="pct"/>
            <w:vAlign w:val="center"/>
          </w:tcPr>
          <w:p w14:paraId="6E01E453"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生活污水收集之后用于场地洒水降尘，生产废水循环利用不外排。</w:t>
            </w:r>
          </w:p>
        </w:tc>
      </w:tr>
      <w:tr w:rsidR="00AA5145" w:rsidRPr="00297DDF" w14:paraId="4F15C671" w14:textId="77777777" w:rsidTr="00BD1C8B">
        <w:trPr>
          <w:cantSplit/>
          <w:jc w:val="center"/>
        </w:trPr>
        <w:tc>
          <w:tcPr>
            <w:tcW w:w="389" w:type="pct"/>
            <w:vMerge/>
            <w:shd w:val="clear" w:color="auto" w:fill="auto"/>
            <w:vAlign w:val="center"/>
          </w:tcPr>
          <w:p w14:paraId="17AECC81" w14:textId="77777777" w:rsidR="00AA5145" w:rsidRPr="00297DDF" w:rsidRDefault="00AA5145" w:rsidP="00BD1C8B">
            <w:pPr>
              <w:pStyle w:val="aff"/>
              <w:rPr>
                <w:rFonts w:ascii="Times New Roman" w:hAnsi="Times New Roman" w:cs="Times New Roman"/>
              </w:rPr>
            </w:pPr>
          </w:p>
        </w:tc>
        <w:tc>
          <w:tcPr>
            <w:tcW w:w="392" w:type="pct"/>
            <w:shd w:val="clear" w:color="auto" w:fill="auto"/>
            <w:vAlign w:val="center"/>
          </w:tcPr>
          <w:p w14:paraId="27E81D5F"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噪声</w:t>
            </w:r>
          </w:p>
        </w:tc>
        <w:tc>
          <w:tcPr>
            <w:tcW w:w="3047" w:type="pct"/>
            <w:shd w:val="clear" w:color="auto" w:fill="auto"/>
            <w:vAlign w:val="center"/>
          </w:tcPr>
          <w:p w14:paraId="0EBB9B4F" w14:textId="77777777" w:rsidR="00AA5145" w:rsidRPr="00297DDF" w:rsidRDefault="00AA5145" w:rsidP="00BD1C8B">
            <w:pPr>
              <w:pStyle w:val="aff"/>
              <w:rPr>
                <w:rFonts w:ascii="Times New Roman" w:hAnsi="Times New Roman" w:cs="Times New Roman"/>
              </w:rPr>
            </w:pPr>
            <w:proofErr w:type="gramStart"/>
            <w:r w:rsidRPr="00297DDF">
              <w:rPr>
                <w:rFonts w:ascii="Times New Roman" w:hAnsi="Times New Roman" w:cs="Times New Roman"/>
              </w:rPr>
              <w:t>设基础</w:t>
            </w:r>
            <w:proofErr w:type="gramEnd"/>
            <w:r w:rsidRPr="00297DDF">
              <w:rPr>
                <w:rFonts w:ascii="Times New Roman" w:hAnsi="Times New Roman" w:cs="Times New Roman"/>
              </w:rPr>
              <w:t>减振，安装消声设备、合理布局、绿化降噪。</w:t>
            </w:r>
          </w:p>
        </w:tc>
        <w:tc>
          <w:tcPr>
            <w:tcW w:w="1172" w:type="pct"/>
            <w:vAlign w:val="center"/>
          </w:tcPr>
          <w:p w14:paraId="4E41D85A" w14:textId="77777777" w:rsidR="00AA5145" w:rsidRPr="00297DDF" w:rsidRDefault="00AA5145" w:rsidP="00BD1C8B">
            <w:pPr>
              <w:pStyle w:val="aff"/>
              <w:rPr>
                <w:rFonts w:ascii="Times New Roman" w:hAnsi="Times New Roman" w:cs="Times New Roman"/>
              </w:rPr>
            </w:pPr>
            <w:proofErr w:type="gramStart"/>
            <w:r w:rsidRPr="00297DDF">
              <w:rPr>
                <w:rFonts w:ascii="Times New Roman" w:hAnsi="Times New Roman" w:cs="Times New Roman"/>
              </w:rPr>
              <w:t>设基础</w:t>
            </w:r>
            <w:proofErr w:type="gramEnd"/>
            <w:r w:rsidRPr="00297DDF">
              <w:rPr>
                <w:rFonts w:ascii="Times New Roman" w:hAnsi="Times New Roman" w:cs="Times New Roman"/>
              </w:rPr>
              <w:t>减振，安装消声设备、合理布局、绿化降噪。</w:t>
            </w:r>
          </w:p>
        </w:tc>
      </w:tr>
      <w:tr w:rsidR="00AA5145" w:rsidRPr="00297DDF" w14:paraId="37328BF1" w14:textId="77777777" w:rsidTr="00BD1C8B">
        <w:trPr>
          <w:cantSplit/>
          <w:jc w:val="center"/>
        </w:trPr>
        <w:tc>
          <w:tcPr>
            <w:tcW w:w="389" w:type="pct"/>
            <w:vMerge/>
            <w:shd w:val="clear" w:color="auto" w:fill="auto"/>
            <w:vAlign w:val="center"/>
          </w:tcPr>
          <w:p w14:paraId="116ABD69" w14:textId="77777777" w:rsidR="00AA5145" w:rsidRPr="00297DDF" w:rsidRDefault="00AA5145" w:rsidP="00BD1C8B">
            <w:pPr>
              <w:pStyle w:val="aff"/>
              <w:rPr>
                <w:rFonts w:ascii="Times New Roman" w:hAnsi="Times New Roman" w:cs="Times New Roman"/>
              </w:rPr>
            </w:pPr>
          </w:p>
        </w:tc>
        <w:tc>
          <w:tcPr>
            <w:tcW w:w="392" w:type="pct"/>
            <w:shd w:val="clear" w:color="auto" w:fill="auto"/>
            <w:vAlign w:val="center"/>
          </w:tcPr>
          <w:p w14:paraId="46F12F40"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固体废物</w:t>
            </w:r>
          </w:p>
        </w:tc>
        <w:tc>
          <w:tcPr>
            <w:tcW w:w="3047" w:type="pct"/>
            <w:shd w:val="clear" w:color="auto" w:fill="auto"/>
            <w:vAlign w:val="center"/>
          </w:tcPr>
          <w:p w14:paraId="2DAE7661"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为减少废石占地对环境及生态的影响，充分利用自然资源，搭配开采、综合利用，减少剥离。在生产过程中，对废石、表土进行综合利用好，用于闭矿期矿区的生态恢复。生活垃圾运往垃圾中转站处理。</w:t>
            </w:r>
          </w:p>
        </w:tc>
        <w:tc>
          <w:tcPr>
            <w:tcW w:w="1172" w:type="pct"/>
            <w:vAlign w:val="center"/>
          </w:tcPr>
          <w:p w14:paraId="19002FB2" w14:textId="77777777" w:rsidR="00AA5145" w:rsidRPr="00297DDF" w:rsidRDefault="00AA5145" w:rsidP="00BD1C8B">
            <w:pPr>
              <w:pStyle w:val="aff"/>
              <w:rPr>
                <w:rFonts w:ascii="Times New Roman" w:hAnsi="Times New Roman" w:cs="Times New Roman"/>
              </w:rPr>
            </w:pPr>
            <w:r w:rsidRPr="00297DDF">
              <w:rPr>
                <w:rFonts w:ascii="Times New Roman" w:hAnsi="Times New Roman" w:cs="Times New Roman"/>
              </w:rPr>
              <w:t>在生产过程中，表土废石暂存于排土场，后期用于闭矿期矿区的生态恢复及回填凹陷采坑。生活垃圾运往垃圾中转站处理。</w:t>
            </w:r>
          </w:p>
        </w:tc>
      </w:tr>
    </w:tbl>
    <w:p w14:paraId="12161E2C" w14:textId="798D73AA" w:rsidR="00317E60" w:rsidRPr="00C938AD" w:rsidRDefault="00317E60" w:rsidP="00317E60">
      <w:pPr>
        <w:spacing w:line="480" w:lineRule="exact"/>
        <w:rPr>
          <w:rFonts w:cs="Times New Roman"/>
          <w:spacing w:val="6"/>
          <w:szCs w:val="24"/>
        </w:rPr>
      </w:pPr>
      <w:r w:rsidRPr="00C938AD">
        <w:rPr>
          <w:rFonts w:hint="eastAsia"/>
        </w:rPr>
        <w:t>3.1.1.</w:t>
      </w:r>
      <w:r w:rsidR="00EC07F6">
        <w:rPr>
          <w:rFonts w:hint="eastAsia"/>
        </w:rPr>
        <w:t>4</w:t>
      </w:r>
      <w:r w:rsidRPr="00C938AD">
        <w:rPr>
          <w:rFonts w:hint="eastAsia"/>
          <w:spacing w:val="6"/>
          <w:szCs w:val="24"/>
        </w:rPr>
        <w:t>主要技术经济指标</w:t>
      </w:r>
    </w:p>
    <w:p w14:paraId="759044CA" w14:textId="62167757" w:rsidR="00317E60" w:rsidRPr="00C938AD" w:rsidRDefault="00317E60" w:rsidP="00172FA9">
      <w:pPr>
        <w:spacing w:line="480" w:lineRule="exact"/>
        <w:ind w:firstLineChars="0" w:firstLine="0"/>
        <w:jc w:val="center"/>
        <w:rPr>
          <w:rFonts w:eastAsia="黑体"/>
        </w:rPr>
      </w:pPr>
      <w:r w:rsidRPr="00C938AD">
        <w:rPr>
          <w:rFonts w:eastAsia="黑体" w:hAnsi="黑体"/>
        </w:rPr>
        <w:t>表</w:t>
      </w:r>
      <w:r w:rsidRPr="00C938AD">
        <w:rPr>
          <w:rFonts w:eastAsia="黑体" w:hint="eastAsia"/>
        </w:rPr>
        <w:t>3.1</w:t>
      </w:r>
      <w:r w:rsidRPr="00C938AD">
        <w:rPr>
          <w:rFonts w:eastAsia="黑体"/>
        </w:rPr>
        <w:t>-</w:t>
      </w:r>
      <w:r w:rsidR="00AA5145">
        <w:rPr>
          <w:rFonts w:eastAsia="黑体" w:hint="eastAsia"/>
        </w:rPr>
        <w:t>4</w:t>
      </w:r>
      <w:r w:rsidRPr="00C938AD">
        <w:rPr>
          <w:rFonts w:eastAsia="黑体" w:hint="eastAsia"/>
        </w:rPr>
        <w:t>整合</w:t>
      </w:r>
      <w:proofErr w:type="gramStart"/>
      <w:r w:rsidRPr="00C938AD">
        <w:rPr>
          <w:rFonts w:eastAsia="黑体" w:hint="eastAsia"/>
        </w:rPr>
        <w:t>前</w:t>
      </w:r>
      <w:r w:rsidR="00172FA9">
        <w:rPr>
          <w:rFonts w:eastAsia="黑体" w:hint="eastAsia"/>
        </w:rPr>
        <w:t>现有</w:t>
      </w:r>
      <w:proofErr w:type="gramEnd"/>
      <w:r w:rsidR="00172FA9">
        <w:rPr>
          <w:rFonts w:eastAsia="黑体" w:hint="eastAsia"/>
        </w:rPr>
        <w:t>工程</w:t>
      </w:r>
      <w:r w:rsidRPr="00C938AD">
        <w:rPr>
          <w:rFonts w:eastAsia="黑体" w:hint="eastAsia"/>
        </w:rPr>
        <w:t>主要技术经济指标一览表</w:t>
      </w:r>
    </w:p>
    <w:tbl>
      <w:tblPr>
        <w:tblW w:w="5000" w:type="pct"/>
        <w:jc w:val="center"/>
        <w:tblLook w:val="04A0" w:firstRow="1" w:lastRow="0" w:firstColumn="1" w:lastColumn="0" w:noHBand="0" w:noVBand="1"/>
      </w:tblPr>
      <w:tblGrid>
        <w:gridCol w:w="775"/>
        <w:gridCol w:w="2785"/>
        <w:gridCol w:w="1796"/>
        <w:gridCol w:w="1934"/>
        <w:gridCol w:w="1430"/>
      </w:tblGrid>
      <w:tr w:rsidR="00BD1C8B" w:rsidRPr="00BD1C8B" w14:paraId="152FC846" w14:textId="77777777" w:rsidTr="00374644">
        <w:trPr>
          <w:cantSplit/>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29008D0C" w14:textId="5E425F10" w:rsidR="00172FA9" w:rsidRPr="00BD1C8B" w:rsidRDefault="00172FA9" w:rsidP="00DF3BA0">
            <w:pPr>
              <w:pStyle w:val="aff"/>
              <w:rPr>
                <w:rFonts w:ascii="Times New Roman" w:hAnsi="Times New Roman" w:cs="Times New Roman"/>
              </w:rPr>
            </w:pPr>
            <w:r w:rsidRPr="00BD1C8B">
              <w:rPr>
                <w:rFonts w:ascii="Times New Roman" w:hAnsi="Times New Roman" w:cs="Times New Roman" w:hint="eastAsia"/>
              </w:rPr>
              <w:t>驻马店市</w:t>
            </w:r>
            <w:proofErr w:type="gramStart"/>
            <w:r w:rsidRPr="00BD1C8B">
              <w:rPr>
                <w:rFonts w:ascii="Times New Roman" w:hAnsi="Times New Roman" w:cs="Times New Roman" w:hint="eastAsia"/>
              </w:rPr>
              <w:t>驿</w:t>
            </w:r>
            <w:proofErr w:type="gramEnd"/>
            <w:r w:rsidRPr="00BD1C8B">
              <w:rPr>
                <w:rFonts w:ascii="Times New Roman" w:hAnsi="Times New Roman" w:cs="Times New Roman" w:hint="eastAsia"/>
              </w:rPr>
              <w:t>城区丰鑫矿业有限公司</w:t>
            </w:r>
          </w:p>
        </w:tc>
      </w:tr>
      <w:tr w:rsidR="00BD1C8B" w:rsidRPr="00BD1C8B" w14:paraId="11677641"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511112D6"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序号</w:t>
            </w:r>
          </w:p>
        </w:tc>
        <w:tc>
          <w:tcPr>
            <w:tcW w:w="1597" w:type="pct"/>
            <w:tcBorders>
              <w:top w:val="single" w:sz="4" w:space="0" w:color="000000"/>
              <w:left w:val="single" w:sz="4" w:space="0" w:color="000000"/>
              <w:bottom w:val="single" w:sz="4" w:space="0" w:color="000000"/>
              <w:right w:val="single" w:sz="4" w:space="0" w:color="000000"/>
            </w:tcBorders>
            <w:vAlign w:val="center"/>
          </w:tcPr>
          <w:p w14:paraId="170C88D7"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指标名称</w:t>
            </w:r>
          </w:p>
        </w:tc>
        <w:tc>
          <w:tcPr>
            <w:tcW w:w="1030" w:type="pct"/>
            <w:tcBorders>
              <w:top w:val="single" w:sz="4" w:space="0" w:color="000000"/>
              <w:left w:val="single" w:sz="4" w:space="0" w:color="000000"/>
              <w:bottom w:val="single" w:sz="4" w:space="0" w:color="000000"/>
              <w:right w:val="single" w:sz="4" w:space="0" w:color="000000"/>
            </w:tcBorders>
          </w:tcPr>
          <w:p w14:paraId="56EA6590"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单位</w:t>
            </w:r>
          </w:p>
        </w:tc>
        <w:tc>
          <w:tcPr>
            <w:tcW w:w="1109" w:type="pct"/>
            <w:tcBorders>
              <w:top w:val="single" w:sz="4" w:space="0" w:color="000000"/>
              <w:left w:val="single" w:sz="4" w:space="0" w:color="000000"/>
              <w:bottom w:val="single" w:sz="4" w:space="0" w:color="000000"/>
              <w:right w:val="single" w:sz="4" w:space="0" w:color="000000"/>
            </w:tcBorders>
          </w:tcPr>
          <w:p w14:paraId="79472DC2"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数量</w:t>
            </w:r>
          </w:p>
        </w:tc>
        <w:tc>
          <w:tcPr>
            <w:tcW w:w="820" w:type="pct"/>
            <w:tcBorders>
              <w:top w:val="single" w:sz="4" w:space="0" w:color="000000"/>
              <w:left w:val="single" w:sz="4" w:space="0" w:color="000000"/>
              <w:bottom w:val="single" w:sz="4" w:space="0" w:color="000000"/>
              <w:right w:val="single" w:sz="4" w:space="0" w:color="000000"/>
            </w:tcBorders>
            <w:vAlign w:val="center"/>
          </w:tcPr>
          <w:p w14:paraId="3AB3739F"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备注</w:t>
            </w:r>
          </w:p>
        </w:tc>
      </w:tr>
      <w:tr w:rsidR="00BD1C8B" w:rsidRPr="00BD1C8B" w14:paraId="4D750EAF"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493046C6" w14:textId="77777777" w:rsidR="00DF3BA0" w:rsidRPr="00BD1C8B" w:rsidRDefault="00DF3BA0" w:rsidP="00DF3BA0">
            <w:pPr>
              <w:pStyle w:val="aff"/>
              <w:rPr>
                <w:rFonts w:ascii="Times New Roman" w:hAnsi="Times New Roman" w:cs="Times New Roman"/>
              </w:rPr>
            </w:pPr>
            <w:proofErr w:type="gramStart"/>
            <w:r w:rsidRPr="00BD1C8B">
              <w:rPr>
                <w:rFonts w:ascii="Times New Roman" w:hAnsi="Times New Roman" w:cs="Times New Roman"/>
              </w:rPr>
              <w:t>一</w:t>
            </w:r>
            <w:proofErr w:type="gramEnd"/>
          </w:p>
        </w:tc>
        <w:tc>
          <w:tcPr>
            <w:tcW w:w="1597" w:type="pct"/>
            <w:tcBorders>
              <w:top w:val="single" w:sz="4" w:space="0" w:color="000000"/>
              <w:left w:val="single" w:sz="4" w:space="0" w:color="000000"/>
              <w:bottom w:val="single" w:sz="4" w:space="0" w:color="000000"/>
              <w:right w:val="single" w:sz="4" w:space="0" w:color="000000"/>
            </w:tcBorders>
            <w:vAlign w:val="center"/>
          </w:tcPr>
          <w:p w14:paraId="5C17E562"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矿区面积</w:t>
            </w:r>
          </w:p>
        </w:tc>
        <w:tc>
          <w:tcPr>
            <w:tcW w:w="1030" w:type="pct"/>
            <w:tcBorders>
              <w:top w:val="single" w:sz="4" w:space="0" w:color="000000"/>
              <w:left w:val="single" w:sz="4" w:space="0" w:color="000000"/>
              <w:bottom w:val="single" w:sz="4" w:space="0" w:color="000000"/>
              <w:right w:val="single" w:sz="4" w:space="0" w:color="000000"/>
            </w:tcBorders>
          </w:tcPr>
          <w:p w14:paraId="1BC7B712"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Km</w:t>
            </w:r>
            <w:r w:rsidRPr="00BD1C8B">
              <w:rPr>
                <w:rFonts w:ascii="Times New Roman" w:hAnsi="Times New Roman" w:cs="Times New Roman"/>
                <w:vertAlign w:val="superscript"/>
              </w:rPr>
              <w:t>2</w:t>
            </w:r>
          </w:p>
        </w:tc>
        <w:tc>
          <w:tcPr>
            <w:tcW w:w="1109" w:type="pct"/>
            <w:tcBorders>
              <w:top w:val="single" w:sz="4" w:space="0" w:color="000000"/>
              <w:left w:val="single" w:sz="4" w:space="0" w:color="000000"/>
              <w:bottom w:val="single" w:sz="4" w:space="0" w:color="000000"/>
              <w:right w:val="single" w:sz="4" w:space="0" w:color="000000"/>
            </w:tcBorders>
          </w:tcPr>
          <w:p w14:paraId="57C6F88B"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0.21</w:t>
            </w:r>
          </w:p>
        </w:tc>
        <w:tc>
          <w:tcPr>
            <w:tcW w:w="820" w:type="pct"/>
            <w:tcBorders>
              <w:top w:val="single" w:sz="4" w:space="0" w:color="000000"/>
              <w:left w:val="single" w:sz="4" w:space="0" w:color="000000"/>
              <w:bottom w:val="single" w:sz="4" w:space="0" w:color="000000"/>
              <w:right w:val="single" w:sz="4" w:space="0" w:color="000000"/>
            </w:tcBorders>
            <w:vAlign w:val="center"/>
          </w:tcPr>
          <w:p w14:paraId="0739BF85"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r>
      <w:tr w:rsidR="00BD1C8B" w:rsidRPr="00BD1C8B" w14:paraId="08526455"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1EC12059"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二</w:t>
            </w:r>
          </w:p>
        </w:tc>
        <w:tc>
          <w:tcPr>
            <w:tcW w:w="1597" w:type="pct"/>
            <w:tcBorders>
              <w:top w:val="single" w:sz="4" w:space="0" w:color="000000"/>
              <w:left w:val="single" w:sz="4" w:space="0" w:color="000000"/>
              <w:bottom w:val="single" w:sz="4" w:space="0" w:color="000000"/>
              <w:right w:val="single" w:sz="4" w:space="0" w:color="000000"/>
            </w:tcBorders>
            <w:vAlign w:val="center"/>
          </w:tcPr>
          <w:p w14:paraId="7202C8D3"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设计开采储量</w:t>
            </w:r>
          </w:p>
        </w:tc>
        <w:tc>
          <w:tcPr>
            <w:tcW w:w="1030" w:type="pct"/>
            <w:tcBorders>
              <w:top w:val="single" w:sz="4" w:space="0" w:color="000000"/>
              <w:left w:val="single" w:sz="4" w:space="0" w:color="000000"/>
              <w:bottom w:val="single" w:sz="4" w:space="0" w:color="000000"/>
              <w:right w:val="single" w:sz="4" w:space="0" w:color="000000"/>
            </w:tcBorders>
          </w:tcPr>
          <w:p w14:paraId="6FDF4654"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万吨</w:t>
            </w:r>
          </w:p>
        </w:tc>
        <w:tc>
          <w:tcPr>
            <w:tcW w:w="1109" w:type="pct"/>
            <w:tcBorders>
              <w:top w:val="single" w:sz="4" w:space="0" w:color="000000"/>
              <w:left w:val="single" w:sz="4" w:space="0" w:color="000000"/>
              <w:bottom w:val="single" w:sz="4" w:space="0" w:color="000000"/>
              <w:right w:val="single" w:sz="4" w:space="0" w:color="000000"/>
            </w:tcBorders>
          </w:tcPr>
          <w:p w14:paraId="6399F222"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245</w:t>
            </w:r>
          </w:p>
        </w:tc>
        <w:tc>
          <w:tcPr>
            <w:tcW w:w="820" w:type="pct"/>
            <w:tcBorders>
              <w:top w:val="single" w:sz="4" w:space="0" w:color="000000"/>
              <w:left w:val="single" w:sz="4" w:space="0" w:color="000000"/>
              <w:bottom w:val="single" w:sz="4" w:space="0" w:color="000000"/>
              <w:right w:val="single" w:sz="4" w:space="0" w:color="000000"/>
            </w:tcBorders>
            <w:vAlign w:val="center"/>
          </w:tcPr>
          <w:p w14:paraId="23EAF8AA"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r>
      <w:tr w:rsidR="00BD1C8B" w:rsidRPr="00BD1C8B" w14:paraId="22F1CAF3"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5BDFCACC"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三</w:t>
            </w:r>
          </w:p>
        </w:tc>
        <w:tc>
          <w:tcPr>
            <w:tcW w:w="1597" w:type="pct"/>
            <w:tcBorders>
              <w:top w:val="single" w:sz="4" w:space="0" w:color="000000"/>
              <w:left w:val="single" w:sz="4" w:space="0" w:color="000000"/>
              <w:bottom w:val="single" w:sz="4" w:space="0" w:color="000000"/>
              <w:right w:val="single" w:sz="4" w:space="0" w:color="000000"/>
            </w:tcBorders>
            <w:vAlign w:val="center"/>
          </w:tcPr>
          <w:p w14:paraId="3373DD9C"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开采方式</w:t>
            </w:r>
          </w:p>
        </w:tc>
        <w:tc>
          <w:tcPr>
            <w:tcW w:w="1030" w:type="pct"/>
            <w:tcBorders>
              <w:top w:val="single" w:sz="4" w:space="0" w:color="000000"/>
              <w:left w:val="single" w:sz="4" w:space="0" w:color="000000"/>
              <w:bottom w:val="single" w:sz="4" w:space="0" w:color="000000"/>
              <w:right w:val="single" w:sz="4" w:space="0" w:color="000000"/>
            </w:tcBorders>
          </w:tcPr>
          <w:p w14:paraId="7F0979EB"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c>
          <w:tcPr>
            <w:tcW w:w="1109" w:type="pct"/>
            <w:tcBorders>
              <w:top w:val="single" w:sz="4" w:space="0" w:color="000000"/>
              <w:left w:val="single" w:sz="4" w:space="0" w:color="000000"/>
              <w:bottom w:val="single" w:sz="4" w:space="0" w:color="000000"/>
              <w:right w:val="single" w:sz="4" w:space="0" w:color="000000"/>
            </w:tcBorders>
          </w:tcPr>
          <w:p w14:paraId="29971AD1"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c>
          <w:tcPr>
            <w:tcW w:w="820" w:type="pct"/>
            <w:tcBorders>
              <w:top w:val="single" w:sz="4" w:space="0" w:color="000000"/>
              <w:left w:val="single" w:sz="4" w:space="0" w:color="000000"/>
              <w:bottom w:val="single" w:sz="4" w:space="0" w:color="000000"/>
              <w:right w:val="single" w:sz="4" w:space="0" w:color="000000"/>
            </w:tcBorders>
            <w:vAlign w:val="center"/>
          </w:tcPr>
          <w:p w14:paraId="24EC93E0"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露天开采</w:t>
            </w:r>
          </w:p>
        </w:tc>
      </w:tr>
      <w:tr w:rsidR="00BD1C8B" w:rsidRPr="00BD1C8B" w14:paraId="6639DAAC"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31038633"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四</w:t>
            </w:r>
          </w:p>
        </w:tc>
        <w:tc>
          <w:tcPr>
            <w:tcW w:w="1597" w:type="pct"/>
            <w:tcBorders>
              <w:top w:val="single" w:sz="4" w:space="0" w:color="000000"/>
              <w:left w:val="single" w:sz="4" w:space="0" w:color="000000"/>
              <w:bottom w:val="single" w:sz="4" w:space="0" w:color="000000"/>
              <w:right w:val="single" w:sz="4" w:space="0" w:color="000000"/>
            </w:tcBorders>
            <w:vAlign w:val="center"/>
          </w:tcPr>
          <w:p w14:paraId="6F4015A9"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设计开采规模</w:t>
            </w:r>
          </w:p>
        </w:tc>
        <w:tc>
          <w:tcPr>
            <w:tcW w:w="1030" w:type="pct"/>
            <w:tcBorders>
              <w:top w:val="single" w:sz="4" w:space="0" w:color="000000"/>
              <w:left w:val="single" w:sz="4" w:space="0" w:color="000000"/>
              <w:bottom w:val="single" w:sz="4" w:space="0" w:color="000000"/>
              <w:right w:val="single" w:sz="4" w:space="0" w:color="000000"/>
            </w:tcBorders>
          </w:tcPr>
          <w:p w14:paraId="088BEB02"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万吨</w:t>
            </w:r>
            <w:r w:rsidRPr="00BD1C8B">
              <w:rPr>
                <w:rFonts w:ascii="Times New Roman" w:hAnsi="Times New Roman" w:cs="Times New Roman"/>
              </w:rPr>
              <w:t>/</w:t>
            </w:r>
            <w:r w:rsidRPr="00BD1C8B">
              <w:rPr>
                <w:rFonts w:ascii="Times New Roman" w:hAnsi="Times New Roman" w:cs="Times New Roman"/>
              </w:rPr>
              <w:t>年</w:t>
            </w:r>
          </w:p>
        </w:tc>
        <w:tc>
          <w:tcPr>
            <w:tcW w:w="1109" w:type="pct"/>
            <w:tcBorders>
              <w:top w:val="single" w:sz="4" w:space="0" w:color="000000"/>
              <w:left w:val="single" w:sz="4" w:space="0" w:color="000000"/>
              <w:bottom w:val="single" w:sz="4" w:space="0" w:color="000000"/>
              <w:right w:val="single" w:sz="4" w:space="0" w:color="000000"/>
            </w:tcBorders>
          </w:tcPr>
          <w:p w14:paraId="7AC373E1"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20</w:t>
            </w:r>
          </w:p>
        </w:tc>
        <w:tc>
          <w:tcPr>
            <w:tcW w:w="820" w:type="pct"/>
            <w:tcBorders>
              <w:top w:val="single" w:sz="4" w:space="0" w:color="000000"/>
              <w:left w:val="single" w:sz="4" w:space="0" w:color="000000"/>
              <w:bottom w:val="single" w:sz="4" w:space="0" w:color="000000"/>
              <w:right w:val="single" w:sz="4" w:space="0" w:color="000000"/>
            </w:tcBorders>
            <w:vAlign w:val="center"/>
          </w:tcPr>
          <w:p w14:paraId="37417BDF" w14:textId="20717E90" w:rsidR="00DF3BA0" w:rsidRPr="00BD1C8B" w:rsidRDefault="00172FA9" w:rsidP="00DF3BA0">
            <w:pPr>
              <w:pStyle w:val="aff"/>
              <w:rPr>
                <w:rFonts w:ascii="Times New Roman" w:hAnsi="Times New Roman" w:cs="Times New Roman"/>
              </w:rPr>
            </w:pPr>
            <w:r w:rsidRPr="00BD1C8B">
              <w:rPr>
                <w:rFonts w:ascii="Times New Roman" w:hAnsi="Times New Roman" w:cs="Times New Roman" w:hint="eastAsia"/>
              </w:rPr>
              <w:t>玄武岩</w:t>
            </w:r>
          </w:p>
        </w:tc>
      </w:tr>
      <w:tr w:rsidR="00BD1C8B" w:rsidRPr="00BD1C8B" w14:paraId="1AA5A483"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5486EF52"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五</w:t>
            </w:r>
          </w:p>
        </w:tc>
        <w:tc>
          <w:tcPr>
            <w:tcW w:w="1597" w:type="pct"/>
            <w:tcBorders>
              <w:top w:val="single" w:sz="4" w:space="0" w:color="000000"/>
              <w:left w:val="single" w:sz="4" w:space="0" w:color="000000"/>
              <w:bottom w:val="single" w:sz="4" w:space="0" w:color="000000"/>
              <w:right w:val="single" w:sz="4" w:space="0" w:color="000000"/>
            </w:tcBorders>
            <w:vAlign w:val="center"/>
          </w:tcPr>
          <w:p w14:paraId="5797F9C6"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矿山服务年限</w:t>
            </w:r>
          </w:p>
        </w:tc>
        <w:tc>
          <w:tcPr>
            <w:tcW w:w="1030" w:type="pct"/>
            <w:tcBorders>
              <w:top w:val="single" w:sz="4" w:space="0" w:color="000000"/>
              <w:left w:val="single" w:sz="4" w:space="0" w:color="000000"/>
              <w:bottom w:val="single" w:sz="4" w:space="0" w:color="000000"/>
              <w:right w:val="single" w:sz="4" w:space="0" w:color="000000"/>
            </w:tcBorders>
          </w:tcPr>
          <w:p w14:paraId="7C560ABA"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年</w:t>
            </w:r>
          </w:p>
        </w:tc>
        <w:tc>
          <w:tcPr>
            <w:tcW w:w="1109" w:type="pct"/>
            <w:tcBorders>
              <w:top w:val="single" w:sz="4" w:space="0" w:color="000000"/>
              <w:left w:val="single" w:sz="4" w:space="0" w:color="000000"/>
              <w:bottom w:val="single" w:sz="4" w:space="0" w:color="000000"/>
              <w:right w:val="single" w:sz="4" w:space="0" w:color="000000"/>
            </w:tcBorders>
          </w:tcPr>
          <w:p w14:paraId="0BE66DB2"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12.25</w:t>
            </w:r>
          </w:p>
        </w:tc>
        <w:tc>
          <w:tcPr>
            <w:tcW w:w="820" w:type="pct"/>
            <w:tcBorders>
              <w:top w:val="single" w:sz="4" w:space="0" w:color="000000"/>
              <w:left w:val="single" w:sz="4" w:space="0" w:color="000000"/>
              <w:bottom w:val="single" w:sz="4" w:space="0" w:color="000000"/>
              <w:right w:val="single" w:sz="4" w:space="0" w:color="000000"/>
            </w:tcBorders>
            <w:vAlign w:val="center"/>
          </w:tcPr>
          <w:p w14:paraId="220AFD57"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r>
      <w:tr w:rsidR="00BD1C8B" w:rsidRPr="00BD1C8B" w14:paraId="49268D0D"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5FA4E804"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lastRenderedPageBreak/>
              <w:t>六</w:t>
            </w:r>
          </w:p>
        </w:tc>
        <w:tc>
          <w:tcPr>
            <w:tcW w:w="1597" w:type="pct"/>
            <w:tcBorders>
              <w:top w:val="single" w:sz="4" w:space="0" w:color="000000"/>
              <w:left w:val="single" w:sz="4" w:space="0" w:color="000000"/>
              <w:bottom w:val="single" w:sz="4" w:space="0" w:color="000000"/>
              <w:right w:val="single" w:sz="4" w:space="0" w:color="000000"/>
            </w:tcBorders>
            <w:vAlign w:val="center"/>
          </w:tcPr>
          <w:p w14:paraId="5465C4A8"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主要工艺指标</w:t>
            </w:r>
          </w:p>
        </w:tc>
        <w:tc>
          <w:tcPr>
            <w:tcW w:w="1030" w:type="pct"/>
            <w:tcBorders>
              <w:top w:val="single" w:sz="4" w:space="0" w:color="000000"/>
              <w:left w:val="single" w:sz="4" w:space="0" w:color="000000"/>
              <w:bottom w:val="single" w:sz="4" w:space="0" w:color="000000"/>
              <w:right w:val="single" w:sz="4" w:space="0" w:color="000000"/>
            </w:tcBorders>
          </w:tcPr>
          <w:p w14:paraId="5F364DC0"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c>
          <w:tcPr>
            <w:tcW w:w="1109" w:type="pct"/>
            <w:tcBorders>
              <w:top w:val="single" w:sz="4" w:space="0" w:color="000000"/>
              <w:left w:val="single" w:sz="4" w:space="0" w:color="000000"/>
              <w:bottom w:val="single" w:sz="4" w:space="0" w:color="000000"/>
              <w:right w:val="single" w:sz="4" w:space="0" w:color="000000"/>
            </w:tcBorders>
          </w:tcPr>
          <w:p w14:paraId="4151AE18"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c>
          <w:tcPr>
            <w:tcW w:w="820" w:type="pct"/>
            <w:tcBorders>
              <w:top w:val="single" w:sz="4" w:space="0" w:color="000000"/>
              <w:left w:val="single" w:sz="4" w:space="0" w:color="000000"/>
              <w:bottom w:val="single" w:sz="4" w:space="0" w:color="000000"/>
              <w:right w:val="single" w:sz="4" w:space="0" w:color="000000"/>
            </w:tcBorders>
            <w:vAlign w:val="center"/>
          </w:tcPr>
          <w:p w14:paraId="7590A568"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r>
      <w:tr w:rsidR="00BD1C8B" w:rsidRPr="00BD1C8B" w14:paraId="00BFC372"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66FE18BE"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1</w:t>
            </w:r>
          </w:p>
        </w:tc>
        <w:tc>
          <w:tcPr>
            <w:tcW w:w="1597" w:type="pct"/>
            <w:tcBorders>
              <w:top w:val="single" w:sz="4" w:space="0" w:color="000000"/>
              <w:left w:val="single" w:sz="4" w:space="0" w:color="000000"/>
              <w:bottom w:val="single" w:sz="4" w:space="0" w:color="000000"/>
              <w:right w:val="single" w:sz="4" w:space="0" w:color="000000"/>
            </w:tcBorders>
            <w:vAlign w:val="center"/>
          </w:tcPr>
          <w:p w14:paraId="3D0815E1"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采场生产能力</w:t>
            </w:r>
          </w:p>
        </w:tc>
        <w:tc>
          <w:tcPr>
            <w:tcW w:w="1030" w:type="pct"/>
            <w:tcBorders>
              <w:top w:val="single" w:sz="4" w:space="0" w:color="000000"/>
              <w:left w:val="single" w:sz="4" w:space="0" w:color="000000"/>
              <w:bottom w:val="single" w:sz="4" w:space="0" w:color="000000"/>
              <w:right w:val="single" w:sz="4" w:space="0" w:color="000000"/>
            </w:tcBorders>
          </w:tcPr>
          <w:p w14:paraId="7A3C1EF1"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吨</w:t>
            </w:r>
            <w:r w:rsidRPr="00BD1C8B">
              <w:rPr>
                <w:rFonts w:ascii="Times New Roman" w:hAnsi="Times New Roman" w:cs="Times New Roman"/>
              </w:rPr>
              <w:t>/</w:t>
            </w:r>
            <w:r w:rsidRPr="00BD1C8B">
              <w:rPr>
                <w:rFonts w:ascii="Times New Roman" w:hAnsi="Times New Roman" w:cs="Times New Roman"/>
              </w:rPr>
              <w:t>天</w:t>
            </w:r>
          </w:p>
        </w:tc>
        <w:tc>
          <w:tcPr>
            <w:tcW w:w="1109" w:type="pct"/>
            <w:tcBorders>
              <w:top w:val="single" w:sz="4" w:space="0" w:color="000000"/>
              <w:left w:val="single" w:sz="4" w:space="0" w:color="000000"/>
              <w:bottom w:val="single" w:sz="4" w:space="0" w:color="000000"/>
              <w:right w:val="single" w:sz="4" w:space="0" w:color="000000"/>
            </w:tcBorders>
          </w:tcPr>
          <w:p w14:paraId="6F7C0B51"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667</w:t>
            </w:r>
          </w:p>
        </w:tc>
        <w:tc>
          <w:tcPr>
            <w:tcW w:w="820" w:type="pct"/>
            <w:tcBorders>
              <w:top w:val="single" w:sz="4" w:space="0" w:color="000000"/>
              <w:left w:val="single" w:sz="4" w:space="0" w:color="000000"/>
              <w:bottom w:val="single" w:sz="4" w:space="0" w:color="000000"/>
              <w:right w:val="single" w:sz="4" w:space="0" w:color="000000"/>
            </w:tcBorders>
            <w:vAlign w:val="center"/>
          </w:tcPr>
          <w:p w14:paraId="04CB27BA"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r>
      <w:tr w:rsidR="00BD1C8B" w:rsidRPr="00BD1C8B" w14:paraId="6BA4518F"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57B99AB8"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2</w:t>
            </w:r>
          </w:p>
        </w:tc>
        <w:tc>
          <w:tcPr>
            <w:tcW w:w="1597" w:type="pct"/>
            <w:tcBorders>
              <w:top w:val="single" w:sz="4" w:space="0" w:color="000000"/>
              <w:left w:val="single" w:sz="4" w:space="0" w:color="000000"/>
              <w:bottom w:val="single" w:sz="4" w:space="0" w:color="000000"/>
              <w:right w:val="single" w:sz="4" w:space="0" w:color="000000"/>
            </w:tcBorders>
            <w:vAlign w:val="center"/>
          </w:tcPr>
          <w:p w14:paraId="0671686E"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年工作天数</w:t>
            </w:r>
          </w:p>
        </w:tc>
        <w:tc>
          <w:tcPr>
            <w:tcW w:w="1030" w:type="pct"/>
            <w:tcBorders>
              <w:top w:val="single" w:sz="4" w:space="0" w:color="000000"/>
              <w:left w:val="single" w:sz="4" w:space="0" w:color="000000"/>
              <w:bottom w:val="single" w:sz="4" w:space="0" w:color="000000"/>
              <w:right w:val="single" w:sz="4" w:space="0" w:color="000000"/>
            </w:tcBorders>
          </w:tcPr>
          <w:p w14:paraId="47BFEBE6"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d</w:t>
            </w:r>
          </w:p>
        </w:tc>
        <w:tc>
          <w:tcPr>
            <w:tcW w:w="1109" w:type="pct"/>
            <w:tcBorders>
              <w:top w:val="single" w:sz="4" w:space="0" w:color="000000"/>
              <w:left w:val="single" w:sz="4" w:space="0" w:color="000000"/>
              <w:bottom w:val="single" w:sz="4" w:space="0" w:color="000000"/>
              <w:right w:val="single" w:sz="4" w:space="0" w:color="000000"/>
            </w:tcBorders>
          </w:tcPr>
          <w:p w14:paraId="28C9A947"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300</w:t>
            </w:r>
          </w:p>
        </w:tc>
        <w:tc>
          <w:tcPr>
            <w:tcW w:w="820" w:type="pct"/>
            <w:tcBorders>
              <w:top w:val="single" w:sz="4" w:space="0" w:color="000000"/>
              <w:left w:val="single" w:sz="4" w:space="0" w:color="000000"/>
              <w:bottom w:val="single" w:sz="4" w:space="0" w:color="000000"/>
              <w:right w:val="single" w:sz="4" w:space="0" w:color="000000"/>
            </w:tcBorders>
            <w:vAlign w:val="center"/>
          </w:tcPr>
          <w:p w14:paraId="5B6FD0A6"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r>
      <w:tr w:rsidR="00BD1C8B" w:rsidRPr="00BD1C8B" w14:paraId="4BFC7C85"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19D9D250"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3</w:t>
            </w:r>
          </w:p>
        </w:tc>
        <w:tc>
          <w:tcPr>
            <w:tcW w:w="1597" w:type="pct"/>
            <w:tcBorders>
              <w:top w:val="single" w:sz="4" w:space="0" w:color="000000"/>
              <w:left w:val="single" w:sz="4" w:space="0" w:color="000000"/>
              <w:bottom w:val="single" w:sz="4" w:space="0" w:color="000000"/>
              <w:right w:val="single" w:sz="4" w:space="0" w:color="000000"/>
            </w:tcBorders>
            <w:vAlign w:val="center"/>
          </w:tcPr>
          <w:p w14:paraId="5466082D"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阶段高度</w:t>
            </w:r>
          </w:p>
        </w:tc>
        <w:tc>
          <w:tcPr>
            <w:tcW w:w="1030" w:type="pct"/>
            <w:tcBorders>
              <w:top w:val="single" w:sz="4" w:space="0" w:color="000000"/>
              <w:left w:val="single" w:sz="4" w:space="0" w:color="000000"/>
              <w:bottom w:val="single" w:sz="4" w:space="0" w:color="000000"/>
              <w:right w:val="single" w:sz="4" w:space="0" w:color="000000"/>
            </w:tcBorders>
          </w:tcPr>
          <w:p w14:paraId="69547A44"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m</w:t>
            </w:r>
          </w:p>
        </w:tc>
        <w:tc>
          <w:tcPr>
            <w:tcW w:w="1109" w:type="pct"/>
            <w:tcBorders>
              <w:top w:val="single" w:sz="4" w:space="0" w:color="000000"/>
              <w:left w:val="single" w:sz="4" w:space="0" w:color="000000"/>
              <w:bottom w:val="single" w:sz="4" w:space="0" w:color="000000"/>
              <w:right w:val="single" w:sz="4" w:space="0" w:color="000000"/>
            </w:tcBorders>
          </w:tcPr>
          <w:p w14:paraId="68E36D53"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10</w:t>
            </w:r>
          </w:p>
        </w:tc>
        <w:tc>
          <w:tcPr>
            <w:tcW w:w="820" w:type="pct"/>
            <w:tcBorders>
              <w:top w:val="single" w:sz="4" w:space="0" w:color="000000"/>
              <w:left w:val="single" w:sz="4" w:space="0" w:color="000000"/>
              <w:bottom w:val="single" w:sz="4" w:space="0" w:color="000000"/>
              <w:right w:val="single" w:sz="4" w:space="0" w:color="000000"/>
            </w:tcBorders>
            <w:vAlign w:val="center"/>
          </w:tcPr>
          <w:p w14:paraId="77E5F532"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r>
      <w:tr w:rsidR="00BD1C8B" w:rsidRPr="00BD1C8B" w14:paraId="561F9576"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3041CFD0"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4</w:t>
            </w:r>
          </w:p>
        </w:tc>
        <w:tc>
          <w:tcPr>
            <w:tcW w:w="1597" w:type="pct"/>
            <w:tcBorders>
              <w:top w:val="single" w:sz="4" w:space="0" w:color="000000"/>
              <w:left w:val="single" w:sz="4" w:space="0" w:color="000000"/>
              <w:bottom w:val="single" w:sz="4" w:space="0" w:color="000000"/>
              <w:right w:val="single" w:sz="4" w:space="0" w:color="000000"/>
            </w:tcBorders>
            <w:vAlign w:val="center"/>
          </w:tcPr>
          <w:p w14:paraId="67CE1BB4"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最终边坡角</w:t>
            </w:r>
          </w:p>
        </w:tc>
        <w:tc>
          <w:tcPr>
            <w:tcW w:w="1030" w:type="pct"/>
            <w:tcBorders>
              <w:top w:val="single" w:sz="4" w:space="0" w:color="000000"/>
              <w:left w:val="single" w:sz="4" w:space="0" w:color="000000"/>
              <w:bottom w:val="single" w:sz="4" w:space="0" w:color="000000"/>
              <w:right w:val="single" w:sz="4" w:space="0" w:color="000000"/>
            </w:tcBorders>
          </w:tcPr>
          <w:p w14:paraId="6909AA9F"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度</w:t>
            </w:r>
          </w:p>
        </w:tc>
        <w:tc>
          <w:tcPr>
            <w:tcW w:w="1109" w:type="pct"/>
            <w:tcBorders>
              <w:top w:val="single" w:sz="4" w:space="0" w:color="000000"/>
              <w:left w:val="single" w:sz="4" w:space="0" w:color="000000"/>
              <w:bottom w:val="single" w:sz="4" w:space="0" w:color="000000"/>
              <w:right w:val="single" w:sz="4" w:space="0" w:color="000000"/>
            </w:tcBorders>
          </w:tcPr>
          <w:p w14:paraId="32E3749F"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70</w:t>
            </w:r>
          </w:p>
        </w:tc>
        <w:tc>
          <w:tcPr>
            <w:tcW w:w="820" w:type="pct"/>
            <w:tcBorders>
              <w:top w:val="single" w:sz="4" w:space="0" w:color="000000"/>
              <w:left w:val="single" w:sz="4" w:space="0" w:color="000000"/>
              <w:bottom w:val="single" w:sz="4" w:space="0" w:color="000000"/>
              <w:right w:val="single" w:sz="4" w:space="0" w:color="000000"/>
            </w:tcBorders>
            <w:vAlign w:val="center"/>
          </w:tcPr>
          <w:p w14:paraId="5AFDCFF3" w14:textId="77777777" w:rsidR="00DF3BA0" w:rsidRPr="00BD1C8B" w:rsidRDefault="00DF3BA0" w:rsidP="00DF3BA0">
            <w:pPr>
              <w:pStyle w:val="aff"/>
              <w:rPr>
                <w:rFonts w:ascii="Times New Roman" w:hAnsi="Times New Roman" w:cs="Times New Roman"/>
              </w:rPr>
            </w:pPr>
            <w:r w:rsidRPr="00BD1C8B">
              <w:rPr>
                <w:rFonts w:ascii="Times New Roman" w:hAnsi="Times New Roman" w:cs="Times New Roman"/>
              </w:rPr>
              <w:t>/</w:t>
            </w:r>
          </w:p>
        </w:tc>
      </w:tr>
      <w:tr w:rsidR="00BD1C8B" w:rsidRPr="00BD1C8B" w14:paraId="4E449CB0" w14:textId="77777777" w:rsidTr="00374644">
        <w:trPr>
          <w:cantSplit/>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1066AE97" w14:textId="1502D577" w:rsidR="00172FA9" w:rsidRPr="00BD1C8B" w:rsidRDefault="00172FA9" w:rsidP="0000008B">
            <w:pPr>
              <w:pStyle w:val="aff"/>
              <w:rPr>
                <w:rFonts w:ascii="Times New Roman" w:hAnsi="Times New Roman" w:cs="Times New Roman"/>
              </w:rPr>
            </w:pPr>
            <w:r w:rsidRPr="00BD1C8B">
              <w:rPr>
                <w:rFonts w:ascii="Times New Roman" w:hAnsi="Times New Roman" w:cs="Times New Roman" w:hint="eastAsia"/>
              </w:rPr>
              <w:t>驻马店市</w:t>
            </w:r>
            <w:proofErr w:type="gramStart"/>
            <w:r w:rsidRPr="00BD1C8B">
              <w:rPr>
                <w:rFonts w:ascii="Times New Roman" w:hAnsi="Times New Roman" w:cs="Times New Roman" w:hint="eastAsia"/>
              </w:rPr>
              <w:t>驿</w:t>
            </w:r>
            <w:proofErr w:type="gramEnd"/>
            <w:r w:rsidRPr="00BD1C8B">
              <w:rPr>
                <w:rFonts w:ascii="Times New Roman" w:hAnsi="Times New Roman" w:cs="Times New Roman" w:hint="eastAsia"/>
              </w:rPr>
              <w:t>城区宏运石料厂</w:t>
            </w:r>
          </w:p>
        </w:tc>
      </w:tr>
      <w:tr w:rsidR="00BD1C8B" w:rsidRPr="00BD1C8B" w14:paraId="65EE8063"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393BF0DE"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序号</w:t>
            </w:r>
          </w:p>
        </w:tc>
        <w:tc>
          <w:tcPr>
            <w:tcW w:w="1597" w:type="pct"/>
            <w:tcBorders>
              <w:top w:val="single" w:sz="4" w:space="0" w:color="000000"/>
              <w:left w:val="single" w:sz="4" w:space="0" w:color="000000"/>
              <w:bottom w:val="single" w:sz="4" w:space="0" w:color="000000"/>
              <w:right w:val="single" w:sz="4" w:space="0" w:color="000000"/>
            </w:tcBorders>
            <w:vAlign w:val="center"/>
          </w:tcPr>
          <w:p w14:paraId="4B9441D3"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指标名称</w:t>
            </w:r>
          </w:p>
        </w:tc>
        <w:tc>
          <w:tcPr>
            <w:tcW w:w="1030" w:type="pct"/>
            <w:tcBorders>
              <w:top w:val="single" w:sz="4" w:space="0" w:color="000000"/>
              <w:left w:val="single" w:sz="4" w:space="0" w:color="000000"/>
              <w:bottom w:val="single" w:sz="4" w:space="0" w:color="000000"/>
              <w:right w:val="single" w:sz="4" w:space="0" w:color="000000"/>
            </w:tcBorders>
          </w:tcPr>
          <w:p w14:paraId="11AE18F1"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单位</w:t>
            </w:r>
          </w:p>
        </w:tc>
        <w:tc>
          <w:tcPr>
            <w:tcW w:w="1109" w:type="pct"/>
            <w:tcBorders>
              <w:top w:val="single" w:sz="4" w:space="0" w:color="000000"/>
              <w:left w:val="single" w:sz="4" w:space="0" w:color="000000"/>
              <w:bottom w:val="single" w:sz="4" w:space="0" w:color="000000"/>
              <w:right w:val="single" w:sz="4" w:space="0" w:color="000000"/>
            </w:tcBorders>
          </w:tcPr>
          <w:p w14:paraId="5EFF8E7F"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数量</w:t>
            </w:r>
          </w:p>
        </w:tc>
        <w:tc>
          <w:tcPr>
            <w:tcW w:w="820" w:type="pct"/>
            <w:tcBorders>
              <w:top w:val="single" w:sz="4" w:space="0" w:color="000000"/>
              <w:left w:val="single" w:sz="4" w:space="0" w:color="000000"/>
              <w:bottom w:val="single" w:sz="4" w:space="0" w:color="000000"/>
              <w:right w:val="single" w:sz="4" w:space="0" w:color="000000"/>
            </w:tcBorders>
            <w:vAlign w:val="center"/>
          </w:tcPr>
          <w:p w14:paraId="0D0A79C7"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备注</w:t>
            </w:r>
          </w:p>
        </w:tc>
      </w:tr>
      <w:tr w:rsidR="00BD1C8B" w:rsidRPr="00BD1C8B" w14:paraId="374A6125"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09C03F8B" w14:textId="77777777" w:rsidR="00172FA9" w:rsidRPr="00BD1C8B" w:rsidRDefault="00172FA9" w:rsidP="0000008B">
            <w:pPr>
              <w:pStyle w:val="aff"/>
              <w:rPr>
                <w:rFonts w:ascii="Times New Roman" w:hAnsi="Times New Roman" w:cs="Times New Roman"/>
              </w:rPr>
            </w:pPr>
            <w:proofErr w:type="gramStart"/>
            <w:r w:rsidRPr="00BD1C8B">
              <w:rPr>
                <w:rFonts w:ascii="Times New Roman" w:hAnsi="Times New Roman" w:cs="Times New Roman"/>
              </w:rPr>
              <w:t>一</w:t>
            </w:r>
            <w:proofErr w:type="gramEnd"/>
          </w:p>
        </w:tc>
        <w:tc>
          <w:tcPr>
            <w:tcW w:w="1597" w:type="pct"/>
            <w:tcBorders>
              <w:top w:val="single" w:sz="4" w:space="0" w:color="000000"/>
              <w:left w:val="single" w:sz="4" w:space="0" w:color="000000"/>
              <w:bottom w:val="single" w:sz="4" w:space="0" w:color="000000"/>
              <w:right w:val="single" w:sz="4" w:space="0" w:color="000000"/>
            </w:tcBorders>
            <w:vAlign w:val="center"/>
          </w:tcPr>
          <w:p w14:paraId="2F52685A"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矿区面积</w:t>
            </w:r>
          </w:p>
        </w:tc>
        <w:tc>
          <w:tcPr>
            <w:tcW w:w="1030" w:type="pct"/>
            <w:tcBorders>
              <w:top w:val="single" w:sz="4" w:space="0" w:color="000000"/>
              <w:left w:val="single" w:sz="4" w:space="0" w:color="000000"/>
              <w:bottom w:val="single" w:sz="4" w:space="0" w:color="000000"/>
              <w:right w:val="single" w:sz="4" w:space="0" w:color="000000"/>
            </w:tcBorders>
          </w:tcPr>
          <w:p w14:paraId="077A08A9"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Km</w:t>
            </w:r>
            <w:r w:rsidRPr="00BD1C8B">
              <w:rPr>
                <w:rFonts w:ascii="Times New Roman" w:hAnsi="Times New Roman" w:cs="Times New Roman"/>
                <w:vertAlign w:val="superscript"/>
              </w:rPr>
              <w:t>2</w:t>
            </w:r>
          </w:p>
        </w:tc>
        <w:tc>
          <w:tcPr>
            <w:tcW w:w="1109" w:type="pct"/>
            <w:tcBorders>
              <w:top w:val="single" w:sz="4" w:space="0" w:color="000000"/>
              <w:left w:val="single" w:sz="4" w:space="0" w:color="000000"/>
              <w:bottom w:val="single" w:sz="4" w:space="0" w:color="000000"/>
              <w:right w:val="single" w:sz="4" w:space="0" w:color="000000"/>
            </w:tcBorders>
          </w:tcPr>
          <w:p w14:paraId="6FAAE534" w14:textId="560CF123" w:rsidR="00172FA9" w:rsidRPr="00BD1C8B" w:rsidRDefault="00BD1C8B" w:rsidP="0000008B">
            <w:pPr>
              <w:pStyle w:val="aff"/>
              <w:rPr>
                <w:rFonts w:ascii="Times New Roman" w:hAnsi="Times New Roman" w:cs="Times New Roman"/>
              </w:rPr>
            </w:pPr>
            <w:r w:rsidRPr="00BD1C8B">
              <w:rPr>
                <w:rFonts w:ascii="Times New Roman" w:hAnsi="Times New Roman" w:cs="Times New Roman" w:hint="eastAsia"/>
              </w:rPr>
              <w:t>0.2242</w:t>
            </w:r>
          </w:p>
        </w:tc>
        <w:tc>
          <w:tcPr>
            <w:tcW w:w="820" w:type="pct"/>
            <w:tcBorders>
              <w:top w:val="single" w:sz="4" w:space="0" w:color="000000"/>
              <w:left w:val="single" w:sz="4" w:space="0" w:color="000000"/>
              <w:bottom w:val="single" w:sz="4" w:space="0" w:color="000000"/>
              <w:right w:val="single" w:sz="4" w:space="0" w:color="000000"/>
            </w:tcBorders>
            <w:vAlign w:val="center"/>
          </w:tcPr>
          <w:p w14:paraId="0A27E35F"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r>
      <w:tr w:rsidR="00BD1C8B" w:rsidRPr="00BD1C8B" w14:paraId="22E31AE8"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3B7D93AC"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二</w:t>
            </w:r>
          </w:p>
        </w:tc>
        <w:tc>
          <w:tcPr>
            <w:tcW w:w="1597" w:type="pct"/>
            <w:tcBorders>
              <w:top w:val="single" w:sz="4" w:space="0" w:color="000000"/>
              <w:left w:val="single" w:sz="4" w:space="0" w:color="000000"/>
              <w:bottom w:val="single" w:sz="4" w:space="0" w:color="000000"/>
              <w:right w:val="single" w:sz="4" w:space="0" w:color="000000"/>
            </w:tcBorders>
            <w:vAlign w:val="center"/>
          </w:tcPr>
          <w:p w14:paraId="5B96EF0C"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设计开采储量</w:t>
            </w:r>
          </w:p>
        </w:tc>
        <w:tc>
          <w:tcPr>
            <w:tcW w:w="1030" w:type="pct"/>
            <w:tcBorders>
              <w:top w:val="single" w:sz="4" w:space="0" w:color="000000"/>
              <w:left w:val="single" w:sz="4" w:space="0" w:color="000000"/>
              <w:bottom w:val="single" w:sz="4" w:space="0" w:color="000000"/>
              <w:right w:val="single" w:sz="4" w:space="0" w:color="000000"/>
            </w:tcBorders>
          </w:tcPr>
          <w:p w14:paraId="485D76BA"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万吨</w:t>
            </w:r>
          </w:p>
        </w:tc>
        <w:tc>
          <w:tcPr>
            <w:tcW w:w="1109" w:type="pct"/>
            <w:tcBorders>
              <w:top w:val="single" w:sz="4" w:space="0" w:color="000000"/>
              <w:left w:val="single" w:sz="4" w:space="0" w:color="000000"/>
              <w:bottom w:val="single" w:sz="4" w:space="0" w:color="000000"/>
              <w:right w:val="single" w:sz="4" w:space="0" w:color="000000"/>
            </w:tcBorders>
          </w:tcPr>
          <w:p w14:paraId="44A08F78" w14:textId="1C5E38CE" w:rsidR="00172FA9" w:rsidRPr="00BD1C8B" w:rsidRDefault="00BD1C8B" w:rsidP="0000008B">
            <w:pPr>
              <w:pStyle w:val="aff"/>
              <w:rPr>
                <w:rFonts w:ascii="Times New Roman" w:hAnsi="Times New Roman" w:cs="Times New Roman"/>
              </w:rPr>
            </w:pPr>
            <w:r w:rsidRPr="00BD1C8B">
              <w:rPr>
                <w:rFonts w:ascii="Times New Roman" w:hAnsi="Times New Roman" w:cs="Times New Roman" w:hint="eastAsia"/>
              </w:rPr>
              <w:t>352.5</w:t>
            </w:r>
          </w:p>
        </w:tc>
        <w:tc>
          <w:tcPr>
            <w:tcW w:w="820" w:type="pct"/>
            <w:tcBorders>
              <w:top w:val="single" w:sz="4" w:space="0" w:color="000000"/>
              <w:left w:val="single" w:sz="4" w:space="0" w:color="000000"/>
              <w:bottom w:val="single" w:sz="4" w:space="0" w:color="000000"/>
              <w:right w:val="single" w:sz="4" w:space="0" w:color="000000"/>
            </w:tcBorders>
            <w:vAlign w:val="center"/>
          </w:tcPr>
          <w:p w14:paraId="5EACB686"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r>
      <w:tr w:rsidR="00BD1C8B" w:rsidRPr="00BD1C8B" w14:paraId="4C6A08DA"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7D8C0327"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三</w:t>
            </w:r>
          </w:p>
        </w:tc>
        <w:tc>
          <w:tcPr>
            <w:tcW w:w="1597" w:type="pct"/>
            <w:tcBorders>
              <w:top w:val="single" w:sz="4" w:space="0" w:color="000000"/>
              <w:left w:val="single" w:sz="4" w:space="0" w:color="000000"/>
              <w:bottom w:val="single" w:sz="4" w:space="0" w:color="000000"/>
              <w:right w:val="single" w:sz="4" w:space="0" w:color="000000"/>
            </w:tcBorders>
            <w:vAlign w:val="center"/>
          </w:tcPr>
          <w:p w14:paraId="7F61FD4E"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开采方式</w:t>
            </w:r>
          </w:p>
        </w:tc>
        <w:tc>
          <w:tcPr>
            <w:tcW w:w="1030" w:type="pct"/>
            <w:tcBorders>
              <w:top w:val="single" w:sz="4" w:space="0" w:color="000000"/>
              <w:left w:val="single" w:sz="4" w:space="0" w:color="000000"/>
              <w:bottom w:val="single" w:sz="4" w:space="0" w:color="000000"/>
              <w:right w:val="single" w:sz="4" w:space="0" w:color="000000"/>
            </w:tcBorders>
          </w:tcPr>
          <w:p w14:paraId="6D3F8934"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c>
          <w:tcPr>
            <w:tcW w:w="1109" w:type="pct"/>
            <w:tcBorders>
              <w:top w:val="single" w:sz="4" w:space="0" w:color="000000"/>
              <w:left w:val="single" w:sz="4" w:space="0" w:color="000000"/>
              <w:bottom w:val="single" w:sz="4" w:space="0" w:color="000000"/>
              <w:right w:val="single" w:sz="4" w:space="0" w:color="000000"/>
            </w:tcBorders>
          </w:tcPr>
          <w:p w14:paraId="397F7113"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c>
          <w:tcPr>
            <w:tcW w:w="820" w:type="pct"/>
            <w:tcBorders>
              <w:top w:val="single" w:sz="4" w:space="0" w:color="000000"/>
              <w:left w:val="single" w:sz="4" w:space="0" w:color="000000"/>
              <w:bottom w:val="single" w:sz="4" w:space="0" w:color="000000"/>
              <w:right w:val="single" w:sz="4" w:space="0" w:color="000000"/>
            </w:tcBorders>
            <w:vAlign w:val="center"/>
          </w:tcPr>
          <w:p w14:paraId="6921B001"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露天开采</w:t>
            </w:r>
          </w:p>
        </w:tc>
      </w:tr>
      <w:tr w:rsidR="00BD1C8B" w:rsidRPr="00BD1C8B" w14:paraId="0C4B1A09" w14:textId="77777777" w:rsidTr="00BD1C8B">
        <w:trPr>
          <w:cantSplit/>
          <w:trHeight w:val="395"/>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1AE28204"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四</w:t>
            </w:r>
          </w:p>
        </w:tc>
        <w:tc>
          <w:tcPr>
            <w:tcW w:w="1597" w:type="pct"/>
            <w:tcBorders>
              <w:top w:val="single" w:sz="4" w:space="0" w:color="000000"/>
              <w:left w:val="single" w:sz="4" w:space="0" w:color="000000"/>
              <w:bottom w:val="single" w:sz="4" w:space="0" w:color="000000"/>
              <w:right w:val="single" w:sz="4" w:space="0" w:color="000000"/>
            </w:tcBorders>
            <w:vAlign w:val="center"/>
          </w:tcPr>
          <w:p w14:paraId="7EA29FBA"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设计开采规模</w:t>
            </w:r>
          </w:p>
        </w:tc>
        <w:tc>
          <w:tcPr>
            <w:tcW w:w="1030" w:type="pct"/>
            <w:tcBorders>
              <w:top w:val="single" w:sz="4" w:space="0" w:color="000000"/>
              <w:left w:val="single" w:sz="4" w:space="0" w:color="000000"/>
              <w:bottom w:val="single" w:sz="4" w:space="0" w:color="000000"/>
              <w:right w:val="single" w:sz="4" w:space="0" w:color="000000"/>
            </w:tcBorders>
          </w:tcPr>
          <w:p w14:paraId="3FD69F54"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万吨</w:t>
            </w:r>
            <w:r w:rsidRPr="00BD1C8B">
              <w:rPr>
                <w:rFonts w:ascii="Times New Roman" w:hAnsi="Times New Roman" w:cs="Times New Roman"/>
              </w:rPr>
              <w:t>/</w:t>
            </w:r>
            <w:r w:rsidRPr="00BD1C8B">
              <w:rPr>
                <w:rFonts w:ascii="Times New Roman" w:hAnsi="Times New Roman" w:cs="Times New Roman"/>
              </w:rPr>
              <w:t>年</w:t>
            </w:r>
          </w:p>
        </w:tc>
        <w:tc>
          <w:tcPr>
            <w:tcW w:w="1109" w:type="pct"/>
            <w:tcBorders>
              <w:top w:val="single" w:sz="4" w:space="0" w:color="000000"/>
              <w:left w:val="single" w:sz="4" w:space="0" w:color="000000"/>
              <w:bottom w:val="single" w:sz="4" w:space="0" w:color="000000"/>
              <w:right w:val="single" w:sz="4" w:space="0" w:color="000000"/>
            </w:tcBorders>
          </w:tcPr>
          <w:p w14:paraId="27AB1DA1" w14:textId="5F6FB19F" w:rsidR="00172FA9" w:rsidRPr="00BD1C8B" w:rsidRDefault="00BD1C8B" w:rsidP="0000008B">
            <w:pPr>
              <w:pStyle w:val="aff"/>
              <w:rPr>
                <w:rFonts w:ascii="Times New Roman" w:hAnsi="Times New Roman" w:cs="Times New Roman"/>
              </w:rPr>
            </w:pPr>
            <w:r w:rsidRPr="00BD1C8B">
              <w:rPr>
                <w:rFonts w:ascii="Times New Roman" w:hAnsi="Times New Roman" w:cs="Times New Roman" w:hint="eastAsia"/>
              </w:rPr>
              <w:t>10</w:t>
            </w:r>
          </w:p>
        </w:tc>
        <w:tc>
          <w:tcPr>
            <w:tcW w:w="820" w:type="pct"/>
            <w:tcBorders>
              <w:top w:val="single" w:sz="4" w:space="0" w:color="000000"/>
              <w:left w:val="single" w:sz="4" w:space="0" w:color="000000"/>
              <w:bottom w:val="single" w:sz="4" w:space="0" w:color="000000"/>
              <w:right w:val="single" w:sz="4" w:space="0" w:color="000000"/>
            </w:tcBorders>
            <w:vAlign w:val="center"/>
          </w:tcPr>
          <w:p w14:paraId="6A9C613C" w14:textId="481E74B9" w:rsidR="00172FA9" w:rsidRPr="00BD1C8B" w:rsidRDefault="00172FA9" w:rsidP="0000008B">
            <w:pPr>
              <w:pStyle w:val="aff"/>
              <w:rPr>
                <w:rFonts w:ascii="Times New Roman" w:hAnsi="Times New Roman" w:cs="Times New Roman"/>
              </w:rPr>
            </w:pPr>
            <w:r w:rsidRPr="00BD1C8B">
              <w:rPr>
                <w:rFonts w:ascii="Times New Roman" w:hAnsi="Times New Roman" w:cs="Times New Roman" w:hint="eastAsia"/>
              </w:rPr>
              <w:t>玄武岩</w:t>
            </w:r>
          </w:p>
        </w:tc>
      </w:tr>
      <w:tr w:rsidR="00BD1C8B" w:rsidRPr="00BD1C8B" w14:paraId="1A718749"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38327993"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五</w:t>
            </w:r>
          </w:p>
        </w:tc>
        <w:tc>
          <w:tcPr>
            <w:tcW w:w="1597" w:type="pct"/>
            <w:tcBorders>
              <w:top w:val="single" w:sz="4" w:space="0" w:color="000000"/>
              <w:left w:val="single" w:sz="4" w:space="0" w:color="000000"/>
              <w:bottom w:val="single" w:sz="4" w:space="0" w:color="000000"/>
              <w:right w:val="single" w:sz="4" w:space="0" w:color="000000"/>
            </w:tcBorders>
            <w:vAlign w:val="center"/>
          </w:tcPr>
          <w:p w14:paraId="036EDFFC"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矿山服务年限</w:t>
            </w:r>
          </w:p>
        </w:tc>
        <w:tc>
          <w:tcPr>
            <w:tcW w:w="1030" w:type="pct"/>
            <w:tcBorders>
              <w:top w:val="single" w:sz="4" w:space="0" w:color="000000"/>
              <w:left w:val="single" w:sz="4" w:space="0" w:color="000000"/>
              <w:bottom w:val="single" w:sz="4" w:space="0" w:color="000000"/>
              <w:right w:val="single" w:sz="4" w:space="0" w:color="000000"/>
            </w:tcBorders>
          </w:tcPr>
          <w:p w14:paraId="4F938962"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年</w:t>
            </w:r>
          </w:p>
        </w:tc>
        <w:tc>
          <w:tcPr>
            <w:tcW w:w="1109" w:type="pct"/>
            <w:tcBorders>
              <w:top w:val="single" w:sz="4" w:space="0" w:color="000000"/>
              <w:left w:val="single" w:sz="4" w:space="0" w:color="000000"/>
              <w:bottom w:val="single" w:sz="4" w:space="0" w:color="000000"/>
              <w:right w:val="single" w:sz="4" w:space="0" w:color="000000"/>
            </w:tcBorders>
          </w:tcPr>
          <w:p w14:paraId="6A0A4F56" w14:textId="05805FBF" w:rsidR="00172FA9" w:rsidRPr="00BD1C8B" w:rsidRDefault="00BD1C8B" w:rsidP="0000008B">
            <w:pPr>
              <w:pStyle w:val="aff"/>
              <w:rPr>
                <w:rFonts w:ascii="Times New Roman" w:hAnsi="Times New Roman" w:cs="Times New Roman"/>
              </w:rPr>
            </w:pPr>
            <w:r w:rsidRPr="00BD1C8B">
              <w:rPr>
                <w:rFonts w:ascii="Times New Roman" w:hAnsi="Times New Roman" w:cs="Times New Roman" w:hint="eastAsia"/>
              </w:rPr>
              <w:t>35.2</w:t>
            </w:r>
          </w:p>
        </w:tc>
        <w:tc>
          <w:tcPr>
            <w:tcW w:w="820" w:type="pct"/>
            <w:tcBorders>
              <w:top w:val="single" w:sz="4" w:space="0" w:color="000000"/>
              <w:left w:val="single" w:sz="4" w:space="0" w:color="000000"/>
              <w:bottom w:val="single" w:sz="4" w:space="0" w:color="000000"/>
              <w:right w:val="single" w:sz="4" w:space="0" w:color="000000"/>
            </w:tcBorders>
            <w:vAlign w:val="center"/>
          </w:tcPr>
          <w:p w14:paraId="2892952C"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r>
      <w:tr w:rsidR="00BD1C8B" w:rsidRPr="00BD1C8B" w14:paraId="6959429A"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105FCE3E"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六</w:t>
            </w:r>
          </w:p>
        </w:tc>
        <w:tc>
          <w:tcPr>
            <w:tcW w:w="1597" w:type="pct"/>
            <w:tcBorders>
              <w:top w:val="single" w:sz="4" w:space="0" w:color="000000"/>
              <w:left w:val="single" w:sz="4" w:space="0" w:color="000000"/>
              <w:bottom w:val="single" w:sz="4" w:space="0" w:color="000000"/>
              <w:right w:val="single" w:sz="4" w:space="0" w:color="000000"/>
            </w:tcBorders>
            <w:vAlign w:val="center"/>
          </w:tcPr>
          <w:p w14:paraId="4677E861"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主要工艺指标</w:t>
            </w:r>
          </w:p>
        </w:tc>
        <w:tc>
          <w:tcPr>
            <w:tcW w:w="1030" w:type="pct"/>
            <w:tcBorders>
              <w:top w:val="single" w:sz="4" w:space="0" w:color="000000"/>
              <w:left w:val="single" w:sz="4" w:space="0" w:color="000000"/>
              <w:bottom w:val="single" w:sz="4" w:space="0" w:color="000000"/>
              <w:right w:val="single" w:sz="4" w:space="0" w:color="000000"/>
            </w:tcBorders>
          </w:tcPr>
          <w:p w14:paraId="011AB280"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c>
          <w:tcPr>
            <w:tcW w:w="1109" w:type="pct"/>
            <w:tcBorders>
              <w:top w:val="single" w:sz="4" w:space="0" w:color="000000"/>
              <w:left w:val="single" w:sz="4" w:space="0" w:color="000000"/>
              <w:bottom w:val="single" w:sz="4" w:space="0" w:color="000000"/>
              <w:right w:val="single" w:sz="4" w:space="0" w:color="000000"/>
            </w:tcBorders>
          </w:tcPr>
          <w:p w14:paraId="783E8322"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c>
          <w:tcPr>
            <w:tcW w:w="820" w:type="pct"/>
            <w:tcBorders>
              <w:top w:val="single" w:sz="4" w:space="0" w:color="000000"/>
              <w:left w:val="single" w:sz="4" w:space="0" w:color="000000"/>
              <w:bottom w:val="single" w:sz="4" w:space="0" w:color="000000"/>
              <w:right w:val="single" w:sz="4" w:space="0" w:color="000000"/>
            </w:tcBorders>
            <w:vAlign w:val="center"/>
          </w:tcPr>
          <w:p w14:paraId="113996C2"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r>
      <w:tr w:rsidR="00BD1C8B" w:rsidRPr="00BD1C8B" w14:paraId="130F684C"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205CFBA5"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1</w:t>
            </w:r>
          </w:p>
        </w:tc>
        <w:tc>
          <w:tcPr>
            <w:tcW w:w="1597" w:type="pct"/>
            <w:tcBorders>
              <w:top w:val="single" w:sz="4" w:space="0" w:color="000000"/>
              <w:left w:val="single" w:sz="4" w:space="0" w:color="000000"/>
              <w:bottom w:val="single" w:sz="4" w:space="0" w:color="000000"/>
              <w:right w:val="single" w:sz="4" w:space="0" w:color="000000"/>
            </w:tcBorders>
            <w:vAlign w:val="center"/>
          </w:tcPr>
          <w:p w14:paraId="2A2E996C"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采场生产能力</w:t>
            </w:r>
          </w:p>
        </w:tc>
        <w:tc>
          <w:tcPr>
            <w:tcW w:w="1030" w:type="pct"/>
            <w:tcBorders>
              <w:top w:val="single" w:sz="4" w:space="0" w:color="000000"/>
              <w:left w:val="single" w:sz="4" w:space="0" w:color="000000"/>
              <w:bottom w:val="single" w:sz="4" w:space="0" w:color="000000"/>
              <w:right w:val="single" w:sz="4" w:space="0" w:color="000000"/>
            </w:tcBorders>
          </w:tcPr>
          <w:p w14:paraId="58C08BB7"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吨</w:t>
            </w:r>
            <w:r w:rsidRPr="00BD1C8B">
              <w:rPr>
                <w:rFonts w:ascii="Times New Roman" w:hAnsi="Times New Roman" w:cs="Times New Roman"/>
              </w:rPr>
              <w:t>/</w:t>
            </w:r>
            <w:r w:rsidRPr="00BD1C8B">
              <w:rPr>
                <w:rFonts w:ascii="Times New Roman" w:hAnsi="Times New Roman" w:cs="Times New Roman"/>
              </w:rPr>
              <w:t>天</w:t>
            </w:r>
          </w:p>
        </w:tc>
        <w:tc>
          <w:tcPr>
            <w:tcW w:w="1109" w:type="pct"/>
            <w:tcBorders>
              <w:top w:val="single" w:sz="4" w:space="0" w:color="000000"/>
              <w:left w:val="single" w:sz="4" w:space="0" w:color="000000"/>
              <w:bottom w:val="single" w:sz="4" w:space="0" w:color="000000"/>
              <w:right w:val="single" w:sz="4" w:space="0" w:color="000000"/>
            </w:tcBorders>
          </w:tcPr>
          <w:p w14:paraId="6DBCD042" w14:textId="4C19F0B0" w:rsidR="00172FA9" w:rsidRPr="00BD1C8B" w:rsidRDefault="00BD1C8B" w:rsidP="0000008B">
            <w:pPr>
              <w:pStyle w:val="aff"/>
              <w:rPr>
                <w:rFonts w:ascii="Times New Roman" w:hAnsi="Times New Roman" w:cs="Times New Roman"/>
              </w:rPr>
            </w:pPr>
            <w:r w:rsidRPr="00BD1C8B">
              <w:rPr>
                <w:rFonts w:ascii="Times New Roman" w:hAnsi="Times New Roman" w:cs="Times New Roman" w:hint="eastAsia"/>
              </w:rPr>
              <w:t>333.5</w:t>
            </w:r>
          </w:p>
        </w:tc>
        <w:tc>
          <w:tcPr>
            <w:tcW w:w="820" w:type="pct"/>
            <w:tcBorders>
              <w:top w:val="single" w:sz="4" w:space="0" w:color="000000"/>
              <w:left w:val="single" w:sz="4" w:space="0" w:color="000000"/>
              <w:bottom w:val="single" w:sz="4" w:space="0" w:color="000000"/>
              <w:right w:val="single" w:sz="4" w:space="0" w:color="000000"/>
            </w:tcBorders>
            <w:vAlign w:val="center"/>
          </w:tcPr>
          <w:p w14:paraId="7F8E5993"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r>
      <w:tr w:rsidR="00BD1C8B" w:rsidRPr="00BD1C8B" w14:paraId="5B69C846"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5120E3E1"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2</w:t>
            </w:r>
          </w:p>
        </w:tc>
        <w:tc>
          <w:tcPr>
            <w:tcW w:w="1597" w:type="pct"/>
            <w:tcBorders>
              <w:top w:val="single" w:sz="4" w:space="0" w:color="000000"/>
              <w:left w:val="single" w:sz="4" w:space="0" w:color="000000"/>
              <w:bottom w:val="single" w:sz="4" w:space="0" w:color="000000"/>
              <w:right w:val="single" w:sz="4" w:space="0" w:color="000000"/>
            </w:tcBorders>
            <w:vAlign w:val="center"/>
          </w:tcPr>
          <w:p w14:paraId="75D31862"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年工作天数</w:t>
            </w:r>
          </w:p>
        </w:tc>
        <w:tc>
          <w:tcPr>
            <w:tcW w:w="1030" w:type="pct"/>
            <w:tcBorders>
              <w:top w:val="single" w:sz="4" w:space="0" w:color="000000"/>
              <w:left w:val="single" w:sz="4" w:space="0" w:color="000000"/>
              <w:bottom w:val="single" w:sz="4" w:space="0" w:color="000000"/>
              <w:right w:val="single" w:sz="4" w:space="0" w:color="000000"/>
            </w:tcBorders>
          </w:tcPr>
          <w:p w14:paraId="3E5B6C26"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d</w:t>
            </w:r>
          </w:p>
        </w:tc>
        <w:tc>
          <w:tcPr>
            <w:tcW w:w="1109" w:type="pct"/>
            <w:tcBorders>
              <w:top w:val="single" w:sz="4" w:space="0" w:color="000000"/>
              <w:left w:val="single" w:sz="4" w:space="0" w:color="000000"/>
              <w:bottom w:val="single" w:sz="4" w:space="0" w:color="000000"/>
              <w:right w:val="single" w:sz="4" w:space="0" w:color="000000"/>
            </w:tcBorders>
          </w:tcPr>
          <w:p w14:paraId="5450D415"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300</w:t>
            </w:r>
          </w:p>
        </w:tc>
        <w:tc>
          <w:tcPr>
            <w:tcW w:w="820" w:type="pct"/>
            <w:tcBorders>
              <w:top w:val="single" w:sz="4" w:space="0" w:color="000000"/>
              <w:left w:val="single" w:sz="4" w:space="0" w:color="000000"/>
              <w:bottom w:val="single" w:sz="4" w:space="0" w:color="000000"/>
              <w:right w:val="single" w:sz="4" w:space="0" w:color="000000"/>
            </w:tcBorders>
            <w:vAlign w:val="center"/>
          </w:tcPr>
          <w:p w14:paraId="3BE50125"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r>
      <w:tr w:rsidR="00BD1C8B" w:rsidRPr="00BD1C8B" w14:paraId="505805EE"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04350B7C"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3</w:t>
            </w:r>
          </w:p>
        </w:tc>
        <w:tc>
          <w:tcPr>
            <w:tcW w:w="1597" w:type="pct"/>
            <w:tcBorders>
              <w:top w:val="single" w:sz="4" w:space="0" w:color="000000"/>
              <w:left w:val="single" w:sz="4" w:space="0" w:color="000000"/>
              <w:bottom w:val="single" w:sz="4" w:space="0" w:color="000000"/>
              <w:right w:val="single" w:sz="4" w:space="0" w:color="000000"/>
            </w:tcBorders>
            <w:vAlign w:val="center"/>
          </w:tcPr>
          <w:p w14:paraId="020656AA"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阶段高度</w:t>
            </w:r>
          </w:p>
        </w:tc>
        <w:tc>
          <w:tcPr>
            <w:tcW w:w="1030" w:type="pct"/>
            <w:tcBorders>
              <w:top w:val="single" w:sz="4" w:space="0" w:color="000000"/>
              <w:left w:val="single" w:sz="4" w:space="0" w:color="000000"/>
              <w:bottom w:val="single" w:sz="4" w:space="0" w:color="000000"/>
              <w:right w:val="single" w:sz="4" w:space="0" w:color="000000"/>
            </w:tcBorders>
          </w:tcPr>
          <w:p w14:paraId="4837573A"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m</w:t>
            </w:r>
          </w:p>
        </w:tc>
        <w:tc>
          <w:tcPr>
            <w:tcW w:w="1109" w:type="pct"/>
            <w:tcBorders>
              <w:top w:val="single" w:sz="4" w:space="0" w:color="000000"/>
              <w:left w:val="single" w:sz="4" w:space="0" w:color="000000"/>
              <w:bottom w:val="single" w:sz="4" w:space="0" w:color="000000"/>
              <w:right w:val="single" w:sz="4" w:space="0" w:color="000000"/>
            </w:tcBorders>
          </w:tcPr>
          <w:p w14:paraId="0E1A3101"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10</w:t>
            </w:r>
          </w:p>
        </w:tc>
        <w:tc>
          <w:tcPr>
            <w:tcW w:w="820" w:type="pct"/>
            <w:tcBorders>
              <w:top w:val="single" w:sz="4" w:space="0" w:color="000000"/>
              <w:left w:val="single" w:sz="4" w:space="0" w:color="000000"/>
              <w:bottom w:val="single" w:sz="4" w:space="0" w:color="000000"/>
              <w:right w:val="single" w:sz="4" w:space="0" w:color="000000"/>
            </w:tcBorders>
            <w:vAlign w:val="center"/>
          </w:tcPr>
          <w:p w14:paraId="1DD6B12E"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r>
      <w:tr w:rsidR="00BD1C8B" w:rsidRPr="00BD1C8B" w14:paraId="4941D752" w14:textId="77777777" w:rsidTr="00374644">
        <w:trPr>
          <w:cantSplit/>
          <w:jc w:val="center"/>
        </w:trPr>
        <w:tc>
          <w:tcPr>
            <w:tcW w:w="444" w:type="pct"/>
            <w:tcBorders>
              <w:top w:val="single" w:sz="4" w:space="0" w:color="000000"/>
              <w:left w:val="single" w:sz="4" w:space="0" w:color="000000"/>
              <w:bottom w:val="single" w:sz="4" w:space="0" w:color="000000"/>
              <w:right w:val="single" w:sz="4" w:space="0" w:color="000000"/>
            </w:tcBorders>
            <w:vAlign w:val="center"/>
          </w:tcPr>
          <w:p w14:paraId="5BE85B98"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4</w:t>
            </w:r>
          </w:p>
        </w:tc>
        <w:tc>
          <w:tcPr>
            <w:tcW w:w="1597" w:type="pct"/>
            <w:tcBorders>
              <w:top w:val="single" w:sz="4" w:space="0" w:color="000000"/>
              <w:left w:val="single" w:sz="4" w:space="0" w:color="000000"/>
              <w:bottom w:val="single" w:sz="4" w:space="0" w:color="000000"/>
              <w:right w:val="single" w:sz="4" w:space="0" w:color="000000"/>
            </w:tcBorders>
            <w:vAlign w:val="center"/>
          </w:tcPr>
          <w:p w14:paraId="7C0EB1C7"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最终边坡角</w:t>
            </w:r>
          </w:p>
        </w:tc>
        <w:tc>
          <w:tcPr>
            <w:tcW w:w="1030" w:type="pct"/>
            <w:tcBorders>
              <w:top w:val="single" w:sz="4" w:space="0" w:color="000000"/>
              <w:left w:val="single" w:sz="4" w:space="0" w:color="000000"/>
              <w:bottom w:val="single" w:sz="4" w:space="0" w:color="000000"/>
              <w:right w:val="single" w:sz="4" w:space="0" w:color="000000"/>
            </w:tcBorders>
          </w:tcPr>
          <w:p w14:paraId="5AC71E25"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度</w:t>
            </w:r>
          </w:p>
        </w:tc>
        <w:tc>
          <w:tcPr>
            <w:tcW w:w="1109" w:type="pct"/>
            <w:tcBorders>
              <w:top w:val="single" w:sz="4" w:space="0" w:color="000000"/>
              <w:left w:val="single" w:sz="4" w:space="0" w:color="000000"/>
              <w:bottom w:val="single" w:sz="4" w:space="0" w:color="000000"/>
              <w:right w:val="single" w:sz="4" w:space="0" w:color="000000"/>
            </w:tcBorders>
          </w:tcPr>
          <w:p w14:paraId="23DC5F37"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70</w:t>
            </w:r>
          </w:p>
        </w:tc>
        <w:tc>
          <w:tcPr>
            <w:tcW w:w="820" w:type="pct"/>
            <w:tcBorders>
              <w:top w:val="single" w:sz="4" w:space="0" w:color="000000"/>
              <w:left w:val="single" w:sz="4" w:space="0" w:color="000000"/>
              <w:bottom w:val="single" w:sz="4" w:space="0" w:color="000000"/>
              <w:right w:val="single" w:sz="4" w:space="0" w:color="000000"/>
            </w:tcBorders>
            <w:vAlign w:val="center"/>
          </w:tcPr>
          <w:p w14:paraId="583D786D" w14:textId="77777777" w:rsidR="00172FA9" w:rsidRPr="00BD1C8B" w:rsidRDefault="00172FA9" w:rsidP="0000008B">
            <w:pPr>
              <w:pStyle w:val="aff"/>
              <w:rPr>
                <w:rFonts w:ascii="Times New Roman" w:hAnsi="Times New Roman" w:cs="Times New Roman"/>
              </w:rPr>
            </w:pPr>
            <w:r w:rsidRPr="00BD1C8B">
              <w:rPr>
                <w:rFonts w:ascii="Times New Roman" w:hAnsi="Times New Roman" w:cs="Times New Roman"/>
              </w:rPr>
              <w:t>/</w:t>
            </w:r>
          </w:p>
        </w:tc>
      </w:tr>
    </w:tbl>
    <w:p w14:paraId="711F8BAE" w14:textId="682EBFC4" w:rsidR="00C95657" w:rsidRPr="00C938AD" w:rsidRDefault="00C95657" w:rsidP="008B05EB">
      <w:pPr>
        <w:pStyle w:val="3"/>
        <w:ind w:firstLine="560"/>
      </w:pPr>
      <w:r w:rsidRPr="00C938AD">
        <w:t>3.1.2</w:t>
      </w:r>
      <w:r w:rsidR="00370522" w:rsidRPr="00C938AD">
        <w:rPr>
          <w:rFonts w:hint="eastAsia"/>
        </w:rPr>
        <w:t>资源整合</w:t>
      </w:r>
      <w:proofErr w:type="gramStart"/>
      <w:r w:rsidR="00370522" w:rsidRPr="00C938AD">
        <w:rPr>
          <w:rFonts w:hint="eastAsia"/>
        </w:rPr>
        <w:t>前</w:t>
      </w:r>
      <w:r w:rsidRPr="00C938AD">
        <w:rPr>
          <w:rFonts w:hint="eastAsia"/>
        </w:rPr>
        <w:t>现有</w:t>
      </w:r>
      <w:proofErr w:type="gramEnd"/>
      <w:r w:rsidRPr="00C938AD">
        <w:rPr>
          <w:rFonts w:hint="eastAsia"/>
        </w:rPr>
        <w:t>工程</w:t>
      </w:r>
      <w:r w:rsidR="00DF3BA0" w:rsidRPr="00C938AD">
        <w:rPr>
          <w:rFonts w:hint="eastAsia"/>
        </w:rPr>
        <w:t>漏采区</w:t>
      </w:r>
      <w:r w:rsidRPr="00C938AD">
        <w:rPr>
          <w:rFonts w:hint="eastAsia"/>
        </w:rPr>
        <w:t>开采方式及生产工艺</w:t>
      </w:r>
    </w:p>
    <w:p w14:paraId="623E8B4B" w14:textId="6B32924E" w:rsidR="00C95657" w:rsidRPr="00650CF4" w:rsidRDefault="00C95657" w:rsidP="00C95657">
      <w:pPr>
        <w:pStyle w:val="af6"/>
        <w:ind w:firstLine="480"/>
      </w:pPr>
      <w:r w:rsidRPr="00650CF4">
        <w:rPr>
          <w:rFonts w:hint="eastAsia"/>
        </w:rPr>
        <w:t>3.1.2.1</w:t>
      </w:r>
      <w:r w:rsidR="00A21D5F" w:rsidRPr="00650CF4">
        <w:rPr>
          <w:rFonts w:hint="eastAsia"/>
        </w:rPr>
        <w:t>资源整合</w:t>
      </w:r>
      <w:proofErr w:type="gramStart"/>
      <w:r w:rsidR="00A21D5F" w:rsidRPr="00650CF4">
        <w:rPr>
          <w:rFonts w:hint="eastAsia"/>
        </w:rPr>
        <w:t>前现有</w:t>
      </w:r>
      <w:proofErr w:type="gramEnd"/>
      <w:r w:rsidR="00A21D5F" w:rsidRPr="00650CF4">
        <w:rPr>
          <w:rFonts w:hint="eastAsia"/>
        </w:rPr>
        <w:t>工程</w:t>
      </w:r>
      <w:r w:rsidRPr="00650CF4">
        <w:rPr>
          <w:rFonts w:hint="eastAsia"/>
        </w:rPr>
        <w:t>开采方式及生产工艺</w:t>
      </w:r>
    </w:p>
    <w:p w14:paraId="09708DAB" w14:textId="4A4DA6A5" w:rsidR="00437624" w:rsidRPr="00C938AD" w:rsidRDefault="00437624" w:rsidP="00C95657">
      <w:pPr>
        <w:pStyle w:val="af6"/>
        <w:ind w:firstLine="480"/>
      </w:pPr>
      <w:r w:rsidRPr="00C938AD">
        <w:rPr>
          <w:rFonts w:hint="eastAsia"/>
        </w:rPr>
        <w:t>1</w:t>
      </w:r>
      <w:r w:rsidRPr="00C938AD">
        <w:rPr>
          <w:rFonts w:hint="eastAsia"/>
        </w:rPr>
        <w:t>、露采区开采工艺</w:t>
      </w:r>
    </w:p>
    <w:p w14:paraId="1472AA78" w14:textId="41D3E868" w:rsidR="00C95657" w:rsidRPr="00C938AD" w:rsidRDefault="008B05EB" w:rsidP="00264A3A">
      <w:pPr>
        <w:pStyle w:val="af6"/>
        <w:ind w:firstLine="480"/>
      </w:pPr>
      <w:bookmarkStart w:id="74" w:name="_Hlk33005560"/>
      <w:r w:rsidRPr="00C938AD">
        <w:rPr>
          <w:rFonts w:hint="eastAsia"/>
        </w:rPr>
        <w:t>现有工程</w:t>
      </w:r>
      <w:r w:rsidR="00C95657" w:rsidRPr="00C938AD">
        <w:rPr>
          <w:rFonts w:hint="eastAsia"/>
        </w:rPr>
        <w:t>采用台阶式</w:t>
      </w:r>
      <w:bookmarkEnd w:id="74"/>
      <w:r w:rsidR="00C95657" w:rsidRPr="00C938AD">
        <w:t>露天开采，</w:t>
      </w:r>
      <w:r w:rsidR="00C95657" w:rsidRPr="00C938AD">
        <w:rPr>
          <w:rFonts w:hint="eastAsia"/>
        </w:rPr>
        <w:t>挖掘机剥离方式采矿，汽车运输。</w:t>
      </w:r>
    </w:p>
    <w:p w14:paraId="0E02787E" w14:textId="2B178C02" w:rsidR="00C95657" w:rsidRPr="00C938AD" w:rsidRDefault="008B05EB" w:rsidP="00C95657">
      <w:pPr>
        <w:spacing w:line="480" w:lineRule="exact"/>
      </w:pPr>
      <w:r w:rsidRPr="00C938AD">
        <w:rPr>
          <w:rFonts w:hint="eastAsia"/>
        </w:rPr>
        <w:t>现有工程</w:t>
      </w:r>
      <w:r w:rsidR="00C95657" w:rsidRPr="00C938AD">
        <w:t>采矿方法如下：</w:t>
      </w:r>
    </w:p>
    <w:p w14:paraId="0FD52469" w14:textId="77777777" w:rsidR="00C95657" w:rsidRPr="00C938AD" w:rsidRDefault="00C95657" w:rsidP="00C95657">
      <w:pPr>
        <w:spacing w:line="480" w:lineRule="exact"/>
      </w:pPr>
      <w:r w:rsidRPr="00C938AD">
        <w:t>（</w:t>
      </w:r>
      <w:r w:rsidRPr="00C938AD">
        <w:t>1</w:t>
      </w:r>
      <w:r w:rsidRPr="00C938AD">
        <w:t>）</w:t>
      </w:r>
      <w:r w:rsidRPr="00C938AD">
        <w:rPr>
          <w:rFonts w:hint="eastAsia"/>
        </w:rPr>
        <w:t>剥离：</w:t>
      </w:r>
      <w:r w:rsidRPr="00C938AD">
        <w:t>首先</w:t>
      </w:r>
      <w:r w:rsidRPr="00C938AD">
        <w:rPr>
          <w:rFonts w:hint="eastAsia"/>
        </w:rPr>
        <w:t>采用挖掘机</w:t>
      </w:r>
      <w:r w:rsidRPr="00C938AD">
        <w:t>对矿体表面覆盖的表土进行剥离，表土</w:t>
      </w:r>
      <w:r w:rsidRPr="00C938AD">
        <w:rPr>
          <w:rFonts w:hint="eastAsia"/>
        </w:rPr>
        <w:t>妥善</w:t>
      </w:r>
      <w:r w:rsidRPr="00C938AD">
        <w:t>堆放；</w:t>
      </w:r>
    </w:p>
    <w:p w14:paraId="7EE2912E" w14:textId="77777777" w:rsidR="00C95657" w:rsidRPr="00C938AD" w:rsidRDefault="00C95657" w:rsidP="00C95657">
      <w:pPr>
        <w:spacing w:line="480" w:lineRule="exact"/>
      </w:pPr>
      <w:r w:rsidRPr="00C938AD">
        <w:t>（</w:t>
      </w:r>
      <w:r w:rsidRPr="00C938AD">
        <w:t>2</w:t>
      </w:r>
      <w:r w:rsidRPr="00C938AD">
        <w:t>）</w:t>
      </w:r>
      <w:r w:rsidRPr="00C938AD">
        <w:rPr>
          <w:rFonts w:hint="eastAsia"/>
        </w:rPr>
        <w:t>铲装</w:t>
      </w:r>
      <w:r w:rsidRPr="00C938AD">
        <w:t>：</w:t>
      </w:r>
      <w:r w:rsidRPr="00C938AD">
        <w:rPr>
          <w:rFonts w:hint="eastAsia"/>
        </w:rPr>
        <w:t>膨润土矿石硬度不强，不需爆破，直接采用挖掘机开挖、装载机装车</w:t>
      </w:r>
      <w:r w:rsidRPr="00C938AD">
        <w:t>；</w:t>
      </w:r>
    </w:p>
    <w:p w14:paraId="54E88506" w14:textId="77777777" w:rsidR="00C95657" w:rsidRPr="00C938AD" w:rsidRDefault="00C95657" w:rsidP="00C95657">
      <w:pPr>
        <w:spacing w:line="480" w:lineRule="exact"/>
      </w:pPr>
      <w:r w:rsidRPr="00C938AD">
        <w:t>（</w:t>
      </w:r>
      <w:r w:rsidRPr="00C938AD">
        <w:rPr>
          <w:rFonts w:hint="eastAsia"/>
        </w:rPr>
        <w:t>3</w:t>
      </w:r>
      <w:r w:rsidRPr="00C938AD">
        <w:t>）最后汽车</w:t>
      </w:r>
      <w:r w:rsidRPr="00C938AD">
        <w:rPr>
          <w:rFonts w:hint="eastAsia"/>
        </w:rPr>
        <w:t>外运销售</w:t>
      </w:r>
      <w:r w:rsidRPr="00C938AD">
        <w:t>。</w:t>
      </w:r>
    </w:p>
    <w:p w14:paraId="24E5035F" w14:textId="60A28980" w:rsidR="00EA6D0E" w:rsidRPr="00C938AD" w:rsidRDefault="00EA6D0E" w:rsidP="00EA6D0E">
      <w:pPr>
        <w:spacing w:line="480" w:lineRule="exact"/>
      </w:pPr>
      <w:r w:rsidRPr="00C938AD">
        <w:rPr>
          <w:rFonts w:hint="eastAsia"/>
        </w:rPr>
        <w:t>现有工程开采工艺流程</w:t>
      </w:r>
      <w:proofErr w:type="gramStart"/>
      <w:r w:rsidRPr="00C938AD">
        <w:rPr>
          <w:rFonts w:hint="eastAsia"/>
        </w:rPr>
        <w:t>及产污环节</w:t>
      </w:r>
      <w:proofErr w:type="gramEnd"/>
      <w:r w:rsidRPr="00C938AD">
        <w:rPr>
          <w:rFonts w:hint="eastAsia"/>
        </w:rPr>
        <w:t>示意图见图</w:t>
      </w:r>
      <w:r w:rsidRPr="00C938AD">
        <w:rPr>
          <w:rFonts w:hint="eastAsia"/>
        </w:rPr>
        <w:t>3.1-1</w:t>
      </w:r>
      <w:r w:rsidRPr="00C938AD">
        <w:rPr>
          <w:rFonts w:hint="eastAsia"/>
        </w:rPr>
        <w:t>。</w:t>
      </w:r>
    </w:p>
    <w:p w14:paraId="1E6AB5AD" w14:textId="66EF91AF" w:rsidR="00650CF4" w:rsidRDefault="00650CF4" w:rsidP="009170DB">
      <w:pPr>
        <w:ind w:firstLineChars="0" w:firstLine="0"/>
      </w:pPr>
      <w:r w:rsidRPr="00C938AD">
        <w:rPr>
          <w:noProof/>
        </w:rPr>
        <mc:AlternateContent>
          <mc:Choice Requires="wpg">
            <w:drawing>
              <wp:anchor distT="0" distB="0" distL="114300" distR="114300" simplePos="0" relativeHeight="251744256" behindDoc="0" locked="0" layoutInCell="1" allowOverlap="1" wp14:anchorId="16290D12" wp14:editId="692E009C">
                <wp:simplePos x="0" y="0"/>
                <wp:positionH relativeFrom="margin">
                  <wp:posOffset>353626</wp:posOffset>
                </wp:positionH>
                <wp:positionV relativeFrom="paragraph">
                  <wp:posOffset>132801</wp:posOffset>
                </wp:positionV>
                <wp:extent cx="5092700" cy="930275"/>
                <wp:effectExtent l="0" t="0" r="12700" b="22225"/>
                <wp:wrapNone/>
                <wp:docPr id="5"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0" cy="930275"/>
                          <a:chOff x="1840" y="3890"/>
                          <a:chExt cx="8020" cy="1465"/>
                        </a:xfrm>
                      </wpg:grpSpPr>
                      <wps:wsp>
                        <wps:cNvPr id="6" name="Picture 2"/>
                        <wps:cNvSpPr>
                          <a:spLocks noChangeAspect="1" noChangeArrowheads="1" noTextEdit="1"/>
                        </wps:cNvSpPr>
                        <wps:spPr bwMode="auto">
                          <a:xfrm>
                            <a:off x="1840" y="3890"/>
                            <a:ext cx="8020" cy="146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4"/>
                        <wps:cNvSpPr txBox="1">
                          <a:spLocks noChangeArrowheads="1"/>
                        </wps:cNvSpPr>
                        <wps:spPr bwMode="auto">
                          <a:xfrm>
                            <a:off x="2049" y="4769"/>
                            <a:ext cx="1620" cy="3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14:paraId="13174EFA" w14:textId="77777777" w:rsidR="00BD1C8B" w:rsidRDefault="00BD1C8B" w:rsidP="00EA6D0E">
                              <w:pPr>
                                <w:jc w:val="center"/>
                              </w:pPr>
                              <w:r>
                                <w:rPr>
                                  <w:rFonts w:hint="eastAsia"/>
                                </w:rPr>
                                <w:t>覆盖层剥离</w:t>
                              </w:r>
                            </w:p>
                          </w:txbxContent>
                        </wps:txbx>
                        <wps:bodyPr rot="0" vert="horz" wrap="square" lIns="0" tIns="0" rIns="0" bIns="0" anchor="t" anchorCtr="0" upright="1">
                          <a:noAutofit/>
                        </wps:bodyPr>
                      </wps:wsp>
                      <wps:wsp>
                        <wps:cNvPr id="9" name="Line 5"/>
                        <wps:cNvCnPr>
                          <a:cxnSpLocks noChangeShapeType="1"/>
                        </wps:cNvCnPr>
                        <wps:spPr bwMode="auto">
                          <a:xfrm flipV="1">
                            <a:off x="2769" y="4457"/>
                            <a:ext cx="360" cy="312"/>
                          </a:xfrm>
                          <a:prstGeom prst="line">
                            <a:avLst/>
                          </a:prstGeom>
                          <a:noFill/>
                          <a:ln w="317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Text Box 6"/>
                        <wps:cNvSpPr txBox="1">
                          <a:spLocks noChangeArrowheads="1"/>
                        </wps:cNvSpPr>
                        <wps:spPr bwMode="auto">
                          <a:xfrm>
                            <a:off x="2049" y="4145"/>
                            <a:ext cx="2419" cy="312"/>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79DB" w14:textId="77777777" w:rsidR="00BD1C8B" w:rsidRDefault="00BD1C8B" w:rsidP="00EA6D0E">
                              <w:pPr>
                                <w:jc w:val="center"/>
                              </w:pPr>
                              <w:r>
                                <w:rPr>
                                  <w:rFonts w:hint="eastAsia"/>
                                </w:rPr>
                                <w:t>粉尘、噪声、表土</w:t>
                              </w:r>
                            </w:p>
                          </w:txbxContent>
                        </wps:txbx>
                        <wps:bodyPr rot="0" vert="horz" wrap="square" lIns="0" tIns="0" rIns="0" bIns="0" anchor="t" anchorCtr="0" upright="1">
                          <a:noAutofit/>
                        </wps:bodyPr>
                      </wps:wsp>
                      <wps:wsp>
                        <wps:cNvPr id="11" name="Line 7"/>
                        <wps:cNvCnPr>
                          <a:cxnSpLocks noChangeShapeType="1"/>
                        </wps:cNvCnPr>
                        <wps:spPr bwMode="auto">
                          <a:xfrm>
                            <a:off x="3669" y="4925"/>
                            <a:ext cx="720" cy="0"/>
                          </a:xfrm>
                          <a:prstGeom prst="line">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9"/>
                        <wps:cNvCnPr>
                          <a:cxnSpLocks noChangeShapeType="1"/>
                        </wps:cNvCnPr>
                        <wps:spPr bwMode="auto">
                          <a:xfrm flipV="1">
                            <a:off x="5108" y="4457"/>
                            <a:ext cx="360" cy="312"/>
                          </a:xfrm>
                          <a:prstGeom prst="line">
                            <a:avLst/>
                          </a:prstGeom>
                          <a:noFill/>
                          <a:ln w="317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Text Box 10"/>
                        <wps:cNvSpPr txBox="1">
                          <a:spLocks noChangeArrowheads="1"/>
                        </wps:cNvSpPr>
                        <wps:spPr bwMode="auto">
                          <a:xfrm>
                            <a:off x="4748" y="4145"/>
                            <a:ext cx="1620" cy="312"/>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8067" w14:textId="77777777" w:rsidR="00BD1C8B" w:rsidRDefault="00BD1C8B" w:rsidP="00EA6D0E">
                              <w:pPr>
                                <w:jc w:val="center"/>
                              </w:pPr>
                              <w:r>
                                <w:rPr>
                                  <w:rFonts w:hint="eastAsia"/>
                                </w:rPr>
                                <w:t>粉尘、噪声</w:t>
                              </w:r>
                            </w:p>
                          </w:txbxContent>
                        </wps:txbx>
                        <wps:bodyPr rot="0" vert="horz" wrap="square" lIns="0" tIns="0" rIns="0" bIns="0" anchor="t" anchorCtr="0" upright="1">
                          <a:noAutofit/>
                        </wps:bodyPr>
                      </wps:wsp>
                      <wps:wsp>
                        <wps:cNvPr id="14" name="Line 11"/>
                        <wps:cNvCnPr>
                          <a:cxnSpLocks noChangeShapeType="1"/>
                        </wps:cNvCnPr>
                        <wps:spPr bwMode="auto">
                          <a:xfrm>
                            <a:off x="5828" y="4925"/>
                            <a:ext cx="720" cy="1"/>
                          </a:xfrm>
                          <a:prstGeom prst="line">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Text Box 12"/>
                        <wps:cNvSpPr txBox="1">
                          <a:spLocks noChangeArrowheads="1"/>
                        </wps:cNvSpPr>
                        <wps:spPr bwMode="auto">
                          <a:xfrm>
                            <a:off x="4373" y="4769"/>
                            <a:ext cx="1455" cy="3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14:paraId="16E2D1F4" w14:textId="77777777" w:rsidR="00BD1C8B" w:rsidRDefault="00BD1C8B" w:rsidP="00EA6D0E">
                              <w:pPr>
                                <w:jc w:val="center"/>
                              </w:pPr>
                              <w:r>
                                <w:rPr>
                                  <w:rFonts w:hint="eastAsia"/>
                                </w:rPr>
                                <w:t>矿石铲装</w:t>
                              </w:r>
                            </w:p>
                          </w:txbxContent>
                        </wps:txbx>
                        <wps:bodyPr rot="0" vert="horz" wrap="square" lIns="0" tIns="0" rIns="0" bIns="0" anchor="t" anchorCtr="0" upright="1">
                          <a:noAutofit/>
                        </wps:bodyPr>
                      </wps:wsp>
                      <wps:wsp>
                        <wps:cNvPr id="16" name="Line 9"/>
                        <wps:cNvCnPr>
                          <a:cxnSpLocks noChangeShapeType="1"/>
                        </wps:cNvCnPr>
                        <wps:spPr bwMode="auto">
                          <a:xfrm flipV="1">
                            <a:off x="7648" y="4457"/>
                            <a:ext cx="600" cy="312"/>
                          </a:xfrm>
                          <a:prstGeom prst="line">
                            <a:avLst/>
                          </a:prstGeom>
                          <a:noFill/>
                          <a:ln w="317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Text Box 10"/>
                        <wps:cNvSpPr txBox="1">
                          <a:spLocks noChangeArrowheads="1"/>
                        </wps:cNvSpPr>
                        <wps:spPr bwMode="auto">
                          <a:xfrm>
                            <a:off x="6448" y="4145"/>
                            <a:ext cx="2700" cy="312"/>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D3A09" w14:textId="77777777" w:rsidR="00BD1C8B" w:rsidRDefault="00BD1C8B" w:rsidP="00EA6D0E">
                              <w:pPr>
                                <w:jc w:val="center"/>
                              </w:pPr>
                              <w:r>
                                <w:rPr>
                                  <w:rFonts w:hint="eastAsia"/>
                                </w:rPr>
                                <w:t>粉尘、噪声、废水</w:t>
                              </w:r>
                            </w:p>
                          </w:txbxContent>
                        </wps:txbx>
                        <wps:bodyPr rot="0" vert="horz" wrap="square" lIns="0" tIns="0" rIns="0" bIns="0" anchor="t" anchorCtr="0" upright="1">
                          <a:noAutofit/>
                        </wps:bodyPr>
                      </wps:wsp>
                      <wps:wsp>
                        <wps:cNvPr id="18" name="Text Box 12"/>
                        <wps:cNvSpPr txBox="1">
                          <a:spLocks noChangeArrowheads="1"/>
                        </wps:cNvSpPr>
                        <wps:spPr bwMode="auto">
                          <a:xfrm>
                            <a:off x="6563" y="4784"/>
                            <a:ext cx="1455" cy="3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14:paraId="28C82E2F" w14:textId="77777777" w:rsidR="00BD1C8B" w:rsidRDefault="00BD1C8B" w:rsidP="00EA6D0E">
                              <w:pPr>
                                <w:jc w:val="center"/>
                              </w:pPr>
                              <w:r>
                                <w:rPr>
                                  <w:rFonts w:hint="eastAsia"/>
                                </w:rPr>
                                <w:t>矿石运输</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90D12" id="组合 5" o:spid="_x0000_s1026" style="position:absolute;margin-left:27.85pt;margin-top:10.45pt;width:401pt;height:73.25pt;z-index:251744256;mso-position-horizontal-relative:margin" coordorigin="1840,3890" coordsize="8020,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">
                <v:rect id="Picture 2" o:spid="_x0000_s1027" style="position:absolute;left:1840;top:3890;width:802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" filled="f" strokeweight=".25pt">
                  <o:lock v:ext="edit" aspectratio="t" text="t"/>
                </v:rect>
                <v:shapetype id="_x0000_t202" coordsize="21600,21600" o:spt="202" path="m,l,21600r21600,l21600,xe">
                  <v:stroke joinstyle="miter"/>
                  <v:path gradientshapeok="t" o:connecttype="rect"/>
                </v:shapetype>
                <v:shape id="Text Box 4" o:spid="_x0000_s1028" type="#_x0000_t202" style="position:absolute;left:2049;top:4769;width:16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" filled="f" fillcolor="#9cbee0" strokeweight=".25pt">
                  <v:textbox inset="0,0,0,0">
                    <w:txbxContent>
                      <w:p w14:paraId="13174EFA" w14:textId="77777777" w:rsidR="00BD1C8B" w:rsidRDefault="00BD1C8B" w:rsidP="00EA6D0E">
                        <w:pPr>
                          <w:jc w:val="center"/>
                        </w:pPr>
                        <w:r>
                          <w:rPr>
                            <w:rFonts w:hint="eastAsia"/>
                          </w:rPr>
                          <w:t>覆盖层剥离</w:t>
                        </w:r>
                      </w:p>
                    </w:txbxContent>
                  </v:textbox>
                </v:shape>
                <v:line id="Line 5" o:spid="_x0000_s1029" style="position:absolute;flip:y;visibility:visible;mso-wrap-style:square" from="2769,4457" to="3129,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" strokeweight=".25pt">
                  <v:stroke dashstyle="dash" endarrow="block"/>
                </v:line>
                <v:shape id="Text Box 6" o:spid="_x0000_s1030" type="#_x0000_t202" style="position:absolute;left:2049;top:4145;width:241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" filled="f" fillcolor="#9cbee0" stroked="f">
                  <v:textbox inset="0,0,0,0">
                    <w:txbxContent>
                      <w:p w14:paraId="003D79DB" w14:textId="77777777" w:rsidR="00BD1C8B" w:rsidRDefault="00BD1C8B" w:rsidP="00EA6D0E">
                        <w:pPr>
                          <w:jc w:val="center"/>
                        </w:pPr>
                        <w:r>
                          <w:rPr>
                            <w:rFonts w:hint="eastAsia"/>
                          </w:rPr>
                          <w:t>粉尘、噪声、表土</w:t>
                        </w:r>
                      </w:p>
                    </w:txbxContent>
                  </v:textbox>
                </v:shape>
                <v:line id="Line 7" o:spid="_x0000_s1031" style="position:absolute;visibility:visible;mso-wrap-style:square" from="3669,4925" to="4389,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" strokeweight=".25pt">
                  <v:stroke endarrow="block"/>
                </v:line>
                <v:line id="Line 9" o:spid="_x0000_s1032" style="position:absolute;flip:y;visibility:visible;mso-wrap-style:square" from="5108,4457" to="5468,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" strokeweight=".25pt">
                  <v:stroke dashstyle="dash" endarrow="block"/>
                </v:line>
                <v:shape id="Text Box 10" o:spid="_x0000_s1033" type="#_x0000_t202" style="position:absolute;left:4748;top:4145;width:16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" filled="f" fillcolor="#9cbee0" stroked="f">
                  <v:textbox inset="0,0,0,0">
                    <w:txbxContent>
                      <w:p w14:paraId="51788067" w14:textId="77777777" w:rsidR="00BD1C8B" w:rsidRDefault="00BD1C8B" w:rsidP="00EA6D0E">
                        <w:pPr>
                          <w:jc w:val="center"/>
                        </w:pPr>
                        <w:r>
                          <w:rPr>
                            <w:rFonts w:hint="eastAsia"/>
                          </w:rPr>
                          <w:t>粉尘、噪声</w:t>
                        </w:r>
                      </w:p>
                    </w:txbxContent>
                  </v:textbox>
                </v:shape>
                <v:line id="Line 11" o:spid="_x0000_s1034" style="position:absolute;visibility:visible;mso-wrap-style:square" from="5828,4925" to="6548,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" strokeweight=".25pt">
                  <v:stroke endarrow="block"/>
                </v:line>
                <v:shape id="Text Box 12" o:spid="_x0000_s1035" type="#_x0000_t202" style="position:absolute;left:4373;top:4769;width:145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" filled="f" fillcolor="#9cbee0" strokeweight=".25pt">
                  <v:textbox inset="0,0,0,0">
                    <w:txbxContent>
                      <w:p w14:paraId="16E2D1F4" w14:textId="77777777" w:rsidR="00BD1C8B" w:rsidRDefault="00BD1C8B" w:rsidP="00EA6D0E">
                        <w:pPr>
                          <w:jc w:val="center"/>
                        </w:pPr>
                        <w:r>
                          <w:rPr>
                            <w:rFonts w:hint="eastAsia"/>
                          </w:rPr>
                          <w:t>矿石铲装</w:t>
                        </w:r>
                      </w:p>
                    </w:txbxContent>
                  </v:textbox>
                </v:shape>
                <v:line id="Line 9" o:spid="_x0000_s1036" style="position:absolute;flip:y;visibility:visible;mso-wrap-style:square" from="7648,4457" to="8248,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" strokeweight=".25pt">
                  <v:stroke dashstyle="dash" endarrow="block"/>
                </v:line>
                <v:shape id="Text Box 10" o:spid="_x0000_s1037" type="#_x0000_t202" style="position:absolute;left:6448;top:4145;width:27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" filled="f" fillcolor="#9cbee0" stroked="f">
                  <v:textbox inset="0,0,0,0">
                    <w:txbxContent>
                      <w:p w14:paraId="169D3A09" w14:textId="77777777" w:rsidR="00BD1C8B" w:rsidRDefault="00BD1C8B" w:rsidP="00EA6D0E">
                        <w:pPr>
                          <w:jc w:val="center"/>
                        </w:pPr>
                        <w:r>
                          <w:rPr>
                            <w:rFonts w:hint="eastAsia"/>
                          </w:rPr>
                          <w:t>粉尘、噪声、废水</w:t>
                        </w:r>
                      </w:p>
                    </w:txbxContent>
                  </v:textbox>
                </v:shape>
                <v:shape id="Text Box 12" o:spid="_x0000_s1038" type="#_x0000_t202" style="position:absolute;left:6563;top:4784;width:145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" filled="f" fillcolor="#9cbee0" strokeweight=".25pt">
                  <v:textbox inset="0,0,0,0">
                    <w:txbxContent>
                      <w:p w14:paraId="28C82E2F" w14:textId="77777777" w:rsidR="00BD1C8B" w:rsidRDefault="00BD1C8B" w:rsidP="00EA6D0E">
                        <w:pPr>
                          <w:jc w:val="center"/>
                        </w:pPr>
                        <w:r>
                          <w:rPr>
                            <w:rFonts w:hint="eastAsia"/>
                          </w:rPr>
                          <w:t>矿石运输</w:t>
                        </w:r>
                      </w:p>
                    </w:txbxContent>
                  </v:textbox>
                </v:shape>
                <w10:wrap anchorx="margin"/>
              </v:group>
            </w:pict>
          </mc:Fallback>
        </mc:AlternateContent>
      </w:r>
    </w:p>
    <w:p w14:paraId="6C38918F" w14:textId="30F7A33E" w:rsidR="00650CF4" w:rsidRDefault="00650CF4" w:rsidP="009170DB">
      <w:pPr>
        <w:ind w:firstLineChars="0" w:firstLine="0"/>
      </w:pPr>
    </w:p>
    <w:p w14:paraId="7E3DF8B3" w14:textId="7AC4B20D" w:rsidR="00EA6D0E" w:rsidRPr="00C938AD" w:rsidRDefault="00EA6D0E" w:rsidP="009170DB">
      <w:pPr>
        <w:ind w:firstLineChars="0" w:firstLine="0"/>
      </w:pPr>
    </w:p>
    <w:p w14:paraId="0F65C6AC" w14:textId="3D3BB5D9" w:rsidR="00EA6D0E" w:rsidRPr="00C938AD" w:rsidRDefault="00EA6D0E" w:rsidP="0023157B"/>
    <w:p w14:paraId="5652849C" w14:textId="6915B869" w:rsidR="00EA6D0E" w:rsidRPr="00C938AD" w:rsidRDefault="00EA6D0E" w:rsidP="00EA6D0E">
      <w:pPr>
        <w:spacing w:line="480" w:lineRule="exact"/>
        <w:jc w:val="center"/>
        <w:rPr>
          <w:rFonts w:eastAsia="黑体"/>
        </w:rPr>
      </w:pPr>
      <w:r w:rsidRPr="00C938AD">
        <w:rPr>
          <w:rFonts w:eastAsia="黑体"/>
        </w:rPr>
        <w:t>图</w:t>
      </w:r>
      <w:r w:rsidRPr="00C938AD">
        <w:rPr>
          <w:rFonts w:eastAsia="黑体"/>
        </w:rPr>
        <w:t>3</w:t>
      </w:r>
      <w:r w:rsidRPr="00C938AD">
        <w:rPr>
          <w:rFonts w:eastAsia="黑体" w:hint="eastAsia"/>
        </w:rPr>
        <w:t>.</w:t>
      </w:r>
      <w:r w:rsidRPr="00C938AD">
        <w:rPr>
          <w:rFonts w:eastAsia="黑体"/>
        </w:rPr>
        <w:t>1-1</w:t>
      </w:r>
      <w:r w:rsidRPr="00C938AD">
        <w:rPr>
          <w:rFonts w:eastAsia="黑体"/>
        </w:rPr>
        <w:t>项目</w:t>
      </w:r>
      <w:r w:rsidRPr="00C938AD">
        <w:rPr>
          <w:rFonts w:eastAsia="黑体" w:hint="eastAsia"/>
        </w:rPr>
        <w:t>现有工程生产工艺流程</w:t>
      </w:r>
      <w:proofErr w:type="gramStart"/>
      <w:r w:rsidRPr="00C938AD">
        <w:rPr>
          <w:rFonts w:eastAsia="黑体" w:hint="eastAsia"/>
        </w:rPr>
        <w:t>及</w:t>
      </w:r>
      <w:r w:rsidRPr="00C938AD">
        <w:rPr>
          <w:rFonts w:eastAsia="黑体"/>
        </w:rPr>
        <w:t>产污环节</w:t>
      </w:r>
      <w:proofErr w:type="gramEnd"/>
      <w:r w:rsidRPr="00C938AD">
        <w:rPr>
          <w:rFonts w:eastAsia="黑体"/>
        </w:rPr>
        <w:t>示意图</w:t>
      </w:r>
    </w:p>
    <w:p w14:paraId="541A628E" w14:textId="4AEB05C6" w:rsidR="00437624" w:rsidRPr="00650CF4" w:rsidRDefault="00437624" w:rsidP="00650CF4">
      <w:pPr>
        <w:pStyle w:val="af6"/>
        <w:ind w:firstLine="480"/>
      </w:pPr>
      <w:r w:rsidRPr="00650CF4">
        <w:rPr>
          <w:rFonts w:hint="eastAsia"/>
        </w:rPr>
        <w:t>2</w:t>
      </w:r>
      <w:r w:rsidRPr="00650CF4">
        <w:rPr>
          <w:rFonts w:hint="eastAsia"/>
        </w:rPr>
        <w:t>、</w:t>
      </w:r>
      <w:r w:rsidR="00A21D5F" w:rsidRPr="00650CF4">
        <w:rPr>
          <w:rFonts w:hint="eastAsia"/>
        </w:rPr>
        <w:t>资源整合</w:t>
      </w:r>
      <w:proofErr w:type="gramStart"/>
      <w:r w:rsidR="00A21D5F" w:rsidRPr="00650CF4">
        <w:rPr>
          <w:rFonts w:hint="eastAsia"/>
        </w:rPr>
        <w:t>前现有</w:t>
      </w:r>
      <w:proofErr w:type="gramEnd"/>
      <w:r w:rsidR="00A21D5F" w:rsidRPr="00650CF4">
        <w:rPr>
          <w:rFonts w:hint="eastAsia"/>
        </w:rPr>
        <w:t>工程</w:t>
      </w:r>
      <w:r w:rsidRPr="00650CF4">
        <w:rPr>
          <w:rFonts w:hint="eastAsia"/>
        </w:rPr>
        <w:t>破碎加工区生产工艺</w:t>
      </w:r>
    </w:p>
    <w:p w14:paraId="4D672084" w14:textId="77777777" w:rsidR="00437624" w:rsidRPr="00C938AD" w:rsidRDefault="00437624" w:rsidP="00650CF4">
      <w:pPr>
        <w:pStyle w:val="af6"/>
        <w:ind w:firstLine="480"/>
        <w:rPr>
          <w:rFonts w:cs="宋体"/>
        </w:rPr>
      </w:pPr>
      <w:r w:rsidRPr="00C938AD">
        <w:rPr>
          <w:rFonts w:ascii="宋体" w:hAnsi="宋体" w:cs="宋体" w:hint="eastAsia"/>
        </w:rPr>
        <w:t>根据原矿性质，破碎、加工工艺采用两级破碎</w:t>
      </w:r>
      <w:r w:rsidRPr="00C938AD">
        <w:rPr>
          <w:rFonts w:cs="宋体"/>
        </w:rPr>
        <w:t>+</w:t>
      </w:r>
      <w:r w:rsidRPr="00C938AD">
        <w:rPr>
          <w:rFonts w:ascii="宋体" w:hAnsi="宋体" w:cs="宋体"/>
        </w:rPr>
        <w:t>三级</w:t>
      </w:r>
      <w:r w:rsidRPr="00C938AD">
        <w:rPr>
          <w:rFonts w:ascii="宋体" w:hAnsi="宋体" w:cs="宋体" w:hint="eastAsia"/>
        </w:rPr>
        <w:t>筛分工艺，原矿经初破、二破后进入筛分设备分级。具体工艺流程如下：由采石场运来的原石直接由自卸汽车装入颚式破碎机料斗进行初破，初破后的石料直接进入</w:t>
      </w:r>
      <w:proofErr w:type="gramStart"/>
      <w:r w:rsidRPr="00C938AD">
        <w:rPr>
          <w:rFonts w:ascii="宋体" w:hAnsi="宋体" w:cs="宋体" w:hint="eastAsia"/>
        </w:rPr>
        <w:t>位于颚破下方</w:t>
      </w:r>
      <w:proofErr w:type="gramEnd"/>
      <w:r w:rsidRPr="00C938AD">
        <w:rPr>
          <w:rFonts w:ascii="宋体" w:hAnsi="宋体" w:cs="宋体" w:hint="eastAsia"/>
        </w:rPr>
        <w:t>的圆锥破碎机进行二破，二破后的石料通过皮带输送机送入一级振动筛进行筛分，筛上大块料送到圆锥破碎机进行回笼破碎，筛下石料进入产品仓库；筛下石料进入二级筛分机（二层），一层、二层筛上石料分别进入产品仓库，筛下石料进入三级振动筛，筛上石料和筛下石料分别进入产品仓库，产品在产品仓库暂存后定期外售。</w:t>
      </w:r>
    </w:p>
    <w:p w14:paraId="08573A14" w14:textId="07330B80" w:rsidR="00437624" w:rsidRPr="00C938AD" w:rsidRDefault="00437624" w:rsidP="00650CF4">
      <w:pPr>
        <w:pStyle w:val="af6"/>
        <w:ind w:firstLine="480"/>
        <w:rPr>
          <w:rFonts w:cs="宋体"/>
        </w:rPr>
      </w:pPr>
      <w:r w:rsidRPr="00C938AD">
        <w:rPr>
          <w:rFonts w:ascii="宋体" w:hAnsi="宋体" w:cs="宋体" w:hint="eastAsia"/>
        </w:rPr>
        <w:t>项目破碎生产工艺流程图</w:t>
      </w:r>
      <w:proofErr w:type="gramStart"/>
      <w:r w:rsidRPr="00C938AD">
        <w:rPr>
          <w:rFonts w:ascii="宋体" w:hAnsi="宋体" w:cs="宋体" w:hint="eastAsia"/>
        </w:rPr>
        <w:t>及产污环节</w:t>
      </w:r>
      <w:proofErr w:type="gramEnd"/>
      <w:r w:rsidRPr="00C938AD">
        <w:rPr>
          <w:rFonts w:ascii="宋体" w:hAnsi="宋体" w:cs="宋体" w:hint="eastAsia"/>
        </w:rPr>
        <w:t>示意图见图</w:t>
      </w:r>
      <w:r w:rsidRPr="00C938AD">
        <w:rPr>
          <w:rFonts w:cs="宋体"/>
        </w:rPr>
        <w:t>3.</w:t>
      </w:r>
      <w:r w:rsidRPr="00C938AD">
        <w:rPr>
          <w:rFonts w:cs="宋体" w:hint="eastAsia"/>
        </w:rPr>
        <w:t>1</w:t>
      </w:r>
      <w:r w:rsidRPr="00C938AD">
        <w:rPr>
          <w:rFonts w:cs="宋体"/>
        </w:rPr>
        <w:t>-</w:t>
      </w:r>
      <w:r w:rsidRPr="00C938AD">
        <w:rPr>
          <w:rFonts w:cs="宋体" w:hint="eastAsia"/>
        </w:rPr>
        <w:t>2</w:t>
      </w:r>
      <w:r w:rsidRPr="00C938AD">
        <w:rPr>
          <w:rFonts w:ascii="宋体" w:hAnsi="宋体" w:cs="宋体" w:hint="eastAsia"/>
        </w:rPr>
        <w:t>。</w:t>
      </w:r>
    </w:p>
    <w:p w14:paraId="44960AAE" w14:textId="77777777" w:rsidR="00437624" w:rsidRPr="00C938AD" w:rsidRDefault="00437624" w:rsidP="00437624">
      <w:pPr>
        <w:pStyle w:val="41"/>
        <w:jc w:val="center"/>
      </w:pPr>
      <w:r w:rsidRPr="00C938AD">
        <w:object w:dxaOrig="8221" w:dyaOrig="8160" w14:anchorId="6AB1B8CD">
          <v:shape id="_x0000_i1027" type="#_x0000_t75" style="width:410.45pt;height:408.2pt" o:ole="">
            <v:imagedata r:id="rId20" o:title=""/>
          </v:shape>
          <o:OLEObject Type="Embed" ProgID="Visio.Drawing.11" ShapeID="_x0000_i1027" DrawAspect="Content" ObjectID="_1644327281" r:id="rId21"/>
        </w:object>
      </w:r>
    </w:p>
    <w:p w14:paraId="4EC80697" w14:textId="1672322B" w:rsidR="00437624" w:rsidRPr="00172FA9" w:rsidRDefault="00437624" w:rsidP="00437624">
      <w:pPr>
        <w:pStyle w:val="41"/>
        <w:jc w:val="center"/>
        <w:rPr>
          <w:sz w:val="24"/>
          <w:szCs w:val="24"/>
        </w:rPr>
      </w:pPr>
      <w:r w:rsidRPr="00172FA9">
        <w:rPr>
          <w:rFonts w:ascii="黑体" w:eastAsia="黑体" w:hAnsi="黑体"/>
          <w:sz w:val="24"/>
          <w:szCs w:val="24"/>
        </w:rPr>
        <w:t>图</w:t>
      </w:r>
      <w:r w:rsidRPr="00172FA9">
        <w:rPr>
          <w:rFonts w:eastAsia="黑体"/>
          <w:sz w:val="24"/>
          <w:szCs w:val="24"/>
        </w:rPr>
        <w:t>3.</w:t>
      </w:r>
      <w:r w:rsidRPr="00172FA9">
        <w:rPr>
          <w:rFonts w:eastAsia="黑体" w:hint="eastAsia"/>
          <w:sz w:val="24"/>
          <w:szCs w:val="24"/>
        </w:rPr>
        <w:t>1</w:t>
      </w:r>
      <w:r w:rsidRPr="00172FA9">
        <w:rPr>
          <w:rFonts w:eastAsia="黑体"/>
          <w:sz w:val="24"/>
          <w:szCs w:val="24"/>
        </w:rPr>
        <w:t>-</w:t>
      </w:r>
      <w:r w:rsidRPr="00172FA9">
        <w:rPr>
          <w:rFonts w:eastAsia="黑体" w:hint="eastAsia"/>
          <w:sz w:val="24"/>
          <w:szCs w:val="24"/>
        </w:rPr>
        <w:t>2</w:t>
      </w:r>
      <w:r w:rsidRPr="00172FA9">
        <w:rPr>
          <w:rFonts w:ascii="黑体" w:eastAsia="黑体" w:hAnsi="黑体"/>
          <w:sz w:val="24"/>
          <w:szCs w:val="24"/>
        </w:rPr>
        <w:t>项目破碎工艺流程图</w:t>
      </w:r>
    </w:p>
    <w:p w14:paraId="1C1993DE" w14:textId="4073E4B2" w:rsidR="00EA6D0E" w:rsidRPr="00650CF4" w:rsidRDefault="00EA6D0E" w:rsidP="00EA6D0E">
      <w:pPr>
        <w:pStyle w:val="Af8"/>
      </w:pPr>
      <w:r w:rsidRPr="00C938AD">
        <w:rPr>
          <w:rFonts w:hint="eastAsia"/>
        </w:rPr>
        <w:t>3</w:t>
      </w:r>
      <w:r w:rsidRPr="00C938AD">
        <w:t>.1.2</w:t>
      </w:r>
      <w:r w:rsidRPr="00650CF4">
        <w:t>.2</w:t>
      </w:r>
      <w:r w:rsidR="00A21D5F" w:rsidRPr="00650CF4">
        <w:rPr>
          <w:rFonts w:hint="eastAsia"/>
        </w:rPr>
        <w:t>整合</w:t>
      </w:r>
      <w:proofErr w:type="gramStart"/>
      <w:r w:rsidR="00A21D5F" w:rsidRPr="00650CF4">
        <w:rPr>
          <w:rFonts w:hint="eastAsia"/>
        </w:rPr>
        <w:t>前</w:t>
      </w:r>
      <w:r w:rsidRPr="00650CF4">
        <w:rPr>
          <w:rFonts w:hint="eastAsia"/>
        </w:rPr>
        <w:t>现有</w:t>
      </w:r>
      <w:proofErr w:type="gramEnd"/>
      <w:r w:rsidRPr="00650CF4">
        <w:rPr>
          <w:rFonts w:hint="eastAsia"/>
        </w:rPr>
        <w:t>工程开采主要设备</w:t>
      </w:r>
    </w:p>
    <w:p w14:paraId="1C4A7DD9" w14:textId="2DC42C71" w:rsidR="00EA6D0E" w:rsidRPr="00650CF4" w:rsidRDefault="00A21D5F" w:rsidP="00C82B88">
      <w:pPr>
        <w:spacing w:line="480" w:lineRule="exact"/>
        <w:ind w:firstLineChars="400" w:firstLine="960"/>
      </w:pPr>
      <w:r w:rsidRPr="00650CF4">
        <w:rPr>
          <w:rFonts w:hint="eastAsia"/>
        </w:rPr>
        <w:t>整合前</w:t>
      </w:r>
      <w:r w:rsidR="00EA6D0E" w:rsidRPr="00650CF4">
        <w:t>矿山</w:t>
      </w:r>
      <w:r w:rsidR="00EA6D0E" w:rsidRPr="00650CF4">
        <w:rPr>
          <w:rFonts w:hint="eastAsia"/>
        </w:rPr>
        <w:t>现有工程</w:t>
      </w:r>
      <w:r w:rsidR="00EA6D0E" w:rsidRPr="00650CF4">
        <w:t>开采主要设备见表</w:t>
      </w:r>
      <w:r w:rsidR="00EA6D0E" w:rsidRPr="00650CF4">
        <w:t>3.</w:t>
      </w:r>
      <w:r w:rsidR="008B05EB" w:rsidRPr="00650CF4">
        <w:rPr>
          <w:rFonts w:hint="eastAsia"/>
        </w:rPr>
        <w:t>1</w:t>
      </w:r>
      <w:r w:rsidR="00EA6D0E" w:rsidRPr="00650CF4">
        <w:t>-</w:t>
      </w:r>
      <w:r w:rsidR="00AA5145">
        <w:rPr>
          <w:rFonts w:hint="eastAsia"/>
        </w:rPr>
        <w:t>5</w:t>
      </w:r>
      <w:r w:rsidR="00EA6D0E" w:rsidRPr="00650CF4">
        <w:t>。</w:t>
      </w:r>
    </w:p>
    <w:p w14:paraId="70CAAB45" w14:textId="3E596227" w:rsidR="00EA6D0E" w:rsidRPr="00C938AD" w:rsidRDefault="00EA6D0E" w:rsidP="00C82B88">
      <w:pPr>
        <w:spacing w:line="480" w:lineRule="exact"/>
        <w:ind w:firstLineChars="500" w:firstLine="1200"/>
        <w:rPr>
          <w:rFonts w:eastAsia="黑体"/>
        </w:rPr>
      </w:pPr>
      <w:r w:rsidRPr="00C938AD">
        <w:rPr>
          <w:rFonts w:eastAsia="黑体"/>
        </w:rPr>
        <w:t>表</w:t>
      </w:r>
      <w:r w:rsidRPr="00C938AD">
        <w:rPr>
          <w:rFonts w:eastAsia="黑体"/>
        </w:rPr>
        <w:t>3.</w:t>
      </w:r>
      <w:r w:rsidR="008B05EB" w:rsidRPr="00C938AD">
        <w:rPr>
          <w:rFonts w:eastAsia="黑体" w:hint="eastAsia"/>
        </w:rPr>
        <w:t>1</w:t>
      </w:r>
      <w:r w:rsidRPr="00C938AD">
        <w:rPr>
          <w:rFonts w:eastAsia="黑体"/>
        </w:rPr>
        <w:t>-</w:t>
      </w:r>
      <w:r w:rsidR="00AA5145">
        <w:rPr>
          <w:rFonts w:eastAsia="黑体" w:hint="eastAsia"/>
        </w:rPr>
        <w:t>5</w:t>
      </w:r>
      <w:r w:rsidR="00AA5145">
        <w:rPr>
          <w:rFonts w:eastAsia="黑体"/>
        </w:rPr>
        <w:t xml:space="preserve">   </w:t>
      </w:r>
      <w:r w:rsidRPr="00C938AD">
        <w:rPr>
          <w:rFonts w:eastAsia="黑体" w:hint="eastAsia"/>
        </w:rPr>
        <w:t>现有工程</w:t>
      </w:r>
      <w:r w:rsidRPr="00C938AD">
        <w:rPr>
          <w:rFonts w:eastAsia="黑体"/>
        </w:rPr>
        <w:t>主要采、掘机械设备一览表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856"/>
        <w:gridCol w:w="2098"/>
        <w:gridCol w:w="1547"/>
        <w:gridCol w:w="2232"/>
        <w:gridCol w:w="858"/>
      </w:tblGrid>
      <w:tr w:rsidR="00650CF4" w:rsidRPr="00650CF4" w14:paraId="3FC55026" w14:textId="77777777" w:rsidTr="00AA5145">
        <w:trPr>
          <w:trHeight w:val="416"/>
          <w:jc w:val="center"/>
        </w:trPr>
        <w:tc>
          <w:tcPr>
            <w:tcW w:w="647" w:type="pct"/>
            <w:vAlign w:val="center"/>
          </w:tcPr>
          <w:p w14:paraId="49B617C9" w14:textId="67744A66" w:rsidR="00650CF4" w:rsidRPr="00650CF4" w:rsidRDefault="00650CF4" w:rsidP="00EA6D0E">
            <w:pPr>
              <w:snapToGrid w:val="0"/>
              <w:spacing w:line="360" w:lineRule="exact"/>
              <w:ind w:firstLineChars="0" w:firstLine="0"/>
              <w:jc w:val="center"/>
              <w:rPr>
                <w:sz w:val="21"/>
                <w:szCs w:val="21"/>
              </w:rPr>
            </w:pPr>
            <w:r>
              <w:rPr>
                <w:rFonts w:hint="eastAsia"/>
                <w:sz w:val="21"/>
                <w:szCs w:val="21"/>
              </w:rPr>
              <w:t>名称</w:t>
            </w:r>
          </w:p>
        </w:tc>
        <w:tc>
          <w:tcPr>
            <w:tcW w:w="491" w:type="pct"/>
            <w:vAlign w:val="center"/>
          </w:tcPr>
          <w:p w14:paraId="573548DD" w14:textId="10EC0630" w:rsidR="00650CF4" w:rsidRPr="00650CF4" w:rsidRDefault="00650CF4" w:rsidP="00EA6D0E">
            <w:pPr>
              <w:snapToGrid w:val="0"/>
              <w:spacing w:line="360" w:lineRule="exact"/>
              <w:ind w:firstLineChars="0" w:firstLine="0"/>
              <w:jc w:val="center"/>
              <w:rPr>
                <w:sz w:val="21"/>
                <w:szCs w:val="21"/>
              </w:rPr>
            </w:pPr>
            <w:r w:rsidRPr="00650CF4">
              <w:rPr>
                <w:sz w:val="21"/>
                <w:szCs w:val="21"/>
              </w:rPr>
              <w:t>序号</w:t>
            </w:r>
          </w:p>
        </w:tc>
        <w:tc>
          <w:tcPr>
            <w:tcW w:w="1203" w:type="pct"/>
            <w:vAlign w:val="center"/>
          </w:tcPr>
          <w:p w14:paraId="32391A81" w14:textId="77777777" w:rsidR="00650CF4" w:rsidRPr="00650CF4" w:rsidRDefault="00650CF4" w:rsidP="00EA6D0E">
            <w:pPr>
              <w:snapToGrid w:val="0"/>
              <w:spacing w:line="360" w:lineRule="exact"/>
              <w:ind w:firstLineChars="0" w:firstLine="0"/>
              <w:jc w:val="center"/>
              <w:rPr>
                <w:sz w:val="21"/>
                <w:szCs w:val="21"/>
              </w:rPr>
            </w:pPr>
            <w:r w:rsidRPr="00650CF4">
              <w:rPr>
                <w:sz w:val="21"/>
                <w:szCs w:val="21"/>
              </w:rPr>
              <w:t>设备名称</w:t>
            </w:r>
          </w:p>
        </w:tc>
        <w:tc>
          <w:tcPr>
            <w:tcW w:w="887" w:type="pct"/>
            <w:vAlign w:val="center"/>
          </w:tcPr>
          <w:p w14:paraId="53BAA6FF" w14:textId="77777777" w:rsidR="00650CF4" w:rsidRPr="00650CF4" w:rsidRDefault="00650CF4" w:rsidP="00EA6D0E">
            <w:pPr>
              <w:snapToGrid w:val="0"/>
              <w:spacing w:line="360" w:lineRule="exact"/>
              <w:ind w:firstLineChars="0" w:firstLine="0"/>
              <w:jc w:val="center"/>
              <w:rPr>
                <w:sz w:val="21"/>
                <w:szCs w:val="21"/>
              </w:rPr>
            </w:pPr>
            <w:r w:rsidRPr="00650CF4">
              <w:rPr>
                <w:sz w:val="21"/>
                <w:szCs w:val="21"/>
              </w:rPr>
              <w:t>型号</w:t>
            </w:r>
          </w:p>
        </w:tc>
        <w:tc>
          <w:tcPr>
            <w:tcW w:w="1280" w:type="pct"/>
            <w:vAlign w:val="center"/>
          </w:tcPr>
          <w:p w14:paraId="3AA56033" w14:textId="77777777" w:rsidR="00650CF4" w:rsidRPr="00650CF4" w:rsidRDefault="00650CF4" w:rsidP="00EA6D0E">
            <w:pPr>
              <w:snapToGrid w:val="0"/>
              <w:spacing w:line="360" w:lineRule="exact"/>
              <w:ind w:firstLineChars="0" w:firstLine="0"/>
              <w:jc w:val="center"/>
              <w:rPr>
                <w:sz w:val="21"/>
                <w:szCs w:val="21"/>
              </w:rPr>
            </w:pPr>
            <w:r w:rsidRPr="00650CF4">
              <w:rPr>
                <w:sz w:val="21"/>
                <w:szCs w:val="21"/>
              </w:rPr>
              <w:t>台数</w:t>
            </w:r>
          </w:p>
        </w:tc>
        <w:tc>
          <w:tcPr>
            <w:tcW w:w="492" w:type="pct"/>
            <w:vAlign w:val="center"/>
          </w:tcPr>
          <w:p w14:paraId="75685D04" w14:textId="77777777" w:rsidR="00650CF4" w:rsidRPr="00650CF4" w:rsidRDefault="00650CF4" w:rsidP="00EA6D0E">
            <w:pPr>
              <w:snapToGrid w:val="0"/>
              <w:spacing w:line="360" w:lineRule="exact"/>
              <w:ind w:firstLineChars="0" w:firstLine="0"/>
              <w:jc w:val="center"/>
              <w:rPr>
                <w:b/>
                <w:sz w:val="21"/>
                <w:szCs w:val="21"/>
              </w:rPr>
            </w:pPr>
            <w:r w:rsidRPr="00650CF4">
              <w:rPr>
                <w:b/>
                <w:sz w:val="21"/>
                <w:szCs w:val="21"/>
              </w:rPr>
              <w:t>备注</w:t>
            </w:r>
          </w:p>
        </w:tc>
      </w:tr>
      <w:tr w:rsidR="00650CF4" w:rsidRPr="00650CF4" w14:paraId="2684C481" w14:textId="77777777" w:rsidTr="00AA5145">
        <w:trPr>
          <w:jc w:val="center"/>
        </w:trPr>
        <w:tc>
          <w:tcPr>
            <w:tcW w:w="647" w:type="pct"/>
            <w:vMerge w:val="restart"/>
            <w:vAlign w:val="center"/>
          </w:tcPr>
          <w:p w14:paraId="50370B7E" w14:textId="32EA2066" w:rsidR="00650CF4" w:rsidRPr="00650CF4" w:rsidRDefault="00650CF4" w:rsidP="00EA6D0E">
            <w:pPr>
              <w:snapToGrid w:val="0"/>
              <w:spacing w:line="360" w:lineRule="exact"/>
              <w:ind w:firstLineChars="0" w:firstLine="0"/>
              <w:jc w:val="center"/>
              <w:rPr>
                <w:sz w:val="21"/>
                <w:szCs w:val="21"/>
              </w:rPr>
            </w:pPr>
            <w:r w:rsidRPr="00650CF4">
              <w:rPr>
                <w:rFonts w:hint="eastAsia"/>
                <w:sz w:val="21"/>
                <w:szCs w:val="21"/>
              </w:rPr>
              <w:t>驻马店市</w:t>
            </w:r>
            <w:proofErr w:type="gramStart"/>
            <w:r w:rsidRPr="00650CF4">
              <w:rPr>
                <w:rFonts w:hint="eastAsia"/>
                <w:sz w:val="21"/>
                <w:szCs w:val="21"/>
              </w:rPr>
              <w:t>驿</w:t>
            </w:r>
            <w:proofErr w:type="gramEnd"/>
            <w:r w:rsidRPr="00650CF4">
              <w:rPr>
                <w:rFonts w:hint="eastAsia"/>
                <w:sz w:val="21"/>
                <w:szCs w:val="21"/>
              </w:rPr>
              <w:t>城区丰鑫矿业有限公司</w:t>
            </w:r>
          </w:p>
        </w:tc>
        <w:tc>
          <w:tcPr>
            <w:tcW w:w="491" w:type="pct"/>
            <w:vAlign w:val="center"/>
          </w:tcPr>
          <w:p w14:paraId="0FA098A6" w14:textId="70FB1637"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1F0CDFCA" w14:textId="77777777" w:rsidR="00650CF4" w:rsidRPr="00650CF4" w:rsidRDefault="00650CF4" w:rsidP="00EA6D0E">
            <w:pPr>
              <w:pStyle w:val="aff"/>
              <w:ind w:left="-240" w:right="-120"/>
              <w:rPr>
                <w:rFonts w:ascii="Times New Roman" w:hAnsi="Times New Roman" w:cs="Times New Roman"/>
              </w:rPr>
            </w:pPr>
            <w:proofErr w:type="gramStart"/>
            <w:r w:rsidRPr="00650CF4">
              <w:rPr>
                <w:rFonts w:ascii="Times New Roman" w:hAnsi="Times New Roman" w:cs="Times New Roman"/>
              </w:rPr>
              <w:t>潜孔钻</w:t>
            </w:r>
            <w:proofErr w:type="gramEnd"/>
          </w:p>
        </w:tc>
        <w:tc>
          <w:tcPr>
            <w:tcW w:w="887" w:type="pct"/>
            <w:vAlign w:val="center"/>
          </w:tcPr>
          <w:p w14:paraId="4BF206CC"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H680</w:t>
            </w:r>
          </w:p>
        </w:tc>
        <w:tc>
          <w:tcPr>
            <w:tcW w:w="1280" w:type="pct"/>
            <w:vAlign w:val="center"/>
          </w:tcPr>
          <w:p w14:paraId="1EFBA5B7"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1</w:t>
            </w:r>
          </w:p>
        </w:tc>
        <w:tc>
          <w:tcPr>
            <w:tcW w:w="492" w:type="pct"/>
            <w:vMerge w:val="restart"/>
            <w:vAlign w:val="center"/>
          </w:tcPr>
          <w:p w14:paraId="310D0DFD" w14:textId="77777777" w:rsidR="00650CF4" w:rsidRPr="00650CF4" w:rsidRDefault="00650CF4" w:rsidP="00EA6D0E">
            <w:pPr>
              <w:snapToGrid w:val="0"/>
              <w:spacing w:line="360" w:lineRule="exact"/>
              <w:ind w:firstLine="420"/>
              <w:jc w:val="center"/>
              <w:rPr>
                <w:bCs/>
                <w:sz w:val="21"/>
                <w:szCs w:val="21"/>
              </w:rPr>
            </w:pPr>
          </w:p>
          <w:p w14:paraId="37111CA5" w14:textId="4A74E73E" w:rsidR="00650CF4" w:rsidRPr="00650CF4" w:rsidRDefault="00650CF4" w:rsidP="00650CF4">
            <w:pPr>
              <w:snapToGrid w:val="0"/>
              <w:spacing w:line="360" w:lineRule="exact"/>
              <w:ind w:firstLineChars="0" w:firstLine="0"/>
              <w:rPr>
                <w:bCs/>
                <w:sz w:val="21"/>
                <w:szCs w:val="21"/>
              </w:rPr>
            </w:pPr>
            <w:r w:rsidRPr="00650CF4">
              <w:rPr>
                <w:rFonts w:hint="eastAsia"/>
                <w:bCs/>
                <w:sz w:val="21"/>
                <w:szCs w:val="21"/>
              </w:rPr>
              <w:t>设备老旧，本项目淘汰</w:t>
            </w:r>
          </w:p>
        </w:tc>
      </w:tr>
      <w:tr w:rsidR="00650CF4" w:rsidRPr="00650CF4" w14:paraId="179F8C83" w14:textId="77777777" w:rsidTr="00AA5145">
        <w:trPr>
          <w:jc w:val="center"/>
        </w:trPr>
        <w:tc>
          <w:tcPr>
            <w:tcW w:w="647" w:type="pct"/>
            <w:vMerge/>
            <w:vAlign w:val="center"/>
          </w:tcPr>
          <w:p w14:paraId="00AC94BA"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4E73452E" w14:textId="6B904103"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3731D805"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碎石器</w:t>
            </w:r>
          </w:p>
        </w:tc>
        <w:tc>
          <w:tcPr>
            <w:tcW w:w="887" w:type="pct"/>
            <w:vAlign w:val="center"/>
          </w:tcPr>
          <w:p w14:paraId="0E38F749"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HANKAL155L</w:t>
            </w:r>
          </w:p>
        </w:tc>
        <w:tc>
          <w:tcPr>
            <w:tcW w:w="1280" w:type="pct"/>
            <w:vAlign w:val="center"/>
          </w:tcPr>
          <w:p w14:paraId="3A73593A"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1</w:t>
            </w:r>
          </w:p>
        </w:tc>
        <w:tc>
          <w:tcPr>
            <w:tcW w:w="492" w:type="pct"/>
            <w:vMerge/>
            <w:vAlign w:val="center"/>
          </w:tcPr>
          <w:p w14:paraId="7632D843" w14:textId="0E233026" w:rsidR="00650CF4" w:rsidRPr="00650CF4" w:rsidRDefault="00650CF4" w:rsidP="00EA6D0E">
            <w:pPr>
              <w:snapToGrid w:val="0"/>
              <w:spacing w:line="360" w:lineRule="exact"/>
              <w:ind w:firstLine="420"/>
              <w:jc w:val="center"/>
              <w:rPr>
                <w:bCs/>
                <w:sz w:val="21"/>
                <w:szCs w:val="21"/>
              </w:rPr>
            </w:pPr>
          </w:p>
        </w:tc>
      </w:tr>
      <w:tr w:rsidR="002A435B" w:rsidRPr="00650CF4" w14:paraId="57E52456" w14:textId="77777777" w:rsidTr="00AA5145">
        <w:trPr>
          <w:jc w:val="center"/>
        </w:trPr>
        <w:tc>
          <w:tcPr>
            <w:tcW w:w="647" w:type="pct"/>
            <w:vMerge/>
            <w:vAlign w:val="center"/>
          </w:tcPr>
          <w:p w14:paraId="47543D07" w14:textId="77777777" w:rsidR="002A435B" w:rsidRPr="00650CF4" w:rsidRDefault="002A435B" w:rsidP="00EA6D0E">
            <w:pPr>
              <w:snapToGrid w:val="0"/>
              <w:spacing w:line="360" w:lineRule="exact"/>
              <w:ind w:firstLineChars="0" w:firstLine="0"/>
              <w:jc w:val="center"/>
              <w:rPr>
                <w:sz w:val="21"/>
                <w:szCs w:val="21"/>
              </w:rPr>
            </w:pPr>
          </w:p>
        </w:tc>
        <w:tc>
          <w:tcPr>
            <w:tcW w:w="491" w:type="pct"/>
            <w:vAlign w:val="center"/>
          </w:tcPr>
          <w:p w14:paraId="05B61FB8" w14:textId="77777777" w:rsidR="002A435B" w:rsidRPr="002A435B" w:rsidRDefault="002A435B" w:rsidP="002A435B">
            <w:pPr>
              <w:pStyle w:val="af3"/>
              <w:numPr>
                <w:ilvl w:val="0"/>
                <w:numId w:val="18"/>
              </w:numPr>
              <w:snapToGrid w:val="0"/>
              <w:spacing w:line="360" w:lineRule="exact"/>
              <w:ind w:firstLineChars="0"/>
              <w:jc w:val="center"/>
              <w:rPr>
                <w:sz w:val="21"/>
                <w:szCs w:val="21"/>
              </w:rPr>
            </w:pPr>
          </w:p>
        </w:tc>
        <w:tc>
          <w:tcPr>
            <w:tcW w:w="1203" w:type="pct"/>
            <w:vAlign w:val="center"/>
          </w:tcPr>
          <w:p w14:paraId="36EB9815" w14:textId="220862E9" w:rsidR="002A435B" w:rsidRPr="00650CF4" w:rsidRDefault="002A435B" w:rsidP="00EA6D0E">
            <w:pPr>
              <w:pStyle w:val="aff"/>
              <w:ind w:left="-240" w:right="-120"/>
              <w:rPr>
                <w:rFonts w:ascii="Times New Roman" w:hAnsi="Times New Roman" w:cs="Times New Roman"/>
              </w:rPr>
            </w:pPr>
            <w:r>
              <w:rPr>
                <w:rFonts w:ascii="Times New Roman" w:hAnsi="Times New Roman" w:cs="Times New Roman" w:hint="eastAsia"/>
              </w:rPr>
              <w:t>凿岩机</w:t>
            </w:r>
          </w:p>
        </w:tc>
        <w:tc>
          <w:tcPr>
            <w:tcW w:w="887" w:type="pct"/>
            <w:vAlign w:val="center"/>
          </w:tcPr>
          <w:p w14:paraId="073626FD" w14:textId="36C75678" w:rsidR="002A435B" w:rsidRPr="00650CF4" w:rsidRDefault="002A435B" w:rsidP="00EA6D0E">
            <w:pPr>
              <w:pStyle w:val="aff"/>
              <w:ind w:left="-240" w:right="-120"/>
              <w:rPr>
                <w:rFonts w:ascii="Times New Roman" w:hAnsi="Times New Roman" w:cs="Times New Roman"/>
              </w:rPr>
            </w:pPr>
            <w:r>
              <w:rPr>
                <w:rFonts w:ascii="Times New Roman" w:hAnsi="Times New Roman" w:cs="Times New Roman" w:hint="eastAsia"/>
              </w:rPr>
              <w:t>/</w:t>
            </w:r>
          </w:p>
        </w:tc>
        <w:tc>
          <w:tcPr>
            <w:tcW w:w="1280" w:type="pct"/>
            <w:vAlign w:val="center"/>
          </w:tcPr>
          <w:p w14:paraId="438264B8" w14:textId="0CAFCA7E" w:rsidR="002A435B" w:rsidRPr="00650CF4" w:rsidRDefault="002A435B" w:rsidP="00EA6D0E">
            <w:pPr>
              <w:pStyle w:val="aff"/>
              <w:ind w:left="-240" w:right="-120"/>
              <w:rPr>
                <w:rFonts w:ascii="Times New Roman" w:hAnsi="Times New Roman" w:cs="Times New Roman"/>
              </w:rPr>
            </w:pPr>
            <w:r>
              <w:rPr>
                <w:rFonts w:ascii="Times New Roman" w:hAnsi="Times New Roman" w:cs="Times New Roman" w:hint="eastAsia"/>
              </w:rPr>
              <w:t>1</w:t>
            </w:r>
          </w:p>
        </w:tc>
        <w:tc>
          <w:tcPr>
            <w:tcW w:w="492" w:type="pct"/>
            <w:vMerge/>
            <w:vAlign w:val="center"/>
          </w:tcPr>
          <w:p w14:paraId="7C5EB225" w14:textId="77777777" w:rsidR="002A435B" w:rsidRPr="00650CF4" w:rsidRDefault="002A435B" w:rsidP="00EA6D0E">
            <w:pPr>
              <w:snapToGrid w:val="0"/>
              <w:spacing w:line="360" w:lineRule="exact"/>
              <w:ind w:firstLine="420"/>
              <w:jc w:val="center"/>
              <w:rPr>
                <w:bCs/>
                <w:sz w:val="21"/>
                <w:szCs w:val="21"/>
              </w:rPr>
            </w:pPr>
          </w:p>
        </w:tc>
      </w:tr>
      <w:tr w:rsidR="00650CF4" w:rsidRPr="00650CF4" w14:paraId="1C768C5D" w14:textId="77777777" w:rsidTr="00AA5145">
        <w:trPr>
          <w:jc w:val="center"/>
        </w:trPr>
        <w:tc>
          <w:tcPr>
            <w:tcW w:w="647" w:type="pct"/>
            <w:vMerge/>
            <w:vAlign w:val="center"/>
          </w:tcPr>
          <w:p w14:paraId="59CFCB23"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5EDE2EF7" w14:textId="181B1072"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0CBCAE79"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装载机</w:t>
            </w:r>
          </w:p>
        </w:tc>
        <w:tc>
          <w:tcPr>
            <w:tcW w:w="887" w:type="pct"/>
            <w:vAlign w:val="center"/>
          </w:tcPr>
          <w:p w14:paraId="3D7E0B49"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ZL-50</w:t>
            </w:r>
          </w:p>
        </w:tc>
        <w:tc>
          <w:tcPr>
            <w:tcW w:w="1280" w:type="pct"/>
            <w:vAlign w:val="center"/>
          </w:tcPr>
          <w:p w14:paraId="2783B342"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1</w:t>
            </w:r>
          </w:p>
        </w:tc>
        <w:tc>
          <w:tcPr>
            <w:tcW w:w="492" w:type="pct"/>
            <w:vMerge/>
            <w:vAlign w:val="center"/>
          </w:tcPr>
          <w:p w14:paraId="0280A640" w14:textId="1363023B" w:rsidR="00650CF4" w:rsidRPr="00650CF4" w:rsidRDefault="00650CF4" w:rsidP="00EA6D0E">
            <w:pPr>
              <w:snapToGrid w:val="0"/>
              <w:spacing w:line="360" w:lineRule="exact"/>
              <w:ind w:firstLine="420"/>
              <w:jc w:val="center"/>
              <w:rPr>
                <w:bCs/>
                <w:sz w:val="21"/>
                <w:szCs w:val="21"/>
              </w:rPr>
            </w:pPr>
          </w:p>
        </w:tc>
      </w:tr>
      <w:tr w:rsidR="00650CF4" w:rsidRPr="00650CF4" w14:paraId="7EA37F34" w14:textId="77777777" w:rsidTr="00AA5145">
        <w:trPr>
          <w:jc w:val="center"/>
        </w:trPr>
        <w:tc>
          <w:tcPr>
            <w:tcW w:w="647" w:type="pct"/>
            <w:vMerge/>
            <w:vAlign w:val="center"/>
          </w:tcPr>
          <w:p w14:paraId="042D1E89"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0AF39E96" w14:textId="61529EBC"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3F179FF5"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汽车</w:t>
            </w:r>
          </w:p>
        </w:tc>
        <w:tc>
          <w:tcPr>
            <w:tcW w:w="887" w:type="pct"/>
            <w:vAlign w:val="center"/>
          </w:tcPr>
          <w:p w14:paraId="08604E14"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NXG5640DT</w:t>
            </w:r>
          </w:p>
        </w:tc>
        <w:tc>
          <w:tcPr>
            <w:tcW w:w="1280" w:type="pct"/>
            <w:vAlign w:val="center"/>
          </w:tcPr>
          <w:p w14:paraId="71A00119"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6</w:t>
            </w:r>
          </w:p>
        </w:tc>
        <w:tc>
          <w:tcPr>
            <w:tcW w:w="492" w:type="pct"/>
            <w:vMerge/>
            <w:vAlign w:val="center"/>
          </w:tcPr>
          <w:p w14:paraId="2256FFE3" w14:textId="41DDC160" w:rsidR="00650CF4" w:rsidRPr="00650CF4" w:rsidRDefault="00650CF4" w:rsidP="00EA6D0E">
            <w:pPr>
              <w:snapToGrid w:val="0"/>
              <w:spacing w:line="360" w:lineRule="exact"/>
              <w:ind w:firstLine="420"/>
              <w:jc w:val="center"/>
              <w:rPr>
                <w:bCs/>
                <w:sz w:val="21"/>
                <w:szCs w:val="21"/>
              </w:rPr>
            </w:pPr>
          </w:p>
        </w:tc>
      </w:tr>
      <w:tr w:rsidR="00650CF4" w:rsidRPr="00650CF4" w14:paraId="4F5F9325" w14:textId="77777777" w:rsidTr="00AA5145">
        <w:trPr>
          <w:jc w:val="center"/>
        </w:trPr>
        <w:tc>
          <w:tcPr>
            <w:tcW w:w="647" w:type="pct"/>
            <w:vMerge/>
            <w:vAlign w:val="center"/>
          </w:tcPr>
          <w:p w14:paraId="5D270370"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6153E2A1" w14:textId="39A06A6A"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6A2A1453"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挖掘机</w:t>
            </w:r>
          </w:p>
        </w:tc>
        <w:tc>
          <w:tcPr>
            <w:tcW w:w="887" w:type="pct"/>
            <w:vAlign w:val="center"/>
          </w:tcPr>
          <w:p w14:paraId="6B5AAC2F"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PC300-8MO</w:t>
            </w:r>
          </w:p>
        </w:tc>
        <w:tc>
          <w:tcPr>
            <w:tcW w:w="1280" w:type="pct"/>
            <w:vAlign w:val="center"/>
          </w:tcPr>
          <w:p w14:paraId="108C86D5"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2</w:t>
            </w:r>
          </w:p>
        </w:tc>
        <w:tc>
          <w:tcPr>
            <w:tcW w:w="492" w:type="pct"/>
            <w:vMerge/>
            <w:vAlign w:val="center"/>
          </w:tcPr>
          <w:p w14:paraId="7A1D4150" w14:textId="2FC4618C" w:rsidR="00650CF4" w:rsidRPr="00650CF4" w:rsidRDefault="00650CF4" w:rsidP="00EA6D0E">
            <w:pPr>
              <w:snapToGrid w:val="0"/>
              <w:spacing w:line="360" w:lineRule="exact"/>
              <w:ind w:firstLine="420"/>
              <w:jc w:val="center"/>
              <w:rPr>
                <w:bCs/>
                <w:sz w:val="21"/>
                <w:szCs w:val="21"/>
              </w:rPr>
            </w:pPr>
          </w:p>
        </w:tc>
      </w:tr>
      <w:tr w:rsidR="00650CF4" w:rsidRPr="00650CF4" w14:paraId="42210A37" w14:textId="77777777" w:rsidTr="00AA5145">
        <w:trPr>
          <w:jc w:val="center"/>
        </w:trPr>
        <w:tc>
          <w:tcPr>
            <w:tcW w:w="647" w:type="pct"/>
            <w:vMerge/>
            <w:vAlign w:val="center"/>
          </w:tcPr>
          <w:p w14:paraId="09FFB3C0"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209CE0AA" w14:textId="5A1F2F5C"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3D6394A7" w14:textId="77777777" w:rsidR="00650CF4" w:rsidRPr="00650CF4" w:rsidRDefault="00650CF4" w:rsidP="00EA6D0E">
            <w:pPr>
              <w:snapToGrid w:val="0"/>
              <w:spacing w:line="360" w:lineRule="exact"/>
              <w:ind w:firstLineChars="0" w:firstLine="0"/>
              <w:jc w:val="center"/>
              <w:rPr>
                <w:sz w:val="21"/>
                <w:szCs w:val="21"/>
              </w:rPr>
            </w:pPr>
            <w:r w:rsidRPr="00650CF4">
              <w:rPr>
                <w:sz w:val="21"/>
                <w:szCs w:val="21"/>
              </w:rPr>
              <w:t>空压机</w:t>
            </w:r>
          </w:p>
        </w:tc>
        <w:tc>
          <w:tcPr>
            <w:tcW w:w="887" w:type="pct"/>
            <w:vAlign w:val="center"/>
          </w:tcPr>
          <w:p w14:paraId="304A9BAB" w14:textId="77777777" w:rsidR="00650CF4" w:rsidRPr="00650CF4" w:rsidRDefault="00650CF4" w:rsidP="00EA6D0E">
            <w:pPr>
              <w:snapToGrid w:val="0"/>
              <w:spacing w:line="360" w:lineRule="exact"/>
              <w:ind w:firstLineChars="0" w:firstLine="0"/>
              <w:jc w:val="center"/>
              <w:rPr>
                <w:sz w:val="21"/>
                <w:szCs w:val="21"/>
              </w:rPr>
            </w:pPr>
            <w:r w:rsidRPr="00650CF4">
              <w:rPr>
                <w:sz w:val="21"/>
                <w:szCs w:val="21"/>
              </w:rPr>
              <w:t>VF-13/7</w:t>
            </w:r>
          </w:p>
        </w:tc>
        <w:tc>
          <w:tcPr>
            <w:tcW w:w="1280" w:type="pct"/>
            <w:vAlign w:val="center"/>
          </w:tcPr>
          <w:p w14:paraId="3942B029"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2</w:t>
            </w:r>
          </w:p>
        </w:tc>
        <w:tc>
          <w:tcPr>
            <w:tcW w:w="492" w:type="pct"/>
            <w:vMerge/>
            <w:vAlign w:val="center"/>
          </w:tcPr>
          <w:p w14:paraId="4E6CE1D8" w14:textId="79CDBBF2" w:rsidR="00650CF4" w:rsidRPr="00650CF4" w:rsidRDefault="00650CF4" w:rsidP="00EA6D0E">
            <w:pPr>
              <w:snapToGrid w:val="0"/>
              <w:spacing w:line="360" w:lineRule="exact"/>
              <w:ind w:firstLine="420"/>
              <w:jc w:val="center"/>
              <w:rPr>
                <w:bCs/>
                <w:sz w:val="21"/>
                <w:szCs w:val="21"/>
              </w:rPr>
            </w:pPr>
          </w:p>
        </w:tc>
      </w:tr>
      <w:tr w:rsidR="00650CF4" w:rsidRPr="00650CF4" w14:paraId="7203980D" w14:textId="77777777" w:rsidTr="00AA5145">
        <w:trPr>
          <w:jc w:val="center"/>
        </w:trPr>
        <w:tc>
          <w:tcPr>
            <w:tcW w:w="647" w:type="pct"/>
            <w:vMerge/>
            <w:vAlign w:val="center"/>
          </w:tcPr>
          <w:p w14:paraId="51402923"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0891A54B" w14:textId="7968C7DE"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567EE265" w14:textId="77777777" w:rsidR="00650CF4" w:rsidRPr="00650CF4" w:rsidRDefault="00650CF4" w:rsidP="00EA6D0E">
            <w:pPr>
              <w:snapToGrid w:val="0"/>
              <w:spacing w:line="360" w:lineRule="exact"/>
              <w:ind w:firstLineChars="0" w:firstLine="0"/>
              <w:jc w:val="center"/>
              <w:rPr>
                <w:sz w:val="21"/>
                <w:szCs w:val="21"/>
              </w:rPr>
            </w:pPr>
            <w:r w:rsidRPr="00650CF4">
              <w:rPr>
                <w:rFonts w:hint="eastAsia"/>
                <w:sz w:val="21"/>
                <w:szCs w:val="21"/>
              </w:rPr>
              <w:t>颚式破碎机</w:t>
            </w:r>
          </w:p>
        </w:tc>
        <w:tc>
          <w:tcPr>
            <w:tcW w:w="887" w:type="pct"/>
            <w:vAlign w:val="center"/>
          </w:tcPr>
          <w:p w14:paraId="5CC026B7" w14:textId="77777777" w:rsidR="00650CF4" w:rsidRPr="00650CF4" w:rsidRDefault="00650CF4" w:rsidP="00EA6D0E">
            <w:pPr>
              <w:snapToGrid w:val="0"/>
              <w:spacing w:line="360" w:lineRule="exact"/>
              <w:ind w:firstLineChars="0" w:firstLine="0"/>
              <w:jc w:val="center"/>
              <w:rPr>
                <w:sz w:val="21"/>
                <w:szCs w:val="21"/>
              </w:rPr>
            </w:pPr>
            <w:r w:rsidRPr="00650CF4">
              <w:rPr>
                <w:rFonts w:hint="eastAsia"/>
                <w:sz w:val="21"/>
                <w:szCs w:val="21"/>
              </w:rPr>
              <w:t>PE750</w:t>
            </w:r>
            <w:r w:rsidRPr="00650CF4">
              <w:rPr>
                <w:rFonts w:ascii="Arial" w:hAnsi="Arial" w:cs="Arial"/>
                <w:sz w:val="21"/>
                <w:szCs w:val="21"/>
              </w:rPr>
              <w:t>×</w:t>
            </w:r>
            <w:r w:rsidRPr="00650CF4">
              <w:rPr>
                <w:rFonts w:hint="eastAsia"/>
                <w:sz w:val="21"/>
                <w:szCs w:val="21"/>
              </w:rPr>
              <w:t>1600</w:t>
            </w:r>
          </w:p>
        </w:tc>
        <w:tc>
          <w:tcPr>
            <w:tcW w:w="1280" w:type="pct"/>
            <w:vAlign w:val="center"/>
          </w:tcPr>
          <w:p w14:paraId="529A1525" w14:textId="6ED130FA"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hint="eastAsia"/>
              </w:rPr>
              <w:t>2</w:t>
            </w:r>
          </w:p>
        </w:tc>
        <w:tc>
          <w:tcPr>
            <w:tcW w:w="492" w:type="pct"/>
            <w:vMerge/>
            <w:vAlign w:val="center"/>
          </w:tcPr>
          <w:p w14:paraId="7C29FE09" w14:textId="3EDB3C42" w:rsidR="00650CF4" w:rsidRPr="00650CF4" w:rsidRDefault="00650CF4" w:rsidP="00EA6D0E">
            <w:pPr>
              <w:snapToGrid w:val="0"/>
              <w:spacing w:line="360" w:lineRule="exact"/>
              <w:ind w:firstLine="420"/>
              <w:jc w:val="center"/>
              <w:rPr>
                <w:bCs/>
                <w:sz w:val="21"/>
                <w:szCs w:val="21"/>
              </w:rPr>
            </w:pPr>
          </w:p>
        </w:tc>
      </w:tr>
      <w:tr w:rsidR="00650CF4" w:rsidRPr="00650CF4" w14:paraId="73377323" w14:textId="77777777" w:rsidTr="00AA5145">
        <w:trPr>
          <w:jc w:val="center"/>
        </w:trPr>
        <w:tc>
          <w:tcPr>
            <w:tcW w:w="647" w:type="pct"/>
            <w:vMerge/>
            <w:vAlign w:val="center"/>
          </w:tcPr>
          <w:p w14:paraId="5F4C14E1"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0EED236F" w14:textId="43C87B9F"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3A7524C7" w14:textId="1BC1298B" w:rsidR="00650CF4" w:rsidRPr="00650CF4" w:rsidRDefault="00650CF4" w:rsidP="00EA6D0E">
            <w:pPr>
              <w:snapToGrid w:val="0"/>
              <w:spacing w:line="360" w:lineRule="exact"/>
              <w:ind w:firstLineChars="0" w:firstLine="0"/>
              <w:jc w:val="center"/>
              <w:rPr>
                <w:sz w:val="21"/>
                <w:szCs w:val="21"/>
              </w:rPr>
            </w:pPr>
            <w:r w:rsidRPr="00650CF4">
              <w:rPr>
                <w:rFonts w:hint="eastAsia"/>
                <w:sz w:val="21"/>
                <w:szCs w:val="21"/>
              </w:rPr>
              <w:t>反击式破碎机</w:t>
            </w:r>
          </w:p>
        </w:tc>
        <w:tc>
          <w:tcPr>
            <w:tcW w:w="887" w:type="pct"/>
            <w:vAlign w:val="center"/>
          </w:tcPr>
          <w:p w14:paraId="3B10BCC3" w14:textId="77777777" w:rsidR="00650CF4" w:rsidRPr="00650CF4" w:rsidRDefault="00650CF4" w:rsidP="00EA6D0E">
            <w:pPr>
              <w:snapToGrid w:val="0"/>
              <w:spacing w:line="360" w:lineRule="exact"/>
              <w:ind w:firstLineChars="0" w:firstLine="0"/>
              <w:jc w:val="center"/>
              <w:rPr>
                <w:sz w:val="21"/>
                <w:szCs w:val="21"/>
              </w:rPr>
            </w:pPr>
            <w:r w:rsidRPr="00650CF4">
              <w:rPr>
                <w:rFonts w:hint="eastAsia"/>
                <w:sz w:val="21"/>
                <w:szCs w:val="21"/>
              </w:rPr>
              <w:t>/</w:t>
            </w:r>
          </w:p>
        </w:tc>
        <w:tc>
          <w:tcPr>
            <w:tcW w:w="1280" w:type="pct"/>
            <w:vAlign w:val="center"/>
          </w:tcPr>
          <w:p w14:paraId="0C264FD9" w14:textId="38ADF1B0"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hint="eastAsia"/>
              </w:rPr>
              <w:t>2</w:t>
            </w:r>
          </w:p>
        </w:tc>
        <w:tc>
          <w:tcPr>
            <w:tcW w:w="492" w:type="pct"/>
            <w:vMerge/>
            <w:vAlign w:val="center"/>
          </w:tcPr>
          <w:p w14:paraId="34D1E47E" w14:textId="51F37E82" w:rsidR="00650CF4" w:rsidRPr="00650CF4" w:rsidRDefault="00650CF4" w:rsidP="00EA6D0E">
            <w:pPr>
              <w:snapToGrid w:val="0"/>
              <w:spacing w:line="360" w:lineRule="exact"/>
              <w:ind w:firstLine="420"/>
              <w:jc w:val="center"/>
              <w:rPr>
                <w:bCs/>
                <w:sz w:val="21"/>
                <w:szCs w:val="21"/>
              </w:rPr>
            </w:pPr>
          </w:p>
        </w:tc>
      </w:tr>
      <w:tr w:rsidR="00650CF4" w:rsidRPr="00650CF4" w14:paraId="23F512A0" w14:textId="77777777" w:rsidTr="00AA5145">
        <w:trPr>
          <w:jc w:val="center"/>
        </w:trPr>
        <w:tc>
          <w:tcPr>
            <w:tcW w:w="647" w:type="pct"/>
            <w:vMerge/>
            <w:vAlign w:val="center"/>
          </w:tcPr>
          <w:p w14:paraId="50B4022D"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3148FCDA" w14:textId="7D3B52DB"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581909D7" w14:textId="77777777" w:rsidR="00650CF4" w:rsidRPr="00650CF4" w:rsidRDefault="00650CF4" w:rsidP="00EA6D0E">
            <w:pPr>
              <w:snapToGrid w:val="0"/>
              <w:spacing w:line="360" w:lineRule="exact"/>
              <w:ind w:firstLineChars="0" w:firstLine="0"/>
              <w:jc w:val="center"/>
              <w:rPr>
                <w:sz w:val="21"/>
                <w:szCs w:val="21"/>
              </w:rPr>
            </w:pPr>
            <w:r w:rsidRPr="00650CF4">
              <w:rPr>
                <w:rFonts w:hint="eastAsia"/>
                <w:sz w:val="21"/>
                <w:szCs w:val="21"/>
              </w:rPr>
              <w:t>圆锥破</w:t>
            </w:r>
          </w:p>
        </w:tc>
        <w:tc>
          <w:tcPr>
            <w:tcW w:w="887" w:type="pct"/>
            <w:vAlign w:val="center"/>
          </w:tcPr>
          <w:p w14:paraId="539B645B" w14:textId="77777777" w:rsidR="00650CF4" w:rsidRPr="00650CF4" w:rsidRDefault="00650CF4" w:rsidP="00EA6D0E">
            <w:pPr>
              <w:snapToGrid w:val="0"/>
              <w:spacing w:line="360" w:lineRule="exact"/>
              <w:ind w:firstLineChars="0" w:firstLine="0"/>
              <w:jc w:val="center"/>
              <w:rPr>
                <w:sz w:val="21"/>
                <w:szCs w:val="21"/>
              </w:rPr>
            </w:pPr>
            <w:r w:rsidRPr="00650CF4">
              <w:rPr>
                <w:rFonts w:hint="eastAsia"/>
                <w:sz w:val="21"/>
                <w:szCs w:val="21"/>
              </w:rPr>
              <w:t>/</w:t>
            </w:r>
          </w:p>
        </w:tc>
        <w:tc>
          <w:tcPr>
            <w:tcW w:w="1280" w:type="pct"/>
            <w:vAlign w:val="center"/>
          </w:tcPr>
          <w:p w14:paraId="0B65DC71"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hint="eastAsia"/>
              </w:rPr>
              <w:t>1</w:t>
            </w:r>
          </w:p>
        </w:tc>
        <w:tc>
          <w:tcPr>
            <w:tcW w:w="492" w:type="pct"/>
            <w:vMerge/>
            <w:vAlign w:val="center"/>
          </w:tcPr>
          <w:p w14:paraId="5DC6854F" w14:textId="00B3D7E1" w:rsidR="00650CF4" w:rsidRPr="00650CF4" w:rsidRDefault="00650CF4" w:rsidP="00EA6D0E">
            <w:pPr>
              <w:snapToGrid w:val="0"/>
              <w:spacing w:line="360" w:lineRule="exact"/>
              <w:ind w:firstLine="420"/>
              <w:jc w:val="center"/>
              <w:rPr>
                <w:bCs/>
                <w:sz w:val="21"/>
                <w:szCs w:val="21"/>
              </w:rPr>
            </w:pPr>
          </w:p>
        </w:tc>
      </w:tr>
      <w:tr w:rsidR="00650CF4" w:rsidRPr="00650CF4" w14:paraId="269FEA3D" w14:textId="77777777" w:rsidTr="00AA5145">
        <w:trPr>
          <w:jc w:val="center"/>
        </w:trPr>
        <w:tc>
          <w:tcPr>
            <w:tcW w:w="647" w:type="pct"/>
            <w:vMerge/>
            <w:vAlign w:val="center"/>
          </w:tcPr>
          <w:p w14:paraId="19B756F1"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0BD83F52" w14:textId="67E6A26D"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0201F34D" w14:textId="106A0EF1" w:rsidR="00650CF4" w:rsidRPr="00650CF4" w:rsidRDefault="00650CF4" w:rsidP="00EA6D0E">
            <w:pPr>
              <w:snapToGrid w:val="0"/>
              <w:spacing w:line="360" w:lineRule="exact"/>
              <w:ind w:firstLineChars="0" w:firstLine="0"/>
              <w:jc w:val="center"/>
              <w:rPr>
                <w:sz w:val="21"/>
                <w:szCs w:val="21"/>
              </w:rPr>
            </w:pPr>
            <w:r w:rsidRPr="00650CF4">
              <w:rPr>
                <w:rFonts w:hint="eastAsia"/>
                <w:sz w:val="21"/>
                <w:szCs w:val="21"/>
              </w:rPr>
              <w:t>圆型振动筛</w:t>
            </w:r>
          </w:p>
        </w:tc>
        <w:tc>
          <w:tcPr>
            <w:tcW w:w="887" w:type="pct"/>
            <w:vAlign w:val="center"/>
          </w:tcPr>
          <w:p w14:paraId="1FDF8187" w14:textId="77777777" w:rsidR="00650CF4" w:rsidRPr="00650CF4" w:rsidRDefault="00650CF4" w:rsidP="00EA6D0E">
            <w:pPr>
              <w:snapToGrid w:val="0"/>
              <w:spacing w:line="360" w:lineRule="exact"/>
              <w:ind w:firstLineChars="0" w:firstLine="0"/>
              <w:jc w:val="center"/>
              <w:rPr>
                <w:sz w:val="21"/>
                <w:szCs w:val="21"/>
              </w:rPr>
            </w:pPr>
            <w:r w:rsidRPr="00650CF4">
              <w:rPr>
                <w:rFonts w:hint="eastAsia"/>
                <w:sz w:val="21"/>
                <w:szCs w:val="21"/>
              </w:rPr>
              <w:t>非标</w:t>
            </w:r>
          </w:p>
        </w:tc>
        <w:tc>
          <w:tcPr>
            <w:tcW w:w="1280" w:type="pct"/>
            <w:vAlign w:val="center"/>
          </w:tcPr>
          <w:p w14:paraId="5C78E67E"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hint="eastAsia"/>
              </w:rPr>
              <w:t>2</w:t>
            </w:r>
          </w:p>
        </w:tc>
        <w:tc>
          <w:tcPr>
            <w:tcW w:w="492" w:type="pct"/>
            <w:vMerge/>
            <w:vAlign w:val="center"/>
          </w:tcPr>
          <w:p w14:paraId="252F6770" w14:textId="20119C84" w:rsidR="00650CF4" w:rsidRPr="00650CF4" w:rsidRDefault="00650CF4" w:rsidP="00EA6D0E">
            <w:pPr>
              <w:snapToGrid w:val="0"/>
              <w:spacing w:line="360" w:lineRule="exact"/>
              <w:ind w:firstLine="420"/>
              <w:jc w:val="center"/>
              <w:rPr>
                <w:bCs/>
                <w:sz w:val="21"/>
                <w:szCs w:val="21"/>
              </w:rPr>
            </w:pPr>
          </w:p>
        </w:tc>
      </w:tr>
      <w:tr w:rsidR="00650CF4" w:rsidRPr="00650CF4" w14:paraId="246781C2" w14:textId="77777777" w:rsidTr="00AA5145">
        <w:trPr>
          <w:jc w:val="center"/>
        </w:trPr>
        <w:tc>
          <w:tcPr>
            <w:tcW w:w="647" w:type="pct"/>
            <w:vMerge/>
            <w:vAlign w:val="center"/>
          </w:tcPr>
          <w:p w14:paraId="71208720"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5FE9E2A0" w14:textId="15F22E01"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2AA8045F" w14:textId="77777777" w:rsidR="00650CF4" w:rsidRPr="00650CF4" w:rsidRDefault="00650CF4" w:rsidP="00EA6D0E">
            <w:pPr>
              <w:snapToGrid w:val="0"/>
              <w:spacing w:line="360" w:lineRule="exact"/>
              <w:ind w:firstLineChars="0" w:firstLine="0"/>
              <w:jc w:val="center"/>
              <w:rPr>
                <w:sz w:val="21"/>
                <w:szCs w:val="21"/>
              </w:rPr>
            </w:pPr>
            <w:r w:rsidRPr="00650CF4">
              <w:rPr>
                <w:rFonts w:hint="eastAsia"/>
                <w:sz w:val="21"/>
                <w:szCs w:val="21"/>
              </w:rPr>
              <w:t>传送带</w:t>
            </w:r>
          </w:p>
        </w:tc>
        <w:tc>
          <w:tcPr>
            <w:tcW w:w="887" w:type="pct"/>
            <w:vAlign w:val="center"/>
          </w:tcPr>
          <w:p w14:paraId="0ABC67BD" w14:textId="77777777" w:rsidR="00650CF4" w:rsidRPr="00650CF4" w:rsidRDefault="00650CF4" w:rsidP="00EA6D0E">
            <w:pPr>
              <w:snapToGrid w:val="0"/>
              <w:spacing w:line="360" w:lineRule="exact"/>
              <w:ind w:firstLineChars="0" w:firstLine="0"/>
              <w:jc w:val="center"/>
              <w:rPr>
                <w:sz w:val="21"/>
                <w:szCs w:val="21"/>
              </w:rPr>
            </w:pPr>
            <w:r w:rsidRPr="00650CF4">
              <w:rPr>
                <w:rFonts w:hint="eastAsia"/>
                <w:sz w:val="21"/>
                <w:szCs w:val="21"/>
              </w:rPr>
              <w:t>400</w:t>
            </w:r>
          </w:p>
        </w:tc>
        <w:tc>
          <w:tcPr>
            <w:tcW w:w="1280" w:type="pct"/>
            <w:vAlign w:val="center"/>
          </w:tcPr>
          <w:p w14:paraId="78E46C1D"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hint="eastAsia"/>
              </w:rPr>
              <w:t>1</w:t>
            </w:r>
            <w:r w:rsidRPr="00650CF4">
              <w:rPr>
                <w:rFonts w:ascii="Times New Roman" w:hAnsi="Times New Roman" w:cs="Times New Roman" w:hint="eastAsia"/>
              </w:rPr>
              <w:t>套</w:t>
            </w:r>
          </w:p>
        </w:tc>
        <w:tc>
          <w:tcPr>
            <w:tcW w:w="492" w:type="pct"/>
            <w:vMerge/>
            <w:vAlign w:val="center"/>
          </w:tcPr>
          <w:p w14:paraId="6E14860D" w14:textId="41D0047A" w:rsidR="00650CF4" w:rsidRPr="00650CF4" w:rsidRDefault="00650CF4" w:rsidP="00EA6D0E">
            <w:pPr>
              <w:snapToGrid w:val="0"/>
              <w:spacing w:line="360" w:lineRule="exact"/>
              <w:ind w:firstLine="420"/>
              <w:jc w:val="center"/>
              <w:rPr>
                <w:bCs/>
                <w:sz w:val="21"/>
                <w:szCs w:val="21"/>
              </w:rPr>
            </w:pPr>
          </w:p>
        </w:tc>
      </w:tr>
      <w:tr w:rsidR="00650CF4" w:rsidRPr="00650CF4" w14:paraId="18C7BBF0" w14:textId="77777777" w:rsidTr="00AA5145">
        <w:trPr>
          <w:trHeight w:val="58"/>
          <w:jc w:val="center"/>
        </w:trPr>
        <w:tc>
          <w:tcPr>
            <w:tcW w:w="647" w:type="pct"/>
            <w:vMerge/>
            <w:vAlign w:val="center"/>
          </w:tcPr>
          <w:p w14:paraId="21BB6EA1"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31E9ABA5" w14:textId="06DBA041"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6C6AAD4F"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洒水车</w:t>
            </w:r>
          </w:p>
        </w:tc>
        <w:tc>
          <w:tcPr>
            <w:tcW w:w="887" w:type="pct"/>
            <w:vAlign w:val="center"/>
          </w:tcPr>
          <w:p w14:paraId="53879DC5"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20m³</w:t>
            </w:r>
          </w:p>
        </w:tc>
        <w:tc>
          <w:tcPr>
            <w:tcW w:w="1280" w:type="pct"/>
            <w:vAlign w:val="center"/>
          </w:tcPr>
          <w:p w14:paraId="14BC61F7"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1</w:t>
            </w:r>
          </w:p>
        </w:tc>
        <w:tc>
          <w:tcPr>
            <w:tcW w:w="492" w:type="pct"/>
            <w:vMerge/>
            <w:vAlign w:val="center"/>
          </w:tcPr>
          <w:p w14:paraId="1A06FA94" w14:textId="4FA33D7B" w:rsidR="00650CF4" w:rsidRPr="00650CF4" w:rsidRDefault="00650CF4" w:rsidP="00EA6D0E">
            <w:pPr>
              <w:snapToGrid w:val="0"/>
              <w:spacing w:line="360" w:lineRule="exact"/>
              <w:ind w:firstLine="420"/>
              <w:jc w:val="center"/>
              <w:rPr>
                <w:bCs/>
                <w:sz w:val="21"/>
                <w:szCs w:val="21"/>
              </w:rPr>
            </w:pPr>
          </w:p>
        </w:tc>
      </w:tr>
      <w:tr w:rsidR="00650CF4" w:rsidRPr="00650CF4" w14:paraId="2595DB17" w14:textId="77777777" w:rsidTr="00AA5145">
        <w:trPr>
          <w:jc w:val="center"/>
        </w:trPr>
        <w:tc>
          <w:tcPr>
            <w:tcW w:w="647" w:type="pct"/>
            <w:vMerge/>
            <w:vAlign w:val="center"/>
          </w:tcPr>
          <w:p w14:paraId="6106CF14" w14:textId="77777777" w:rsidR="00650CF4" w:rsidRPr="00650CF4" w:rsidRDefault="00650CF4" w:rsidP="00EA6D0E">
            <w:pPr>
              <w:snapToGrid w:val="0"/>
              <w:spacing w:line="360" w:lineRule="exact"/>
              <w:ind w:firstLineChars="0" w:firstLine="0"/>
              <w:jc w:val="center"/>
              <w:rPr>
                <w:sz w:val="21"/>
                <w:szCs w:val="21"/>
              </w:rPr>
            </w:pPr>
          </w:p>
        </w:tc>
        <w:tc>
          <w:tcPr>
            <w:tcW w:w="491" w:type="pct"/>
            <w:vAlign w:val="center"/>
          </w:tcPr>
          <w:p w14:paraId="41819432" w14:textId="329F8075" w:rsidR="00650CF4" w:rsidRPr="002A435B" w:rsidRDefault="00650CF4" w:rsidP="002A435B">
            <w:pPr>
              <w:pStyle w:val="af3"/>
              <w:numPr>
                <w:ilvl w:val="0"/>
                <w:numId w:val="18"/>
              </w:numPr>
              <w:snapToGrid w:val="0"/>
              <w:spacing w:line="360" w:lineRule="exact"/>
              <w:ind w:firstLineChars="0"/>
              <w:jc w:val="center"/>
              <w:rPr>
                <w:sz w:val="21"/>
                <w:szCs w:val="21"/>
              </w:rPr>
            </w:pPr>
          </w:p>
        </w:tc>
        <w:tc>
          <w:tcPr>
            <w:tcW w:w="1203" w:type="pct"/>
            <w:vAlign w:val="center"/>
          </w:tcPr>
          <w:p w14:paraId="231F09DF"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油罐车</w:t>
            </w:r>
          </w:p>
        </w:tc>
        <w:tc>
          <w:tcPr>
            <w:tcW w:w="887" w:type="pct"/>
            <w:vAlign w:val="center"/>
          </w:tcPr>
          <w:p w14:paraId="78CA8354"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15t</w:t>
            </w:r>
          </w:p>
        </w:tc>
        <w:tc>
          <w:tcPr>
            <w:tcW w:w="1280" w:type="pct"/>
            <w:vAlign w:val="center"/>
          </w:tcPr>
          <w:p w14:paraId="0C1D2D1F" w14:textId="77777777" w:rsidR="00650CF4" w:rsidRPr="00650CF4" w:rsidRDefault="00650CF4" w:rsidP="00EA6D0E">
            <w:pPr>
              <w:pStyle w:val="aff"/>
              <w:ind w:left="-240" w:right="-120"/>
              <w:rPr>
                <w:rFonts w:ascii="Times New Roman" w:hAnsi="Times New Roman" w:cs="Times New Roman"/>
              </w:rPr>
            </w:pPr>
            <w:r w:rsidRPr="00650CF4">
              <w:rPr>
                <w:rFonts w:ascii="Times New Roman" w:hAnsi="Times New Roman" w:cs="Times New Roman"/>
              </w:rPr>
              <w:t>1</w:t>
            </w:r>
          </w:p>
        </w:tc>
        <w:tc>
          <w:tcPr>
            <w:tcW w:w="492" w:type="pct"/>
            <w:vMerge/>
            <w:vAlign w:val="center"/>
          </w:tcPr>
          <w:p w14:paraId="5658BEA0" w14:textId="49223260" w:rsidR="00650CF4" w:rsidRPr="00650CF4" w:rsidRDefault="00650CF4" w:rsidP="00EA6D0E">
            <w:pPr>
              <w:snapToGrid w:val="0"/>
              <w:spacing w:line="360" w:lineRule="exact"/>
              <w:ind w:firstLineChars="0" w:firstLine="0"/>
              <w:jc w:val="center"/>
              <w:rPr>
                <w:bCs/>
                <w:sz w:val="21"/>
                <w:szCs w:val="21"/>
              </w:rPr>
            </w:pPr>
          </w:p>
        </w:tc>
      </w:tr>
      <w:tr w:rsidR="00BD1C8B" w:rsidRPr="00650CF4" w14:paraId="6F05E33E" w14:textId="77777777" w:rsidTr="00AA5145">
        <w:trPr>
          <w:jc w:val="center"/>
        </w:trPr>
        <w:tc>
          <w:tcPr>
            <w:tcW w:w="647" w:type="pct"/>
            <w:vMerge w:val="restart"/>
            <w:vAlign w:val="center"/>
          </w:tcPr>
          <w:p w14:paraId="70371959" w14:textId="4A6EE097" w:rsidR="00BD1C8B" w:rsidRPr="00650CF4" w:rsidRDefault="00BD1C8B" w:rsidP="00BD1C8B">
            <w:pPr>
              <w:snapToGrid w:val="0"/>
              <w:spacing w:line="360" w:lineRule="exact"/>
              <w:ind w:firstLineChars="0" w:firstLine="0"/>
              <w:jc w:val="center"/>
              <w:rPr>
                <w:sz w:val="21"/>
                <w:szCs w:val="21"/>
              </w:rPr>
            </w:pPr>
            <w:r w:rsidRPr="00650CF4">
              <w:rPr>
                <w:rFonts w:hint="eastAsia"/>
                <w:sz w:val="21"/>
                <w:szCs w:val="21"/>
              </w:rPr>
              <w:t>驻马店市</w:t>
            </w:r>
            <w:proofErr w:type="gramStart"/>
            <w:r w:rsidRPr="00650CF4">
              <w:rPr>
                <w:rFonts w:hint="eastAsia"/>
                <w:sz w:val="21"/>
                <w:szCs w:val="21"/>
              </w:rPr>
              <w:t>驿</w:t>
            </w:r>
            <w:proofErr w:type="gramEnd"/>
            <w:r w:rsidRPr="00650CF4">
              <w:rPr>
                <w:rFonts w:hint="eastAsia"/>
                <w:sz w:val="21"/>
                <w:szCs w:val="21"/>
              </w:rPr>
              <w:t>城区宏运石料厂</w:t>
            </w:r>
          </w:p>
        </w:tc>
        <w:tc>
          <w:tcPr>
            <w:tcW w:w="491" w:type="pct"/>
            <w:vAlign w:val="center"/>
          </w:tcPr>
          <w:p w14:paraId="28B18C3E" w14:textId="5D430C2E"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3E5DDC8C" w14:textId="3D47EBE3" w:rsidR="00BD1C8B" w:rsidRPr="00650CF4" w:rsidRDefault="00BD1C8B" w:rsidP="00BD1C8B">
            <w:pPr>
              <w:pStyle w:val="aff"/>
              <w:ind w:left="-240" w:right="-120"/>
              <w:rPr>
                <w:rFonts w:ascii="Times New Roman" w:hAnsi="Times New Roman" w:cs="Times New Roman"/>
              </w:rPr>
            </w:pPr>
            <w:proofErr w:type="gramStart"/>
            <w:r w:rsidRPr="00650CF4">
              <w:rPr>
                <w:rFonts w:ascii="Times New Roman" w:hAnsi="Times New Roman" w:cs="Times New Roman"/>
              </w:rPr>
              <w:t>潜孔钻</w:t>
            </w:r>
            <w:proofErr w:type="gramEnd"/>
          </w:p>
        </w:tc>
        <w:tc>
          <w:tcPr>
            <w:tcW w:w="887" w:type="pct"/>
            <w:vAlign w:val="center"/>
          </w:tcPr>
          <w:p w14:paraId="31E2BF47" w14:textId="0B313EF5"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H680</w:t>
            </w:r>
          </w:p>
        </w:tc>
        <w:tc>
          <w:tcPr>
            <w:tcW w:w="1280" w:type="pct"/>
            <w:vAlign w:val="center"/>
          </w:tcPr>
          <w:p w14:paraId="62D0C728" w14:textId="7B48F68C"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1</w:t>
            </w:r>
          </w:p>
        </w:tc>
        <w:tc>
          <w:tcPr>
            <w:tcW w:w="492" w:type="pct"/>
            <w:vMerge w:val="restart"/>
            <w:vAlign w:val="center"/>
          </w:tcPr>
          <w:p w14:paraId="7E75247E" w14:textId="31AE1BB8" w:rsidR="00BD1C8B" w:rsidRPr="00650CF4" w:rsidRDefault="00BD1C8B" w:rsidP="00BD1C8B">
            <w:pPr>
              <w:snapToGrid w:val="0"/>
              <w:spacing w:line="360" w:lineRule="exact"/>
              <w:ind w:firstLineChars="0" w:firstLine="0"/>
              <w:jc w:val="center"/>
              <w:rPr>
                <w:bCs/>
                <w:sz w:val="21"/>
                <w:szCs w:val="21"/>
              </w:rPr>
            </w:pPr>
            <w:r w:rsidRPr="00650CF4">
              <w:rPr>
                <w:rFonts w:hint="eastAsia"/>
                <w:bCs/>
                <w:sz w:val="21"/>
                <w:szCs w:val="21"/>
              </w:rPr>
              <w:t>设备老旧，本项目淘汰</w:t>
            </w:r>
          </w:p>
        </w:tc>
      </w:tr>
      <w:tr w:rsidR="00BD1C8B" w:rsidRPr="00650CF4" w14:paraId="7AE8A151" w14:textId="77777777" w:rsidTr="00AA5145">
        <w:trPr>
          <w:jc w:val="center"/>
        </w:trPr>
        <w:tc>
          <w:tcPr>
            <w:tcW w:w="647" w:type="pct"/>
            <w:vMerge/>
            <w:vAlign w:val="center"/>
          </w:tcPr>
          <w:p w14:paraId="4B7EE07B" w14:textId="77777777" w:rsidR="00BD1C8B" w:rsidRPr="00650CF4" w:rsidRDefault="00BD1C8B" w:rsidP="00BD1C8B">
            <w:pPr>
              <w:snapToGrid w:val="0"/>
              <w:spacing w:line="360" w:lineRule="exact"/>
              <w:ind w:firstLineChars="0" w:firstLine="0"/>
              <w:jc w:val="center"/>
              <w:rPr>
                <w:sz w:val="21"/>
                <w:szCs w:val="21"/>
              </w:rPr>
            </w:pPr>
          </w:p>
        </w:tc>
        <w:tc>
          <w:tcPr>
            <w:tcW w:w="491" w:type="pct"/>
            <w:vAlign w:val="center"/>
          </w:tcPr>
          <w:p w14:paraId="4FEBA9E6" w14:textId="0CD466F8"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1EE1B772" w14:textId="3E870B5E" w:rsidR="00BD1C8B" w:rsidRPr="00650CF4" w:rsidRDefault="00BD1C8B" w:rsidP="00BD1C8B">
            <w:pPr>
              <w:pStyle w:val="aff"/>
              <w:ind w:left="-240" w:right="-120"/>
              <w:rPr>
                <w:rFonts w:ascii="Times New Roman" w:hAnsi="Times New Roman" w:cs="Times New Roman"/>
              </w:rPr>
            </w:pPr>
            <w:r>
              <w:rPr>
                <w:rFonts w:ascii="Times New Roman" w:hAnsi="Times New Roman" w:cs="Times New Roman" w:hint="eastAsia"/>
              </w:rPr>
              <w:t>破碎锤</w:t>
            </w:r>
          </w:p>
        </w:tc>
        <w:tc>
          <w:tcPr>
            <w:tcW w:w="887" w:type="pct"/>
            <w:vAlign w:val="center"/>
          </w:tcPr>
          <w:p w14:paraId="5447508D" w14:textId="717A0A27" w:rsidR="00BD1C8B" w:rsidRPr="00650CF4" w:rsidRDefault="00BD1C8B" w:rsidP="00BD1C8B">
            <w:pPr>
              <w:pStyle w:val="aff"/>
              <w:ind w:left="-240" w:right="-120"/>
              <w:rPr>
                <w:rFonts w:ascii="Times New Roman" w:hAnsi="Times New Roman" w:cs="Times New Roman"/>
              </w:rPr>
            </w:pPr>
            <w:r>
              <w:rPr>
                <w:rFonts w:ascii="Times New Roman" w:hAnsi="Times New Roman" w:cs="Times New Roman"/>
              </w:rPr>
              <w:t>/</w:t>
            </w:r>
          </w:p>
        </w:tc>
        <w:tc>
          <w:tcPr>
            <w:tcW w:w="1280" w:type="pct"/>
            <w:vAlign w:val="center"/>
          </w:tcPr>
          <w:p w14:paraId="4EEA1DA5" w14:textId="3F03464C"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1</w:t>
            </w:r>
          </w:p>
        </w:tc>
        <w:tc>
          <w:tcPr>
            <w:tcW w:w="492" w:type="pct"/>
            <w:vMerge/>
            <w:vAlign w:val="center"/>
          </w:tcPr>
          <w:p w14:paraId="0680166A" w14:textId="77777777" w:rsidR="00BD1C8B" w:rsidRPr="00650CF4" w:rsidRDefault="00BD1C8B" w:rsidP="00BD1C8B">
            <w:pPr>
              <w:snapToGrid w:val="0"/>
              <w:spacing w:line="360" w:lineRule="exact"/>
              <w:ind w:firstLineChars="0" w:firstLine="0"/>
              <w:jc w:val="center"/>
              <w:rPr>
                <w:bCs/>
                <w:sz w:val="21"/>
                <w:szCs w:val="21"/>
              </w:rPr>
            </w:pPr>
          </w:p>
        </w:tc>
      </w:tr>
      <w:tr w:rsidR="00BD1C8B" w:rsidRPr="00650CF4" w14:paraId="6B1FD759" w14:textId="77777777" w:rsidTr="00AA5145">
        <w:trPr>
          <w:jc w:val="center"/>
        </w:trPr>
        <w:tc>
          <w:tcPr>
            <w:tcW w:w="647" w:type="pct"/>
            <w:vMerge/>
            <w:vAlign w:val="center"/>
          </w:tcPr>
          <w:p w14:paraId="2B9F14B1" w14:textId="77777777" w:rsidR="00BD1C8B" w:rsidRPr="00650CF4" w:rsidRDefault="00BD1C8B" w:rsidP="00BD1C8B">
            <w:pPr>
              <w:snapToGrid w:val="0"/>
              <w:spacing w:line="360" w:lineRule="exact"/>
              <w:ind w:firstLineChars="0" w:firstLine="0"/>
              <w:jc w:val="center"/>
              <w:rPr>
                <w:sz w:val="21"/>
                <w:szCs w:val="21"/>
              </w:rPr>
            </w:pPr>
          </w:p>
        </w:tc>
        <w:tc>
          <w:tcPr>
            <w:tcW w:w="491" w:type="pct"/>
            <w:vAlign w:val="center"/>
          </w:tcPr>
          <w:p w14:paraId="4981A533" w14:textId="5D76A4DA"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0DAB6A46" w14:textId="7BACAEE4" w:rsidR="00BD1C8B" w:rsidRPr="00650CF4" w:rsidRDefault="00BD1C8B" w:rsidP="00BD1C8B">
            <w:pPr>
              <w:pStyle w:val="aff"/>
              <w:ind w:left="-240" w:right="-120"/>
              <w:rPr>
                <w:rFonts w:ascii="Times New Roman" w:hAnsi="Times New Roman" w:cs="Times New Roman"/>
              </w:rPr>
            </w:pPr>
            <w:r>
              <w:rPr>
                <w:rFonts w:ascii="Times New Roman" w:hAnsi="Times New Roman" w:cs="Times New Roman" w:hint="eastAsia"/>
              </w:rPr>
              <w:t>凿岩机</w:t>
            </w:r>
          </w:p>
        </w:tc>
        <w:tc>
          <w:tcPr>
            <w:tcW w:w="887" w:type="pct"/>
            <w:vAlign w:val="center"/>
          </w:tcPr>
          <w:p w14:paraId="0418C39E" w14:textId="2ABE6680" w:rsidR="00BD1C8B" w:rsidRPr="00650CF4" w:rsidRDefault="00BD1C8B" w:rsidP="00BD1C8B">
            <w:pPr>
              <w:pStyle w:val="aff"/>
              <w:ind w:left="-240" w:right="-120"/>
              <w:rPr>
                <w:rFonts w:ascii="Times New Roman" w:hAnsi="Times New Roman" w:cs="Times New Roman"/>
              </w:rPr>
            </w:pPr>
            <w:r>
              <w:rPr>
                <w:rFonts w:ascii="Times New Roman" w:hAnsi="Times New Roman" w:cs="Times New Roman" w:hint="eastAsia"/>
              </w:rPr>
              <w:t>/</w:t>
            </w:r>
          </w:p>
        </w:tc>
        <w:tc>
          <w:tcPr>
            <w:tcW w:w="1280" w:type="pct"/>
            <w:vAlign w:val="center"/>
          </w:tcPr>
          <w:p w14:paraId="4515431D" w14:textId="656F1823" w:rsidR="00BD1C8B" w:rsidRPr="00650CF4" w:rsidRDefault="00BD1C8B" w:rsidP="00BD1C8B">
            <w:pPr>
              <w:pStyle w:val="aff"/>
              <w:ind w:left="-240" w:right="-120"/>
              <w:rPr>
                <w:rFonts w:ascii="Times New Roman" w:hAnsi="Times New Roman" w:cs="Times New Roman"/>
              </w:rPr>
            </w:pPr>
            <w:r>
              <w:rPr>
                <w:rFonts w:ascii="Times New Roman" w:hAnsi="Times New Roman" w:cs="Times New Roman" w:hint="eastAsia"/>
              </w:rPr>
              <w:t>1</w:t>
            </w:r>
          </w:p>
        </w:tc>
        <w:tc>
          <w:tcPr>
            <w:tcW w:w="492" w:type="pct"/>
            <w:vMerge/>
            <w:vAlign w:val="center"/>
          </w:tcPr>
          <w:p w14:paraId="5BBC8AA6" w14:textId="77777777" w:rsidR="00BD1C8B" w:rsidRPr="00650CF4" w:rsidRDefault="00BD1C8B" w:rsidP="00BD1C8B">
            <w:pPr>
              <w:snapToGrid w:val="0"/>
              <w:spacing w:line="360" w:lineRule="exact"/>
              <w:ind w:firstLineChars="0" w:firstLine="0"/>
              <w:jc w:val="center"/>
              <w:rPr>
                <w:bCs/>
                <w:sz w:val="21"/>
                <w:szCs w:val="21"/>
              </w:rPr>
            </w:pPr>
          </w:p>
        </w:tc>
      </w:tr>
      <w:tr w:rsidR="00BD1C8B" w:rsidRPr="00650CF4" w14:paraId="28183CB7" w14:textId="77777777" w:rsidTr="00AA5145">
        <w:trPr>
          <w:jc w:val="center"/>
        </w:trPr>
        <w:tc>
          <w:tcPr>
            <w:tcW w:w="647" w:type="pct"/>
            <w:vMerge/>
            <w:vAlign w:val="center"/>
          </w:tcPr>
          <w:p w14:paraId="69FDDC48" w14:textId="77777777" w:rsidR="00BD1C8B" w:rsidRPr="00650CF4" w:rsidRDefault="00BD1C8B" w:rsidP="00BD1C8B">
            <w:pPr>
              <w:snapToGrid w:val="0"/>
              <w:spacing w:line="360" w:lineRule="exact"/>
              <w:ind w:firstLineChars="0" w:firstLine="0"/>
              <w:jc w:val="center"/>
              <w:rPr>
                <w:sz w:val="21"/>
                <w:szCs w:val="21"/>
              </w:rPr>
            </w:pPr>
          </w:p>
        </w:tc>
        <w:tc>
          <w:tcPr>
            <w:tcW w:w="491" w:type="pct"/>
            <w:vAlign w:val="center"/>
          </w:tcPr>
          <w:p w14:paraId="3F955164" w14:textId="10E98772"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5E603E12" w14:textId="71FDD62C"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装载机</w:t>
            </w:r>
          </w:p>
        </w:tc>
        <w:tc>
          <w:tcPr>
            <w:tcW w:w="887" w:type="pct"/>
            <w:vAlign w:val="center"/>
          </w:tcPr>
          <w:p w14:paraId="2D3A2317" w14:textId="320E3F8F"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ZL-50</w:t>
            </w:r>
          </w:p>
        </w:tc>
        <w:tc>
          <w:tcPr>
            <w:tcW w:w="1280" w:type="pct"/>
            <w:vAlign w:val="center"/>
          </w:tcPr>
          <w:p w14:paraId="2A60E812" w14:textId="67A9283D"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1</w:t>
            </w:r>
          </w:p>
        </w:tc>
        <w:tc>
          <w:tcPr>
            <w:tcW w:w="492" w:type="pct"/>
            <w:vMerge/>
            <w:vAlign w:val="center"/>
          </w:tcPr>
          <w:p w14:paraId="62B3D5A6" w14:textId="77777777" w:rsidR="00BD1C8B" w:rsidRPr="00650CF4" w:rsidRDefault="00BD1C8B" w:rsidP="00BD1C8B">
            <w:pPr>
              <w:snapToGrid w:val="0"/>
              <w:spacing w:line="360" w:lineRule="exact"/>
              <w:ind w:firstLineChars="0" w:firstLine="0"/>
              <w:jc w:val="center"/>
              <w:rPr>
                <w:bCs/>
                <w:sz w:val="21"/>
                <w:szCs w:val="21"/>
              </w:rPr>
            </w:pPr>
          </w:p>
        </w:tc>
      </w:tr>
      <w:tr w:rsidR="00BD1C8B" w:rsidRPr="00650CF4" w14:paraId="26C5040F" w14:textId="77777777" w:rsidTr="00AA5145">
        <w:trPr>
          <w:jc w:val="center"/>
        </w:trPr>
        <w:tc>
          <w:tcPr>
            <w:tcW w:w="647" w:type="pct"/>
            <w:vMerge/>
            <w:vAlign w:val="center"/>
          </w:tcPr>
          <w:p w14:paraId="3D7992A5" w14:textId="77777777" w:rsidR="00BD1C8B" w:rsidRPr="00650CF4" w:rsidRDefault="00BD1C8B" w:rsidP="00BD1C8B">
            <w:pPr>
              <w:snapToGrid w:val="0"/>
              <w:spacing w:line="360" w:lineRule="exact"/>
              <w:ind w:firstLineChars="0" w:firstLine="0"/>
              <w:jc w:val="center"/>
              <w:rPr>
                <w:sz w:val="21"/>
                <w:szCs w:val="21"/>
              </w:rPr>
            </w:pPr>
          </w:p>
        </w:tc>
        <w:tc>
          <w:tcPr>
            <w:tcW w:w="491" w:type="pct"/>
            <w:vAlign w:val="center"/>
          </w:tcPr>
          <w:p w14:paraId="44DDF22D" w14:textId="4AF89504"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11A07CF2" w14:textId="249DE509" w:rsidR="00BD1C8B" w:rsidRPr="00650CF4" w:rsidRDefault="00BD1C8B" w:rsidP="00BD1C8B">
            <w:pPr>
              <w:pStyle w:val="aff"/>
              <w:ind w:left="-240" w:right="-120"/>
              <w:rPr>
                <w:rFonts w:ascii="Times New Roman" w:hAnsi="Times New Roman" w:cs="Times New Roman"/>
              </w:rPr>
            </w:pPr>
            <w:r>
              <w:rPr>
                <w:rFonts w:ascii="Times New Roman" w:hAnsi="Times New Roman" w:cs="Times New Roman" w:hint="eastAsia"/>
              </w:rPr>
              <w:t>自卸车</w:t>
            </w:r>
          </w:p>
        </w:tc>
        <w:tc>
          <w:tcPr>
            <w:tcW w:w="887" w:type="pct"/>
            <w:vAlign w:val="center"/>
          </w:tcPr>
          <w:p w14:paraId="54E60629" w14:textId="07A79CA4" w:rsidR="00BD1C8B" w:rsidRPr="00650CF4" w:rsidRDefault="00BD1C8B" w:rsidP="00BD1C8B">
            <w:pPr>
              <w:pStyle w:val="aff"/>
              <w:ind w:left="-240" w:right="-120"/>
              <w:rPr>
                <w:rFonts w:ascii="Times New Roman" w:hAnsi="Times New Roman" w:cs="Times New Roman"/>
              </w:rPr>
            </w:pPr>
            <w:r>
              <w:rPr>
                <w:rFonts w:ascii="Times New Roman" w:hAnsi="Times New Roman" w:cs="Times New Roman" w:hint="eastAsia"/>
              </w:rPr>
              <w:t>/</w:t>
            </w:r>
          </w:p>
        </w:tc>
        <w:tc>
          <w:tcPr>
            <w:tcW w:w="1280" w:type="pct"/>
            <w:vAlign w:val="center"/>
          </w:tcPr>
          <w:p w14:paraId="17874038" w14:textId="4430FD05" w:rsidR="00BD1C8B" w:rsidRPr="00650CF4" w:rsidRDefault="00BD1C8B" w:rsidP="00BD1C8B">
            <w:pPr>
              <w:pStyle w:val="aff"/>
              <w:ind w:left="-240" w:right="-120"/>
              <w:rPr>
                <w:rFonts w:ascii="Times New Roman" w:hAnsi="Times New Roman" w:cs="Times New Roman"/>
              </w:rPr>
            </w:pPr>
            <w:r>
              <w:rPr>
                <w:rFonts w:ascii="Times New Roman" w:hAnsi="Times New Roman" w:cs="Times New Roman" w:hint="eastAsia"/>
              </w:rPr>
              <w:t>3</w:t>
            </w:r>
          </w:p>
        </w:tc>
        <w:tc>
          <w:tcPr>
            <w:tcW w:w="492" w:type="pct"/>
            <w:vMerge/>
            <w:vAlign w:val="center"/>
          </w:tcPr>
          <w:p w14:paraId="3AB75858" w14:textId="77777777" w:rsidR="00BD1C8B" w:rsidRPr="00650CF4" w:rsidRDefault="00BD1C8B" w:rsidP="00BD1C8B">
            <w:pPr>
              <w:snapToGrid w:val="0"/>
              <w:spacing w:line="360" w:lineRule="exact"/>
              <w:ind w:firstLineChars="0" w:firstLine="0"/>
              <w:jc w:val="center"/>
              <w:rPr>
                <w:bCs/>
                <w:sz w:val="21"/>
                <w:szCs w:val="21"/>
              </w:rPr>
            </w:pPr>
          </w:p>
        </w:tc>
      </w:tr>
      <w:tr w:rsidR="00BD1C8B" w:rsidRPr="00650CF4" w14:paraId="5ACE3A4C" w14:textId="77777777" w:rsidTr="00AA5145">
        <w:trPr>
          <w:jc w:val="center"/>
        </w:trPr>
        <w:tc>
          <w:tcPr>
            <w:tcW w:w="647" w:type="pct"/>
            <w:vMerge/>
            <w:vAlign w:val="center"/>
          </w:tcPr>
          <w:p w14:paraId="7DAD412A" w14:textId="77777777" w:rsidR="00BD1C8B" w:rsidRPr="00650CF4" w:rsidRDefault="00BD1C8B" w:rsidP="00BD1C8B">
            <w:pPr>
              <w:snapToGrid w:val="0"/>
              <w:spacing w:line="360" w:lineRule="exact"/>
              <w:ind w:firstLineChars="0" w:firstLine="0"/>
              <w:jc w:val="center"/>
              <w:rPr>
                <w:sz w:val="21"/>
                <w:szCs w:val="21"/>
              </w:rPr>
            </w:pPr>
          </w:p>
        </w:tc>
        <w:tc>
          <w:tcPr>
            <w:tcW w:w="491" w:type="pct"/>
            <w:vAlign w:val="center"/>
          </w:tcPr>
          <w:p w14:paraId="6F396FFD" w14:textId="7BFB95C3"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098A3420" w14:textId="1E8AE912"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挖掘机</w:t>
            </w:r>
          </w:p>
        </w:tc>
        <w:tc>
          <w:tcPr>
            <w:tcW w:w="887" w:type="pct"/>
            <w:vAlign w:val="center"/>
          </w:tcPr>
          <w:p w14:paraId="15FE62CE" w14:textId="521C0731"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PC300-8MO</w:t>
            </w:r>
          </w:p>
        </w:tc>
        <w:tc>
          <w:tcPr>
            <w:tcW w:w="1280" w:type="pct"/>
            <w:vAlign w:val="center"/>
          </w:tcPr>
          <w:p w14:paraId="5B212EA2" w14:textId="184CD0B9"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2</w:t>
            </w:r>
          </w:p>
        </w:tc>
        <w:tc>
          <w:tcPr>
            <w:tcW w:w="492" w:type="pct"/>
            <w:vMerge/>
            <w:vAlign w:val="center"/>
          </w:tcPr>
          <w:p w14:paraId="2306E6BA" w14:textId="77777777" w:rsidR="00BD1C8B" w:rsidRPr="00650CF4" w:rsidRDefault="00BD1C8B" w:rsidP="00BD1C8B">
            <w:pPr>
              <w:snapToGrid w:val="0"/>
              <w:spacing w:line="360" w:lineRule="exact"/>
              <w:ind w:firstLineChars="0" w:firstLine="0"/>
              <w:jc w:val="center"/>
              <w:rPr>
                <w:bCs/>
                <w:sz w:val="21"/>
                <w:szCs w:val="21"/>
              </w:rPr>
            </w:pPr>
          </w:p>
        </w:tc>
      </w:tr>
      <w:tr w:rsidR="00BD1C8B" w:rsidRPr="00650CF4" w14:paraId="465AF678" w14:textId="77777777" w:rsidTr="00AA5145">
        <w:trPr>
          <w:jc w:val="center"/>
        </w:trPr>
        <w:tc>
          <w:tcPr>
            <w:tcW w:w="647" w:type="pct"/>
            <w:vMerge/>
            <w:vAlign w:val="center"/>
          </w:tcPr>
          <w:p w14:paraId="6050EAC1" w14:textId="77777777" w:rsidR="00BD1C8B" w:rsidRPr="00650CF4" w:rsidRDefault="00BD1C8B" w:rsidP="00BD1C8B">
            <w:pPr>
              <w:snapToGrid w:val="0"/>
              <w:spacing w:line="360" w:lineRule="exact"/>
              <w:ind w:firstLineChars="0" w:firstLine="0"/>
              <w:jc w:val="center"/>
              <w:rPr>
                <w:sz w:val="21"/>
                <w:szCs w:val="21"/>
              </w:rPr>
            </w:pPr>
          </w:p>
        </w:tc>
        <w:tc>
          <w:tcPr>
            <w:tcW w:w="491" w:type="pct"/>
            <w:vAlign w:val="center"/>
          </w:tcPr>
          <w:p w14:paraId="349F4F73" w14:textId="7AA9D4AD"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5EB7C073" w14:textId="55F00E97" w:rsidR="00BD1C8B" w:rsidRPr="00650CF4" w:rsidRDefault="00BD1C8B" w:rsidP="00BD1C8B">
            <w:pPr>
              <w:pStyle w:val="aff"/>
              <w:ind w:left="-240" w:right="-120"/>
              <w:rPr>
                <w:rFonts w:ascii="Times New Roman" w:hAnsi="Times New Roman" w:cs="Times New Roman"/>
              </w:rPr>
            </w:pPr>
            <w:r w:rsidRPr="00650CF4">
              <w:t>空压机</w:t>
            </w:r>
          </w:p>
        </w:tc>
        <w:tc>
          <w:tcPr>
            <w:tcW w:w="887" w:type="pct"/>
            <w:vAlign w:val="center"/>
          </w:tcPr>
          <w:p w14:paraId="4A5ED52B" w14:textId="756C9856" w:rsidR="00BD1C8B" w:rsidRPr="00650CF4" w:rsidRDefault="00BD1C8B" w:rsidP="00BD1C8B">
            <w:pPr>
              <w:pStyle w:val="aff"/>
              <w:ind w:left="-240" w:right="-120"/>
              <w:rPr>
                <w:rFonts w:ascii="Times New Roman" w:hAnsi="Times New Roman" w:cs="Times New Roman"/>
              </w:rPr>
            </w:pPr>
            <w:r w:rsidRPr="00650CF4">
              <w:t>VF-13/7</w:t>
            </w:r>
          </w:p>
        </w:tc>
        <w:tc>
          <w:tcPr>
            <w:tcW w:w="1280" w:type="pct"/>
            <w:vAlign w:val="center"/>
          </w:tcPr>
          <w:p w14:paraId="3324A0D9" w14:textId="621D0125"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2</w:t>
            </w:r>
          </w:p>
        </w:tc>
        <w:tc>
          <w:tcPr>
            <w:tcW w:w="492" w:type="pct"/>
            <w:vMerge/>
            <w:vAlign w:val="center"/>
          </w:tcPr>
          <w:p w14:paraId="1F3B7096" w14:textId="77777777" w:rsidR="00BD1C8B" w:rsidRPr="00650CF4" w:rsidRDefault="00BD1C8B" w:rsidP="00BD1C8B">
            <w:pPr>
              <w:snapToGrid w:val="0"/>
              <w:spacing w:line="360" w:lineRule="exact"/>
              <w:ind w:firstLineChars="0" w:firstLine="0"/>
              <w:jc w:val="center"/>
              <w:rPr>
                <w:bCs/>
                <w:sz w:val="21"/>
                <w:szCs w:val="21"/>
              </w:rPr>
            </w:pPr>
          </w:p>
        </w:tc>
      </w:tr>
      <w:tr w:rsidR="00BD1C8B" w:rsidRPr="00650CF4" w14:paraId="76AEF1BB" w14:textId="77777777" w:rsidTr="00AA5145">
        <w:trPr>
          <w:jc w:val="center"/>
        </w:trPr>
        <w:tc>
          <w:tcPr>
            <w:tcW w:w="647" w:type="pct"/>
            <w:vMerge/>
            <w:vAlign w:val="center"/>
          </w:tcPr>
          <w:p w14:paraId="21F38A23" w14:textId="77777777" w:rsidR="00BD1C8B" w:rsidRPr="00650CF4" w:rsidRDefault="00BD1C8B" w:rsidP="00BD1C8B">
            <w:pPr>
              <w:snapToGrid w:val="0"/>
              <w:spacing w:line="360" w:lineRule="exact"/>
              <w:ind w:firstLineChars="0" w:firstLine="0"/>
              <w:jc w:val="center"/>
              <w:rPr>
                <w:sz w:val="21"/>
                <w:szCs w:val="21"/>
              </w:rPr>
            </w:pPr>
          </w:p>
        </w:tc>
        <w:tc>
          <w:tcPr>
            <w:tcW w:w="491" w:type="pct"/>
            <w:vAlign w:val="center"/>
          </w:tcPr>
          <w:p w14:paraId="2AAE3A7A" w14:textId="1B4ADC56"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79062ED6" w14:textId="0DC1C37C" w:rsidR="00BD1C8B" w:rsidRPr="00650CF4" w:rsidRDefault="00BD1C8B" w:rsidP="00BD1C8B">
            <w:pPr>
              <w:pStyle w:val="aff"/>
              <w:ind w:left="-240" w:right="-120"/>
              <w:rPr>
                <w:rFonts w:ascii="Times New Roman" w:hAnsi="Times New Roman" w:cs="Times New Roman"/>
              </w:rPr>
            </w:pPr>
            <w:r w:rsidRPr="00650CF4">
              <w:rPr>
                <w:rFonts w:hint="eastAsia"/>
              </w:rPr>
              <w:t>颚式破碎机</w:t>
            </w:r>
          </w:p>
        </w:tc>
        <w:tc>
          <w:tcPr>
            <w:tcW w:w="887" w:type="pct"/>
            <w:vAlign w:val="center"/>
          </w:tcPr>
          <w:p w14:paraId="7D3FC3BF" w14:textId="5D7513C2" w:rsidR="00BD1C8B" w:rsidRPr="00650CF4" w:rsidRDefault="00BD1C8B" w:rsidP="00BD1C8B">
            <w:pPr>
              <w:pStyle w:val="aff"/>
              <w:ind w:left="-240" w:right="-120"/>
              <w:rPr>
                <w:rFonts w:ascii="Times New Roman" w:hAnsi="Times New Roman" w:cs="Times New Roman"/>
              </w:rPr>
            </w:pPr>
            <w:r w:rsidRPr="00650CF4">
              <w:rPr>
                <w:rFonts w:hint="eastAsia"/>
              </w:rPr>
              <w:t>PE750</w:t>
            </w:r>
            <w:r w:rsidRPr="00650CF4">
              <w:rPr>
                <w:rFonts w:ascii="Arial" w:hAnsi="Arial"/>
              </w:rPr>
              <w:t>×</w:t>
            </w:r>
            <w:r w:rsidRPr="00650CF4">
              <w:rPr>
                <w:rFonts w:hint="eastAsia"/>
              </w:rPr>
              <w:t>1600</w:t>
            </w:r>
          </w:p>
        </w:tc>
        <w:tc>
          <w:tcPr>
            <w:tcW w:w="1280" w:type="pct"/>
            <w:vAlign w:val="center"/>
          </w:tcPr>
          <w:p w14:paraId="124567E8" w14:textId="6F83DDA7"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hint="eastAsia"/>
              </w:rPr>
              <w:t>2</w:t>
            </w:r>
          </w:p>
        </w:tc>
        <w:tc>
          <w:tcPr>
            <w:tcW w:w="492" w:type="pct"/>
            <w:vMerge/>
            <w:vAlign w:val="center"/>
          </w:tcPr>
          <w:p w14:paraId="0BAFE9F4" w14:textId="77777777" w:rsidR="00BD1C8B" w:rsidRPr="00650CF4" w:rsidRDefault="00BD1C8B" w:rsidP="00BD1C8B">
            <w:pPr>
              <w:snapToGrid w:val="0"/>
              <w:spacing w:line="360" w:lineRule="exact"/>
              <w:ind w:firstLineChars="0" w:firstLine="0"/>
              <w:jc w:val="center"/>
              <w:rPr>
                <w:bCs/>
                <w:sz w:val="21"/>
                <w:szCs w:val="21"/>
              </w:rPr>
            </w:pPr>
          </w:p>
        </w:tc>
      </w:tr>
      <w:tr w:rsidR="00BD1C8B" w:rsidRPr="00650CF4" w14:paraId="01613B10" w14:textId="77777777" w:rsidTr="00AA5145">
        <w:trPr>
          <w:jc w:val="center"/>
        </w:trPr>
        <w:tc>
          <w:tcPr>
            <w:tcW w:w="647" w:type="pct"/>
            <w:vMerge/>
            <w:vAlign w:val="center"/>
          </w:tcPr>
          <w:p w14:paraId="796E9B81" w14:textId="77777777" w:rsidR="00BD1C8B" w:rsidRPr="00650CF4" w:rsidRDefault="00BD1C8B" w:rsidP="00BD1C8B">
            <w:pPr>
              <w:snapToGrid w:val="0"/>
              <w:spacing w:line="360" w:lineRule="exact"/>
              <w:ind w:firstLineChars="0" w:firstLine="0"/>
              <w:jc w:val="center"/>
              <w:rPr>
                <w:sz w:val="21"/>
                <w:szCs w:val="21"/>
              </w:rPr>
            </w:pPr>
          </w:p>
        </w:tc>
        <w:tc>
          <w:tcPr>
            <w:tcW w:w="491" w:type="pct"/>
            <w:vAlign w:val="center"/>
          </w:tcPr>
          <w:p w14:paraId="738EA592" w14:textId="3066F916"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4272DA1C" w14:textId="4721B8E9" w:rsidR="00BD1C8B" w:rsidRPr="00650CF4" w:rsidRDefault="00BD1C8B" w:rsidP="00BD1C8B">
            <w:pPr>
              <w:pStyle w:val="aff"/>
              <w:ind w:left="-240" w:right="-120"/>
              <w:rPr>
                <w:rFonts w:ascii="Times New Roman" w:hAnsi="Times New Roman" w:cs="Times New Roman"/>
              </w:rPr>
            </w:pPr>
            <w:r>
              <w:rPr>
                <w:rFonts w:hint="eastAsia"/>
              </w:rPr>
              <w:t>筛分机</w:t>
            </w:r>
          </w:p>
        </w:tc>
        <w:tc>
          <w:tcPr>
            <w:tcW w:w="887" w:type="pct"/>
            <w:vAlign w:val="center"/>
          </w:tcPr>
          <w:p w14:paraId="4B26389E" w14:textId="327BE278" w:rsidR="00BD1C8B" w:rsidRPr="00650CF4" w:rsidRDefault="00BD1C8B" w:rsidP="00BD1C8B">
            <w:pPr>
              <w:pStyle w:val="aff"/>
              <w:ind w:left="-240" w:right="-120"/>
              <w:rPr>
                <w:rFonts w:ascii="Times New Roman" w:hAnsi="Times New Roman" w:cs="Times New Roman"/>
              </w:rPr>
            </w:pPr>
            <w:r w:rsidRPr="00650CF4">
              <w:rPr>
                <w:rFonts w:hint="eastAsia"/>
              </w:rPr>
              <w:t>非标</w:t>
            </w:r>
          </w:p>
        </w:tc>
        <w:tc>
          <w:tcPr>
            <w:tcW w:w="1280" w:type="pct"/>
            <w:vAlign w:val="center"/>
          </w:tcPr>
          <w:p w14:paraId="1456D413" w14:textId="55ABD4D5"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hint="eastAsia"/>
              </w:rPr>
              <w:t>2</w:t>
            </w:r>
          </w:p>
        </w:tc>
        <w:tc>
          <w:tcPr>
            <w:tcW w:w="492" w:type="pct"/>
            <w:vMerge/>
            <w:vAlign w:val="center"/>
          </w:tcPr>
          <w:p w14:paraId="6212AC1A" w14:textId="77777777" w:rsidR="00BD1C8B" w:rsidRPr="00650CF4" w:rsidRDefault="00BD1C8B" w:rsidP="00BD1C8B">
            <w:pPr>
              <w:snapToGrid w:val="0"/>
              <w:spacing w:line="360" w:lineRule="exact"/>
              <w:ind w:firstLineChars="0" w:firstLine="0"/>
              <w:jc w:val="center"/>
              <w:rPr>
                <w:bCs/>
                <w:sz w:val="21"/>
                <w:szCs w:val="21"/>
              </w:rPr>
            </w:pPr>
          </w:p>
        </w:tc>
      </w:tr>
      <w:tr w:rsidR="00BD1C8B" w:rsidRPr="00650CF4" w14:paraId="106DF90A" w14:textId="77777777" w:rsidTr="00AA5145">
        <w:trPr>
          <w:jc w:val="center"/>
        </w:trPr>
        <w:tc>
          <w:tcPr>
            <w:tcW w:w="647" w:type="pct"/>
            <w:vMerge/>
            <w:vAlign w:val="center"/>
          </w:tcPr>
          <w:p w14:paraId="64601833" w14:textId="77777777" w:rsidR="00BD1C8B" w:rsidRPr="00650CF4" w:rsidRDefault="00BD1C8B" w:rsidP="00BD1C8B">
            <w:pPr>
              <w:snapToGrid w:val="0"/>
              <w:spacing w:line="360" w:lineRule="exact"/>
              <w:ind w:firstLineChars="0" w:firstLine="0"/>
              <w:jc w:val="center"/>
              <w:rPr>
                <w:sz w:val="21"/>
                <w:szCs w:val="21"/>
              </w:rPr>
            </w:pPr>
          </w:p>
        </w:tc>
        <w:tc>
          <w:tcPr>
            <w:tcW w:w="491" w:type="pct"/>
            <w:vAlign w:val="center"/>
          </w:tcPr>
          <w:p w14:paraId="0A239195" w14:textId="23508DE4"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1194C086" w14:textId="3C10D4E8" w:rsidR="00BD1C8B" w:rsidRPr="00650CF4" w:rsidRDefault="00BD1C8B" w:rsidP="00BD1C8B">
            <w:pPr>
              <w:pStyle w:val="aff"/>
              <w:ind w:left="-240" w:right="-120"/>
              <w:rPr>
                <w:rFonts w:ascii="Times New Roman" w:hAnsi="Times New Roman" w:cs="Times New Roman"/>
              </w:rPr>
            </w:pPr>
            <w:r w:rsidRPr="00650CF4">
              <w:rPr>
                <w:rFonts w:hint="eastAsia"/>
              </w:rPr>
              <w:t>传送带</w:t>
            </w:r>
          </w:p>
        </w:tc>
        <w:tc>
          <w:tcPr>
            <w:tcW w:w="887" w:type="pct"/>
            <w:vAlign w:val="center"/>
          </w:tcPr>
          <w:p w14:paraId="12AA86EC" w14:textId="6CC4A6D7" w:rsidR="00BD1C8B" w:rsidRPr="00650CF4" w:rsidRDefault="00BD1C8B" w:rsidP="00BD1C8B">
            <w:pPr>
              <w:pStyle w:val="aff"/>
              <w:ind w:left="-240" w:right="-120"/>
              <w:rPr>
                <w:rFonts w:ascii="Times New Roman" w:hAnsi="Times New Roman" w:cs="Times New Roman"/>
              </w:rPr>
            </w:pPr>
            <w:r w:rsidRPr="00650CF4">
              <w:rPr>
                <w:rFonts w:hint="eastAsia"/>
              </w:rPr>
              <w:t>400</w:t>
            </w:r>
          </w:p>
        </w:tc>
        <w:tc>
          <w:tcPr>
            <w:tcW w:w="1280" w:type="pct"/>
            <w:vAlign w:val="center"/>
          </w:tcPr>
          <w:p w14:paraId="3306CA57" w14:textId="4F4168C9"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hint="eastAsia"/>
              </w:rPr>
              <w:t>1</w:t>
            </w:r>
            <w:r w:rsidRPr="00650CF4">
              <w:rPr>
                <w:rFonts w:ascii="Times New Roman" w:hAnsi="Times New Roman" w:cs="Times New Roman" w:hint="eastAsia"/>
              </w:rPr>
              <w:t>套</w:t>
            </w:r>
          </w:p>
        </w:tc>
        <w:tc>
          <w:tcPr>
            <w:tcW w:w="492" w:type="pct"/>
            <w:vMerge/>
            <w:vAlign w:val="center"/>
          </w:tcPr>
          <w:p w14:paraId="268D2916" w14:textId="77777777" w:rsidR="00BD1C8B" w:rsidRPr="00650CF4" w:rsidRDefault="00BD1C8B" w:rsidP="00BD1C8B">
            <w:pPr>
              <w:snapToGrid w:val="0"/>
              <w:spacing w:line="360" w:lineRule="exact"/>
              <w:ind w:firstLineChars="0" w:firstLine="0"/>
              <w:jc w:val="center"/>
              <w:rPr>
                <w:bCs/>
                <w:sz w:val="21"/>
                <w:szCs w:val="21"/>
              </w:rPr>
            </w:pPr>
          </w:p>
        </w:tc>
      </w:tr>
      <w:tr w:rsidR="00BD1C8B" w:rsidRPr="00650CF4" w14:paraId="1AA1BA44" w14:textId="77777777" w:rsidTr="00AA5145">
        <w:trPr>
          <w:jc w:val="center"/>
        </w:trPr>
        <w:tc>
          <w:tcPr>
            <w:tcW w:w="647" w:type="pct"/>
            <w:vMerge/>
            <w:vAlign w:val="center"/>
          </w:tcPr>
          <w:p w14:paraId="2AFA65CE" w14:textId="77777777" w:rsidR="00BD1C8B" w:rsidRPr="00650CF4" w:rsidRDefault="00BD1C8B" w:rsidP="00BD1C8B">
            <w:pPr>
              <w:snapToGrid w:val="0"/>
              <w:spacing w:line="360" w:lineRule="exact"/>
              <w:ind w:firstLineChars="0" w:firstLine="0"/>
              <w:jc w:val="center"/>
              <w:rPr>
                <w:sz w:val="21"/>
                <w:szCs w:val="21"/>
              </w:rPr>
            </w:pPr>
          </w:p>
        </w:tc>
        <w:tc>
          <w:tcPr>
            <w:tcW w:w="491" w:type="pct"/>
            <w:vAlign w:val="center"/>
          </w:tcPr>
          <w:p w14:paraId="65F7ADC3" w14:textId="558D5B74"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69D21214" w14:textId="1B5DC967"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洒水车</w:t>
            </w:r>
          </w:p>
        </w:tc>
        <w:tc>
          <w:tcPr>
            <w:tcW w:w="887" w:type="pct"/>
            <w:vAlign w:val="center"/>
          </w:tcPr>
          <w:p w14:paraId="3B0C7191" w14:textId="78043AD9"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20m³</w:t>
            </w:r>
          </w:p>
        </w:tc>
        <w:tc>
          <w:tcPr>
            <w:tcW w:w="1280" w:type="pct"/>
            <w:vAlign w:val="center"/>
          </w:tcPr>
          <w:p w14:paraId="676D9B85" w14:textId="55528D25"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1</w:t>
            </w:r>
          </w:p>
        </w:tc>
        <w:tc>
          <w:tcPr>
            <w:tcW w:w="492" w:type="pct"/>
            <w:vMerge/>
            <w:vAlign w:val="center"/>
          </w:tcPr>
          <w:p w14:paraId="72F420F8" w14:textId="77777777" w:rsidR="00BD1C8B" w:rsidRPr="00650CF4" w:rsidRDefault="00BD1C8B" w:rsidP="00BD1C8B">
            <w:pPr>
              <w:snapToGrid w:val="0"/>
              <w:spacing w:line="360" w:lineRule="exact"/>
              <w:ind w:firstLineChars="0" w:firstLine="0"/>
              <w:jc w:val="center"/>
              <w:rPr>
                <w:bCs/>
                <w:sz w:val="21"/>
                <w:szCs w:val="21"/>
              </w:rPr>
            </w:pPr>
          </w:p>
        </w:tc>
      </w:tr>
      <w:tr w:rsidR="00BD1C8B" w:rsidRPr="00650CF4" w14:paraId="36CD9590" w14:textId="77777777" w:rsidTr="00AA5145">
        <w:trPr>
          <w:jc w:val="center"/>
        </w:trPr>
        <w:tc>
          <w:tcPr>
            <w:tcW w:w="647" w:type="pct"/>
            <w:vMerge/>
            <w:vAlign w:val="center"/>
          </w:tcPr>
          <w:p w14:paraId="6C71CFCE" w14:textId="77777777" w:rsidR="00BD1C8B" w:rsidRPr="00650CF4" w:rsidRDefault="00BD1C8B" w:rsidP="00BD1C8B">
            <w:pPr>
              <w:snapToGrid w:val="0"/>
              <w:spacing w:line="360" w:lineRule="exact"/>
              <w:ind w:firstLineChars="0" w:firstLine="0"/>
              <w:jc w:val="center"/>
              <w:rPr>
                <w:sz w:val="21"/>
                <w:szCs w:val="21"/>
              </w:rPr>
            </w:pPr>
          </w:p>
        </w:tc>
        <w:tc>
          <w:tcPr>
            <w:tcW w:w="491" w:type="pct"/>
            <w:vAlign w:val="center"/>
          </w:tcPr>
          <w:p w14:paraId="49737308" w14:textId="6320628E" w:rsidR="00BD1C8B" w:rsidRPr="00BD1C8B" w:rsidRDefault="00BD1C8B" w:rsidP="00BD1C8B">
            <w:pPr>
              <w:pStyle w:val="af3"/>
              <w:numPr>
                <w:ilvl w:val="0"/>
                <w:numId w:val="18"/>
              </w:numPr>
              <w:snapToGrid w:val="0"/>
              <w:spacing w:line="360" w:lineRule="exact"/>
              <w:ind w:firstLineChars="0"/>
              <w:jc w:val="center"/>
              <w:rPr>
                <w:sz w:val="21"/>
                <w:szCs w:val="21"/>
              </w:rPr>
            </w:pPr>
          </w:p>
        </w:tc>
        <w:tc>
          <w:tcPr>
            <w:tcW w:w="1203" w:type="pct"/>
            <w:vAlign w:val="center"/>
          </w:tcPr>
          <w:p w14:paraId="6D10D9D0" w14:textId="5AFD9716"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油罐车</w:t>
            </w:r>
          </w:p>
        </w:tc>
        <w:tc>
          <w:tcPr>
            <w:tcW w:w="887" w:type="pct"/>
            <w:vAlign w:val="center"/>
          </w:tcPr>
          <w:p w14:paraId="3A80ED95" w14:textId="4D9A0E3E"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15t</w:t>
            </w:r>
          </w:p>
        </w:tc>
        <w:tc>
          <w:tcPr>
            <w:tcW w:w="1280" w:type="pct"/>
            <w:vAlign w:val="center"/>
          </w:tcPr>
          <w:p w14:paraId="7F27520E" w14:textId="2A2145E7" w:rsidR="00BD1C8B" w:rsidRPr="00650CF4" w:rsidRDefault="00BD1C8B" w:rsidP="00BD1C8B">
            <w:pPr>
              <w:pStyle w:val="aff"/>
              <w:ind w:left="-240" w:right="-120"/>
              <w:rPr>
                <w:rFonts w:ascii="Times New Roman" w:hAnsi="Times New Roman" w:cs="Times New Roman"/>
              </w:rPr>
            </w:pPr>
            <w:r w:rsidRPr="00650CF4">
              <w:rPr>
                <w:rFonts w:ascii="Times New Roman" w:hAnsi="Times New Roman" w:cs="Times New Roman"/>
              </w:rPr>
              <w:t>1</w:t>
            </w:r>
          </w:p>
        </w:tc>
        <w:tc>
          <w:tcPr>
            <w:tcW w:w="492" w:type="pct"/>
            <w:vMerge/>
            <w:vAlign w:val="center"/>
          </w:tcPr>
          <w:p w14:paraId="2283D6A1" w14:textId="77777777" w:rsidR="00BD1C8B" w:rsidRPr="00650CF4" w:rsidRDefault="00BD1C8B" w:rsidP="00BD1C8B">
            <w:pPr>
              <w:snapToGrid w:val="0"/>
              <w:spacing w:line="360" w:lineRule="exact"/>
              <w:ind w:firstLineChars="0" w:firstLine="0"/>
              <w:jc w:val="center"/>
              <w:rPr>
                <w:bCs/>
                <w:sz w:val="21"/>
                <w:szCs w:val="21"/>
              </w:rPr>
            </w:pPr>
          </w:p>
        </w:tc>
      </w:tr>
    </w:tbl>
    <w:p w14:paraId="4F71B634" w14:textId="24A18BFC" w:rsidR="00EA6D0E" w:rsidRPr="00650CF4" w:rsidRDefault="00EA6D0E" w:rsidP="00C82B88">
      <w:pPr>
        <w:pStyle w:val="Af8"/>
      </w:pPr>
      <w:r w:rsidRPr="00650CF4">
        <w:rPr>
          <w:rFonts w:hint="eastAsia"/>
        </w:rPr>
        <w:t>3</w:t>
      </w:r>
      <w:r w:rsidRPr="00650CF4">
        <w:t>.1.2.3</w:t>
      </w:r>
      <w:r w:rsidR="00A21D5F" w:rsidRPr="00650CF4">
        <w:rPr>
          <w:rFonts w:hint="eastAsia"/>
        </w:rPr>
        <w:t>整合前</w:t>
      </w:r>
      <w:r w:rsidRPr="00650CF4">
        <w:t>主要原辅材料及能源消耗</w:t>
      </w:r>
    </w:p>
    <w:p w14:paraId="5867C859" w14:textId="5231BA9E" w:rsidR="00EA6D0E" w:rsidRPr="00650CF4" w:rsidRDefault="00EA6D0E" w:rsidP="00EA6D0E">
      <w:pPr>
        <w:widowControl w:val="0"/>
        <w:ind w:firstLineChars="0" w:firstLine="0"/>
        <w:contextualSpacing/>
        <w:jc w:val="center"/>
        <w:rPr>
          <w:rFonts w:ascii="黑体" w:eastAsia="黑体" w:hAnsi="黑体" w:cs="Times New Roman"/>
          <w:bCs/>
          <w:snapToGrid w:val="0"/>
          <w:szCs w:val="24"/>
        </w:rPr>
      </w:pPr>
      <w:r w:rsidRPr="00650CF4">
        <w:rPr>
          <w:rFonts w:ascii="黑体" w:eastAsia="黑体" w:hAnsi="黑体" w:cs="Times New Roman"/>
          <w:bCs/>
          <w:snapToGrid w:val="0"/>
          <w:szCs w:val="24"/>
        </w:rPr>
        <w:t>表3</w:t>
      </w:r>
      <w:r w:rsidRPr="00650CF4">
        <w:rPr>
          <w:rFonts w:ascii="黑体" w:eastAsia="黑体" w:hAnsi="黑体" w:cs="Times New Roman" w:hint="eastAsia"/>
          <w:bCs/>
          <w:snapToGrid w:val="0"/>
          <w:szCs w:val="24"/>
        </w:rPr>
        <w:t>.</w:t>
      </w:r>
      <w:r w:rsidR="008B05EB" w:rsidRPr="00650CF4">
        <w:rPr>
          <w:rFonts w:ascii="黑体" w:eastAsia="黑体" w:hAnsi="黑体" w:cs="Times New Roman" w:hint="eastAsia"/>
          <w:bCs/>
          <w:snapToGrid w:val="0"/>
          <w:szCs w:val="24"/>
        </w:rPr>
        <w:t>1</w:t>
      </w:r>
      <w:r w:rsidRPr="00650CF4">
        <w:rPr>
          <w:rFonts w:ascii="黑体" w:eastAsia="黑体" w:hAnsi="黑体" w:cs="Times New Roman"/>
          <w:bCs/>
          <w:snapToGrid w:val="0"/>
          <w:szCs w:val="24"/>
        </w:rPr>
        <w:t>-</w:t>
      </w:r>
      <w:r w:rsidR="00AA5145">
        <w:rPr>
          <w:rFonts w:ascii="黑体" w:eastAsia="黑体" w:hAnsi="黑体" w:cs="Times New Roman" w:hint="eastAsia"/>
          <w:bCs/>
          <w:snapToGrid w:val="0"/>
          <w:szCs w:val="24"/>
        </w:rPr>
        <w:t>6</w:t>
      </w:r>
      <w:r w:rsidR="00AA5145">
        <w:rPr>
          <w:rFonts w:ascii="黑体" w:eastAsia="黑体" w:hAnsi="黑体" w:cs="Times New Roman"/>
          <w:bCs/>
          <w:snapToGrid w:val="0"/>
          <w:szCs w:val="24"/>
        </w:rPr>
        <w:t xml:space="preserve">   </w:t>
      </w:r>
      <w:r w:rsidR="00A21D5F" w:rsidRPr="00650CF4">
        <w:rPr>
          <w:rFonts w:ascii="黑体" w:eastAsia="黑体" w:hAnsi="黑体" w:cs="Times New Roman" w:hint="eastAsia"/>
          <w:bCs/>
          <w:snapToGrid w:val="0"/>
          <w:szCs w:val="24"/>
        </w:rPr>
        <w:t>整合</w:t>
      </w:r>
      <w:proofErr w:type="gramStart"/>
      <w:r w:rsidR="00A21D5F" w:rsidRPr="00650CF4">
        <w:rPr>
          <w:rFonts w:ascii="黑体" w:eastAsia="黑体" w:hAnsi="黑体" w:cs="Times New Roman" w:hint="eastAsia"/>
          <w:bCs/>
          <w:snapToGrid w:val="0"/>
          <w:szCs w:val="24"/>
        </w:rPr>
        <w:t>前</w:t>
      </w:r>
      <w:r w:rsidRPr="00650CF4">
        <w:rPr>
          <w:rFonts w:ascii="黑体" w:eastAsia="黑体" w:hAnsi="黑体" w:cs="Times New Roman"/>
          <w:bCs/>
          <w:snapToGrid w:val="0"/>
          <w:szCs w:val="24"/>
        </w:rPr>
        <w:t>现有</w:t>
      </w:r>
      <w:proofErr w:type="gramEnd"/>
      <w:r w:rsidRPr="00650CF4">
        <w:rPr>
          <w:rFonts w:ascii="黑体" w:eastAsia="黑体" w:hAnsi="黑体" w:cs="Times New Roman"/>
          <w:bCs/>
          <w:snapToGrid w:val="0"/>
          <w:szCs w:val="24"/>
        </w:rPr>
        <w:t>采矿</w:t>
      </w:r>
      <w:r w:rsidR="00C82B88" w:rsidRPr="00650CF4">
        <w:rPr>
          <w:rFonts w:ascii="黑体" w:eastAsia="黑体" w:hAnsi="黑体" w:cs="Times New Roman" w:hint="eastAsia"/>
          <w:bCs/>
          <w:snapToGrid w:val="0"/>
          <w:szCs w:val="24"/>
        </w:rPr>
        <w:t>工程</w:t>
      </w:r>
      <w:r w:rsidRPr="00650CF4">
        <w:rPr>
          <w:rFonts w:ascii="黑体" w:eastAsia="黑体" w:hAnsi="黑体" w:cs="Times New Roman"/>
          <w:bCs/>
          <w:snapToGrid w:val="0"/>
          <w:szCs w:val="24"/>
        </w:rPr>
        <w:t>主要原辅材料及能源消耗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1282"/>
        <w:gridCol w:w="2053"/>
        <w:gridCol w:w="1538"/>
        <w:gridCol w:w="2565"/>
      </w:tblGrid>
      <w:tr w:rsidR="00650CF4" w:rsidRPr="00C938AD" w14:paraId="5A684817" w14:textId="77777777" w:rsidTr="00650CF4">
        <w:tc>
          <w:tcPr>
            <w:tcW w:w="735" w:type="pct"/>
            <w:vMerge w:val="restart"/>
            <w:vAlign w:val="center"/>
          </w:tcPr>
          <w:p w14:paraId="6CBE2E29" w14:textId="2EEB29BF" w:rsidR="00650CF4" w:rsidRPr="00C938AD" w:rsidRDefault="00650CF4" w:rsidP="00650CF4">
            <w:pPr>
              <w:widowControl w:val="0"/>
              <w:snapToGrid w:val="0"/>
              <w:spacing w:line="360" w:lineRule="exact"/>
              <w:ind w:firstLineChars="0" w:firstLine="0"/>
              <w:jc w:val="center"/>
              <w:rPr>
                <w:rFonts w:cs="Times New Roman"/>
                <w:sz w:val="21"/>
                <w:szCs w:val="21"/>
              </w:rPr>
            </w:pPr>
            <w:r w:rsidRPr="00650CF4">
              <w:rPr>
                <w:rFonts w:cs="Times New Roman" w:hint="eastAsia"/>
                <w:sz w:val="21"/>
                <w:szCs w:val="21"/>
              </w:rPr>
              <w:t>驻马店市</w:t>
            </w:r>
            <w:proofErr w:type="gramStart"/>
            <w:r w:rsidRPr="00650CF4">
              <w:rPr>
                <w:rFonts w:cs="Times New Roman" w:hint="eastAsia"/>
                <w:sz w:val="21"/>
                <w:szCs w:val="21"/>
              </w:rPr>
              <w:t>驿</w:t>
            </w:r>
            <w:proofErr w:type="gramEnd"/>
            <w:r w:rsidRPr="00650CF4">
              <w:rPr>
                <w:rFonts w:cs="Times New Roman" w:hint="eastAsia"/>
                <w:sz w:val="21"/>
                <w:szCs w:val="21"/>
              </w:rPr>
              <w:t>城区丰鑫矿业有限公司</w:t>
            </w:r>
          </w:p>
        </w:tc>
        <w:tc>
          <w:tcPr>
            <w:tcW w:w="735" w:type="pct"/>
            <w:vAlign w:val="center"/>
          </w:tcPr>
          <w:p w14:paraId="207DE7E9" w14:textId="1662F0D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序号</w:t>
            </w:r>
          </w:p>
        </w:tc>
        <w:tc>
          <w:tcPr>
            <w:tcW w:w="1177" w:type="pct"/>
            <w:vAlign w:val="center"/>
          </w:tcPr>
          <w:p w14:paraId="19368680"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项目</w:t>
            </w:r>
          </w:p>
        </w:tc>
        <w:tc>
          <w:tcPr>
            <w:tcW w:w="882" w:type="pct"/>
            <w:vAlign w:val="center"/>
          </w:tcPr>
          <w:p w14:paraId="5BD2A075"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单位</w:t>
            </w:r>
          </w:p>
        </w:tc>
        <w:tc>
          <w:tcPr>
            <w:tcW w:w="1471" w:type="pct"/>
            <w:vAlign w:val="center"/>
          </w:tcPr>
          <w:p w14:paraId="3A629F0B"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年消耗量</w:t>
            </w:r>
          </w:p>
        </w:tc>
      </w:tr>
      <w:tr w:rsidR="00650CF4" w:rsidRPr="00C938AD" w14:paraId="362581BF" w14:textId="77777777" w:rsidTr="00650CF4">
        <w:tc>
          <w:tcPr>
            <w:tcW w:w="735" w:type="pct"/>
            <w:vMerge/>
            <w:vAlign w:val="center"/>
          </w:tcPr>
          <w:p w14:paraId="62D6CAE5"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p>
        </w:tc>
        <w:tc>
          <w:tcPr>
            <w:tcW w:w="735" w:type="pct"/>
            <w:vAlign w:val="center"/>
          </w:tcPr>
          <w:p w14:paraId="6DA284FA" w14:textId="56FDD4BA"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1</w:t>
            </w:r>
          </w:p>
        </w:tc>
        <w:tc>
          <w:tcPr>
            <w:tcW w:w="1177" w:type="pct"/>
            <w:vAlign w:val="center"/>
          </w:tcPr>
          <w:p w14:paraId="0ED456DF"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轮胎</w:t>
            </w:r>
          </w:p>
        </w:tc>
        <w:tc>
          <w:tcPr>
            <w:tcW w:w="882" w:type="pct"/>
            <w:vAlign w:val="center"/>
          </w:tcPr>
          <w:p w14:paraId="031559CB"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条</w:t>
            </w:r>
          </w:p>
        </w:tc>
        <w:tc>
          <w:tcPr>
            <w:tcW w:w="1471" w:type="pct"/>
            <w:vAlign w:val="center"/>
          </w:tcPr>
          <w:p w14:paraId="65227DBC"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60</w:t>
            </w:r>
          </w:p>
        </w:tc>
      </w:tr>
      <w:tr w:rsidR="00650CF4" w:rsidRPr="00C938AD" w14:paraId="61F5A6EB" w14:textId="77777777" w:rsidTr="00650CF4">
        <w:tc>
          <w:tcPr>
            <w:tcW w:w="735" w:type="pct"/>
            <w:vMerge/>
            <w:vAlign w:val="center"/>
          </w:tcPr>
          <w:p w14:paraId="621F3DA2"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p>
        </w:tc>
        <w:tc>
          <w:tcPr>
            <w:tcW w:w="735" w:type="pct"/>
            <w:vAlign w:val="center"/>
          </w:tcPr>
          <w:p w14:paraId="57EF4AD6" w14:textId="65329F89"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2</w:t>
            </w:r>
          </w:p>
        </w:tc>
        <w:tc>
          <w:tcPr>
            <w:tcW w:w="1177" w:type="pct"/>
            <w:vAlign w:val="center"/>
          </w:tcPr>
          <w:p w14:paraId="1216D467"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机油</w:t>
            </w:r>
          </w:p>
        </w:tc>
        <w:tc>
          <w:tcPr>
            <w:tcW w:w="882" w:type="pct"/>
            <w:vAlign w:val="center"/>
          </w:tcPr>
          <w:p w14:paraId="10DF3309"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kg</w:t>
            </w:r>
          </w:p>
        </w:tc>
        <w:tc>
          <w:tcPr>
            <w:tcW w:w="1471" w:type="pct"/>
            <w:vAlign w:val="center"/>
          </w:tcPr>
          <w:p w14:paraId="5DB59BE9"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300</w:t>
            </w:r>
          </w:p>
        </w:tc>
      </w:tr>
      <w:tr w:rsidR="00650CF4" w:rsidRPr="00C938AD" w14:paraId="6FDAAF82" w14:textId="77777777" w:rsidTr="00650CF4">
        <w:trPr>
          <w:trHeight w:val="90"/>
        </w:trPr>
        <w:tc>
          <w:tcPr>
            <w:tcW w:w="735" w:type="pct"/>
            <w:vMerge/>
            <w:vAlign w:val="center"/>
          </w:tcPr>
          <w:p w14:paraId="1A919ED8"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p>
        </w:tc>
        <w:tc>
          <w:tcPr>
            <w:tcW w:w="735" w:type="pct"/>
            <w:vAlign w:val="center"/>
          </w:tcPr>
          <w:p w14:paraId="28117C6F" w14:textId="638C5B26"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3</w:t>
            </w:r>
          </w:p>
        </w:tc>
        <w:tc>
          <w:tcPr>
            <w:tcW w:w="1177" w:type="pct"/>
            <w:vAlign w:val="center"/>
          </w:tcPr>
          <w:p w14:paraId="41DF79DA"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柴油</w:t>
            </w:r>
          </w:p>
        </w:tc>
        <w:tc>
          <w:tcPr>
            <w:tcW w:w="882" w:type="pct"/>
            <w:vAlign w:val="center"/>
          </w:tcPr>
          <w:p w14:paraId="35527DA2"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kg</w:t>
            </w:r>
          </w:p>
        </w:tc>
        <w:tc>
          <w:tcPr>
            <w:tcW w:w="1471" w:type="pct"/>
            <w:vAlign w:val="center"/>
          </w:tcPr>
          <w:p w14:paraId="38AA76BC"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sz w:val="21"/>
                <w:szCs w:val="21"/>
              </w:rPr>
              <w:t>30000</w:t>
            </w:r>
          </w:p>
        </w:tc>
      </w:tr>
      <w:tr w:rsidR="00650CF4" w:rsidRPr="00C938AD" w14:paraId="35D37143" w14:textId="77777777" w:rsidTr="00650CF4">
        <w:tc>
          <w:tcPr>
            <w:tcW w:w="735" w:type="pct"/>
            <w:vMerge/>
            <w:vAlign w:val="center"/>
          </w:tcPr>
          <w:p w14:paraId="6AD4F34D"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p>
        </w:tc>
        <w:tc>
          <w:tcPr>
            <w:tcW w:w="735" w:type="pct"/>
            <w:vAlign w:val="center"/>
          </w:tcPr>
          <w:p w14:paraId="338BF0C2" w14:textId="5F87765F"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4</w:t>
            </w:r>
          </w:p>
        </w:tc>
        <w:tc>
          <w:tcPr>
            <w:tcW w:w="1177" w:type="pct"/>
            <w:vAlign w:val="center"/>
          </w:tcPr>
          <w:p w14:paraId="1AA016EC"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水</w:t>
            </w:r>
          </w:p>
        </w:tc>
        <w:tc>
          <w:tcPr>
            <w:tcW w:w="882" w:type="pct"/>
            <w:vAlign w:val="center"/>
          </w:tcPr>
          <w:p w14:paraId="0A9C2A6A"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t</w:t>
            </w:r>
          </w:p>
        </w:tc>
        <w:tc>
          <w:tcPr>
            <w:tcW w:w="1471" w:type="pct"/>
            <w:vAlign w:val="center"/>
          </w:tcPr>
          <w:p w14:paraId="2413CD59"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1000</w:t>
            </w:r>
          </w:p>
        </w:tc>
      </w:tr>
      <w:tr w:rsidR="00650CF4" w:rsidRPr="00C938AD" w14:paraId="75944E92" w14:textId="77777777" w:rsidTr="00650CF4">
        <w:tc>
          <w:tcPr>
            <w:tcW w:w="735" w:type="pct"/>
            <w:vMerge/>
            <w:vAlign w:val="center"/>
          </w:tcPr>
          <w:p w14:paraId="78BB0F11"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p>
        </w:tc>
        <w:tc>
          <w:tcPr>
            <w:tcW w:w="735" w:type="pct"/>
            <w:vAlign w:val="center"/>
          </w:tcPr>
          <w:p w14:paraId="0BACD6BC" w14:textId="0686B42E"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5</w:t>
            </w:r>
          </w:p>
        </w:tc>
        <w:tc>
          <w:tcPr>
            <w:tcW w:w="1177" w:type="pct"/>
            <w:vAlign w:val="center"/>
          </w:tcPr>
          <w:p w14:paraId="00B6910A"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电</w:t>
            </w:r>
          </w:p>
        </w:tc>
        <w:tc>
          <w:tcPr>
            <w:tcW w:w="882" w:type="pct"/>
            <w:vAlign w:val="center"/>
          </w:tcPr>
          <w:p w14:paraId="76E6DC95"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万</w:t>
            </w:r>
            <w:proofErr w:type="spellStart"/>
            <w:r w:rsidRPr="00C938AD">
              <w:rPr>
                <w:rFonts w:cs="Times New Roman" w:hint="eastAsia"/>
                <w:sz w:val="21"/>
                <w:szCs w:val="21"/>
              </w:rPr>
              <w:t>KW.h</w:t>
            </w:r>
            <w:proofErr w:type="spellEnd"/>
          </w:p>
        </w:tc>
        <w:tc>
          <w:tcPr>
            <w:tcW w:w="1471" w:type="pct"/>
            <w:vAlign w:val="center"/>
          </w:tcPr>
          <w:p w14:paraId="11A949ED" w14:textId="77777777" w:rsidR="00650CF4" w:rsidRPr="00C938AD" w:rsidRDefault="00650CF4" w:rsidP="00650CF4">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50</w:t>
            </w:r>
          </w:p>
        </w:tc>
      </w:tr>
      <w:tr w:rsidR="00BD1C8B" w:rsidRPr="00C938AD" w14:paraId="53DCCEE6" w14:textId="77777777" w:rsidTr="00650CF4">
        <w:tc>
          <w:tcPr>
            <w:tcW w:w="735" w:type="pct"/>
            <w:vMerge w:val="restart"/>
            <w:vAlign w:val="center"/>
          </w:tcPr>
          <w:p w14:paraId="51F43B28" w14:textId="17C9D44B" w:rsidR="00BD1C8B" w:rsidRPr="00C938AD" w:rsidRDefault="00BD1C8B" w:rsidP="00BD1C8B">
            <w:pPr>
              <w:widowControl w:val="0"/>
              <w:snapToGrid w:val="0"/>
              <w:spacing w:line="360" w:lineRule="exact"/>
              <w:ind w:firstLineChars="0" w:firstLine="0"/>
              <w:jc w:val="center"/>
              <w:rPr>
                <w:rFonts w:cs="Times New Roman"/>
                <w:sz w:val="21"/>
                <w:szCs w:val="21"/>
              </w:rPr>
            </w:pPr>
            <w:r w:rsidRPr="00650CF4">
              <w:rPr>
                <w:rFonts w:cs="Times New Roman" w:hint="eastAsia"/>
                <w:sz w:val="21"/>
                <w:szCs w:val="21"/>
              </w:rPr>
              <w:t>驻马店市</w:t>
            </w:r>
            <w:proofErr w:type="gramStart"/>
            <w:r w:rsidRPr="00650CF4">
              <w:rPr>
                <w:rFonts w:cs="Times New Roman" w:hint="eastAsia"/>
                <w:sz w:val="21"/>
                <w:szCs w:val="21"/>
              </w:rPr>
              <w:t>驿</w:t>
            </w:r>
            <w:proofErr w:type="gramEnd"/>
            <w:r w:rsidRPr="00650CF4">
              <w:rPr>
                <w:rFonts w:cs="Times New Roman" w:hint="eastAsia"/>
                <w:sz w:val="21"/>
                <w:szCs w:val="21"/>
              </w:rPr>
              <w:t>城区宏运石料厂</w:t>
            </w:r>
          </w:p>
        </w:tc>
        <w:tc>
          <w:tcPr>
            <w:tcW w:w="735" w:type="pct"/>
            <w:vAlign w:val="center"/>
          </w:tcPr>
          <w:p w14:paraId="5290B895" w14:textId="1BF09394"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sz w:val="21"/>
                <w:szCs w:val="21"/>
              </w:rPr>
              <w:t>1</w:t>
            </w:r>
          </w:p>
        </w:tc>
        <w:tc>
          <w:tcPr>
            <w:tcW w:w="1177" w:type="pct"/>
            <w:vAlign w:val="center"/>
          </w:tcPr>
          <w:p w14:paraId="15060213" w14:textId="775A4817"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sz w:val="21"/>
                <w:szCs w:val="21"/>
              </w:rPr>
              <w:t>轮胎</w:t>
            </w:r>
          </w:p>
        </w:tc>
        <w:tc>
          <w:tcPr>
            <w:tcW w:w="882" w:type="pct"/>
            <w:vAlign w:val="center"/>
          </w:tcPr>
          <w:p w14:paraId="228A537E" w14:textId="5D8C8474"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sz w:val="21"/>
                <w:szCs w:val="21"/>
              </w:rPr>
              <w:t>条</w:t>
            </w:r>
          </w:p>
        </w:tc>
        <w:tc>
          <w:tcPr>
            <w:tcW w:w="1471" w:type="pct"/>
            <w:vAlign w:val="center"/>
          </w:tcPr>
          <w:p w14:paraId="2FB1D248" w14:textId="7E146355" w:rsidR="00BD1C8B" w:rsidRPr="00C938AD" w:rsidRDefault="00BD1C8B" w:rsidP="00BD1C8B">
            <w:pPr>
              <w:widowControl w:val="0"/>
              <w:snapToGrid w:val="0"/>
              <w:spacing w:line="360" w:lineRule="exact"/>
              <w:ind w:firstLineChars="0" w:firstLine="0"/>
              <w:jc w:val="center"/>
              <w:rPr>
                <w:rFonts w:cs="Times New Roman"/>
                <w:sz w:val="21"/>
                <w:szCs w:val="21"/>
              </w:rPr>
            </w:pPr>
            <w:r>
              <w:rPr>
                <w:rFonts w:cs="Times New Roman" w:hint="eastAsia"/>
                <w:sz w:val="21"/>
                <w:szCs w:val="21"/>
              </w:rPr>
              <w:t>30</w:t>
            </w:r>
          </w:p>
        </w:tc>
      </w:tr>
      <w:tr w:rsidR="00BD1C8B" w:rsidRPr="00C938AD" w14:paraId="643717E7" w14:textId="77777777" w:rsidTr="00650CF4">
        <w:tc>
          <w:tcPr>
            <w:tcW w:w="735" w:type="pct"/>
            <w:vMerge/>
          </w:tcPr>
          <w:p w14:paraId="6D5456A7" w14:textId="77777777" w:rsidR="00BD1C8B" w:rsidRPr="00C938AD" w:rsidRDefault="00BD1C8B" w:rsidP="00BD1C8B">
            <w:pPr>
              <w:widowControl w:val="0"/>
              <w:snapToGrid w:val="0"/>
              <w:spacing w:line="360" w:lineRule="exact"/>
              <w:ind w:firstLineChars="0" w:firstLine="0"/>
              <w:jc w:val="center"/>
              <w:rPr>
                <w:rFonts w:cs="Times New Roman"/>
                <w:sz w:val="21"/>
                <w:szCs w:val="21"/>
              </w:rPr>
            </w:pPr>
          </w:p>
        </w:tc>
        <w:tc>
          <w:tcPr>
            <w:tcW w:w="735" w:type="pct"/>
            <w:vAlign w:val="center"/>
          </w:tcPr>
          <w:p w14:paraId="58FA36FA" w14:textId="1FE27468"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sz w:val="21"/>
                <w:szCs w:val="21"/>
              </w:rPr>
              <w:t>2</w:t>
            </w:r>
          </w:p>
        </w:tc>
        <w:tc>
          <w:tcPr>
            <w:tcW w:w="1177" w:type="pct"/>
            <w:vAlign w:val="center"/>
          </w:tcPr>
          <w:p w14:paraId="121C0477" w14:textId="4D988CBA"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sz w:val="21"/>
                <w:szCs w:val="21"/>
              </w:rPr>
              <w:t>机油</w:t>
            </w:r>
          </w:p>
        </w:tc>
        <w:tc>
          <w:tcPr>
            <w:tcW w:w="882" w:type="pct"/>
            <w:vAlign w:val="center"/>
          </w:tcPr>
          <w:p w14:paraId="57E4156E" w14:textId="705B9854"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sz w:val="21"/>
                <w:szCs w:val="21"/>
              </w:rPr>
              <w:t>kg</w:t>
            </w:r>
          </w:p>
        </w:tc>
        <w:tc>
          <w:tcPr>
            <w:tcW w:w="1471" w:type="pct"/>
            <w:vAlign w:val="center"/>
          </w:tcPr>
          <w:p w14:paraId="641712BF" w14:textId="36A3CC46" w:rsidR="00BD1C8B" w:rsidRPr="00C938AD" w:rsidRDefault="00BD1C8B" w:rsidP="00BD1C8B">
            <w:pPr>
              <w:widowControl w:val="0"/>
              <w:snapToGrid w:val="0"/>
              <w:spacing w:line="360" w:lineRule="exact"/>
              <w:ind w:firstLineChars="0" w:firstLine="0"/>
              <w:jc w:val="center"/>
              <w:rPr>
                <w:rFonts w:cs="Times New Roman"/>
                <w:sz w:val="21"/>
                <w:szCs w:val="21"/>
              </w:rPr>
            </w:pPr>
            <w:r>
              <w:rPr>
                <w:rFonts w:cs="Times New Roman" w:hint="eastAsia"/>
                <w:sz w:val="21"/>
                <w:szCs w:val="21"/>
              </w:rPr>
              <w:t>150</w:t>
            </w:r>
          </w:p>
        </w:tc>
      </w:tr>
      <w:tr w:rsidR="00BD1C8B" w:rsidRPr="00C938AD" w14:paraId="0454ABE2" w14:textId="77777777" w:rsidTr="00650CF4">
        <w:tc>
          <w:tcPr>
            <w:tcW w:w="735" w:type="pct"/>
            <w:vMerge/>
          </w:tcPr>
          <w:p w14:paraId="5D9B7E98" w14:textId="77777777" w:rsidR="00BD1C8B" w:rsidRPr="00C938AD" w:rsidRDefault="00BD1C8B" w:rsidP="00BD1C8B">
            <w:pPr>
              <w:widowControl w:val="0"/>
              <w:snapToGrid w:val="0"/>
              <w:spacing w:line="360" w:lineRule="exact"/>
              <w:ind w:firstLineChars="0" w:firstLine="0"/>
              <w:jc w:val="center"/>
              <w:rPr>
                <w:rFonts w:cs="Times New Roman"/>
                <w:sz w:val="21"/>
                <w:szCs w:val="21"/>
              </w:rPr>
            </w:pPr>
          </w:p>
        </w:tc>
        <w:tc>
          <w:tcPr>
            <w:tcW w:w="735" w:type="pct"/>
            <w:vAlign w:val="center"/>
          </w:tcPr>
          <w:p w14:paraId="309CF60D" w14:textId="7E1C831F"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sz w:val="21"/>
                <w:szCs w:val="21"/>
              </w:rPr>
              <w:t>3</w:t>
            </w:r>
          </w:p>
        </w:tc>
        <w:tc>
          <w:tcPr>
            <w:tcW w:w="1177" w:type="pct"/>
            <w:vAlign w:val="center"/>
          </w:tcPr>
          <w:p w14:paraId="1098113D" w14:textId="26DF466E"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sz w:val="21"/>
                <w:szCs w:val="21"/>
              </w:rPr>
              <w:t>柴油</w:t>
            </w:r>
          </w:p>
        </w:tc>
        <w:tc>
          <w:tcPr>
            <w:tcW w:w="882" w:type="pct"/>
            <w:vAlign w:val="center"/>
          </w:tcPr>
          <w:p w14:paraId="34DA13B3" w14:textId="5E9DC1B3"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sz w:val="21"/>
                <w:szCs w:val="21"/>
              </w:rPr>
              <w:t>kg</w:t>
            </w:r>
          </w:p>
        </w:tc>
        <w:tc>
          <w:tcPr>
            <w:tcW w:w="1471" w:type="pct"/>
            <w:vAlign w:val="center"/>
          </w:tcPr>
          <w:p w14:paraId="2D3278E5" w14:textId="5DC54BF1" w:rsidR="00BD1C8B" w:rsidRPr="00C938AD" w:rsidRDefault="00BD1C8B" w:rsidP="00BD1C8B">
            <w:pPr>
              <w:widowControl w:val="0"/>
              <w:snapToGrid w:val="0"/>
              <w:spacing w:line="360" w:lineRule="exact"/>
              <w:ind w:firstLineChars="0" w:firstLine="0"/>
              <w:jc w:val="center"/>
              <w:rPr>
                <w:rFonts w:cs="Times New Roman"/>
                <w:sz w:val="21"/>
                <w:szCs w:val="21"/>
              </w:rPr>
            </w:pPr>
            <w:r>
              <w:rPr>
                <w:rFonts w:cs="Times New Roman" w:hint="eastAsia"/>
                <w:sz w:val="21"/>
                <w:szCs w:val="21"/>
              </w:rPr>
              <w:t>15</w:t>
            </w:r>
            <w:r w:rsidRPr="00C938AD">
              <w:rPr>
                <w:rFonts w:cs="Times New Roman"/>
                <w:sz w:val="21"/>
                <w:szCs w:val="21"/>
              </w:rPr>
              <w:t>000</w:t>
            </w:r>
          </w:p>
        </w:tc>
      </w:tr>
      <w:tr w:rsidR="00BD1C8B" w:rsidRPr="00C938AD" w14:paraId="530FA152" w14:textId="77777777" w:rsidTr="00650CF4">
        <w:tc>
          <w:tcPr>
            <w:tcW w:w="735" w:type="pct"/>
            <w:vMerge/>
          </w:tcPr>
          <w:p w14:paraId="0EB793FA" w14:textId="77777777" w:rsidR="00BD1C8B" w:rsidRPr="00C938AD" w:rsidRDefault="00BD1C8B" w:rsidP="00BD1C8B">
            <w:pPr>
              <w:widowControl w:val="0"/>
              <w:snapToGrid w:val="0"/>
              <w:spacing w:line="360" w:lineRule="exact"/>
              <w:ind w:firstLineChars="0" w:firstLine="0"/>
              <w:jc w:val="center"/>
              <w:rPr>
                <w:rFonts w:cs="Times New Roman"/>
                <w:sz w:val="21"/>
                <w:szCs w:val="21"/>
              </w:rPr>
            </w:pPr>
          </w:p>
        </w:tc>
        <w:tc>
          <w:tcPr>
            <w:tcW w:w="735" w:type="pct"/>
            <w:vAlign w:val="center"/>
          </w:tcPr>
          <w:p w14:paraId="3F52A38A" w14:textId="20810CE5"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4</w:t>
            </w:r>
          </w:p>
        </w:tc>
        <w:tc>
          <w:tcPr>
            <w:tcW w:w="1177" w:type="pct"/>
            <w:vAlign w:val="center"/>
          </w:tcPr>
          <w:p w14:paraId="6058C5F0" w14:textId="11D870EE"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水</w:t>
            </w:r>
          </w:p>
        </w:tc>
        <w:tc>
          <w:tcPr>
            <w:tcW w:w="882" w:type="pct"/>
            <w:vAlign w:val="center"/>
          </w:tcPr>
          <w:p w14:paraId="48AE7C1A" w14:textId="377115BB"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t</w:t>
            </w:r>
          </w:p>
        </w:tc>
        <w:tc>
          <w:tcPr>
            <w:tcW w:w="1471" w:type="pct"/>
            <w:vAlign w:val="center"/>
          </w:tcPr>
          <w:p w14:paraId="68DBCB35" w14:textId="7E1B68E5" w:rsidR="00BD1C8B" w:rsidRPr="00C938AD" w:rsidRDefault="00BD1C8B" w:rsidP="00BD1C8B">
            <w:pPr>
              <w:widowControl w:val="0"/>
              <w:snapToGrid w:val="0"/>
              <w:spacing w:line="360" w:lineRule="exact"/>
              <w:ind w:firstLineChars="0" w:firstLine="0"/>
              <w:jc w:val="center"/>
              <w:rPr>
                <w:rFonts w:cs="Times New Roman"/>
                <w:sz w:val="21"/>
                <w:szCs w:val="21"/>
              </w:rPr>
            </w:pPr>
            <w:r>
              <w:rPr>
                <w:rFonts w:cs="Times New Roman" w:hint="eastAsia"/>
                <w:sz w:val="21"/>
                <w:szCs w:val="21"/>
              </w:rPr>
              <w:t>8</w:t>
            </w:r>
            <w:r w:rsidRPr="00C938AD">
              <w:rPr>
                <w:rFonts w:cs="Times New Roman" w:hint="eastAsia"/>
                <w:sz w:val="21"/>
                <w:szCs w:val="21"/>
              </w:rPr>
              <w:t>00</w:t>
            </w:r>
          </w:p>
        </w:tc>
      </w:tr>
      <w:tr w:rsidR="00BD1C8B" w:rsidRPr="00C938AD" w14:paraId="4C4D7238" w14:textId="77777777" w:rsidTr="00650CF4">
        <w:tc>
          <w:tcPr>
            <w:tcW w:w="735" w:type="pct"/>
            <w:vMerge/>
          </w:tcPr>
          <w:p w14:paraId="327BB3AB" w14:textId="77777777" w:rsidR="00BD1C8B" w:rsidRPr="00C938AD" w:rsidRDefault="00BD1C8B" w:rsidP="00BD1C8B">
            <w:pPr>
              <w:widowControl w:val="0"/>
              <w:snapToGrid w:val="0"/>
              <w:spacing w:line="360" w:lineRule="exact"/>
              <w:ind w:firstLineChars="0" w:firstLine="0"/>
              <w:jc w:val="center"/>
              <w:rPr>
                <w:rFonts w:cs="Times New Roman"/>
                <w:sz w:val="21"/>
                <w:szCs w:val="21"/>
              </w:rPr>
            </w:pPr>
          </w:p>
        </w:tc>
        <w:tc>
          <w:tcPr>
            <w:tcW w:w="735" w:type="pct"/>
            <w:vAlign w:val="center"/>
          </w:tcPr>
          <w:p w14:paraId="19ACA44D" w14:textId="378DB2F1"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5</w:t>
            </w:r>
          </w:p>
        </w:tc>
        <w:tc>
          <w:tcPr>
            <w:tcW w:w="1177" w:type="pct"/>
            <w:vAlign w:val="center"/>
          </w:tcPr>
          <w:p w14:paraId="0F27EBD4" w14:textId="52169660"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电</w:t>
            </w:r>
          </w:p>
        </w:tc>
        <w:tc>
          <w:tcPr>
            <w:tcW w:w="882" w:type="pct"/>
            <w:vAlign w:val="center"/>
          </w:tcPr>
          <w:p w14:paraId="098ECCEE" w14:textId="4793BE03" w:rsidR="00BD1C8B" w:rsidRPr="00C938AD" w:rsidRDefault="00BD1C8B" w:rsidP="00BD1C8B">
            <w:pPr>
              <w:widowControl w:val="0"/>
              <w:snapToGrid w:val="0"/>
              <w:spacing w:line="360" w:lineRule="exact"/>
              <w:ind w:firstLineChars="0" w:firstLine="0"/>
              <w:jc w:val="center"/>
              <w:rPr>
                <w:rFonts w:cs="Times New Roman"/>
                <w:sz w:val="21"/>
                <w:szCs w:val="21"/>
              </w:rPr>
            </w:pPr>
            <w:r w:rsidRPr="00C938AD">
              <w:rPr>
                <w:rFonts w:cs="Times New Roman" w:hint="eastAsia"/>
                <w:sz w:val="21"/>
                <w:szCs w:val="21"/>
              </w:rPr>
              <w:t>万</w:t>
            </w:r>
            <w:proofErr w:type="spellStart"/>
            <w:r w:rsidRPr="00C938AD">
              <w:rPr>
                <w:rFonts w:cs="Times New Roman" w:hint="eastAsia"/>
                <w:sz w:val="21"/>
                <w:szCs w:val="21"/>
              </w:rPr>
              <w:t>KW.h</w:t>
            </w:r>
            <w:proofErr w:type="spellEnd"/>
          </w:p>
        </w:tc>
        <w:tc>
          <w:tcPr>
            <w:tcW w:w="1471" w:type="pct"/>
            <w:vAlign w:val="center"/>
          </w:tcPr>
          <w:p w14:paraId="465880AE" w14:textId="3402EF81" w:rsidR="00BD1C8B" w:rsidRPr="00C938AD" w:rsidRDefault="00BD1C8B" w:rsidP="00BD1C8B">
            <w:pPr>
              <w:widowControl w:val="0"/>
              <w:snapToGrid w:val="0"/>
              <w:spacing w:line="360" w:lineRule="exact"/>
              <w:ind w:firstLineChars="0" w:firstLine="0"/>
              <w:jc w:val="center"/>
              <w:rPr>
                <w:rFonts w:cs="Times New Roman"/>
                <w:sz w:val="21"/>
                <w:szCs w:val="21"/>
              </w:rPr>
            </w:pPr>
            <w:r>
              <w:rPr>
                <w:rFonts w:cs="Times New Roman" w:hint="eastAsia"/>
                <w:sz w:val="21"/>
                <w:szCs w:val="21"/>
              </w:rPr>
              <w:t>3</w:t>
            </w:r>
            <w:r w:rsidRPr="00C938AD">
              <w:rPr>
                <w:rFonts w:cs="Times New Roman" w:hint="eastAsia"/>
                <w:sz w:val="21"/>
                <w:szCs w:val="21"/>
              </w:rPr>
              <w:t>0</w:t>
            </w:r>
          </w:p>
        </w:tc>
      </w:tr>
    </w:tbl>
    <w:p w14:paraId="67FB428E" w14:textId="1CF7E1DA" w:rsidR="00EA6D0E" w:rsidRPr="00C938AD" w:rsidRDefault="00EA6D0E" w:rsidP="00EA6D0E">
      <w:pPr>
        <w:pStyle w:val="Af8"/>
      </w:pPr>
      <w:r w:rsidRPr="00C938AD">
        <w:rPr>
          <w:rFonts w:hint="eastAsia"/>
        </w:rPr>
        <w:t>3</w:t>
      </w:r>
      <w:r w:rsidRPr="00C938AD">
        <w:t>.1.2.</w:t>
      </w:r>
      <w:r w:rsidR="008B05EB" w:rsidRPr="00C938AD">
        <w:rPr>
          <w:rFonts w:hint="eastAsia"/>
        </w:rPr>
        <w:t>4</w:t>
      </w:r>
      <w:r w:rsidRPr="00C938AD">
        <w:t>劳动定员及工作制度</w:t>
      </w:r>
    </w:p>
    <w:p w14:paraId="2D353966" w14:textId="25D1AE44" w:rsidR="00EA6D0E" w:rsidRPr="00C938AD" w:rsidRDefault="00EA6D0E" w:rsidP="00650CF4">
      <w:pPr>
        <w:widowControl w:val="0"/>
        <w:jc w:val="both"/>
        <w:rPr>
          <w:rFonts w:cs="Times New Roman"/>
          <w:szCs w:val="24"/>
        </w:rPr>
      </w:pPr>
      <w:r w:rsidRPr="00C938AD">
        <w:rPr>
          <w:rFonts w:cs="Times New Roman" w:hint="eastAsia"/>
          <w:szCs w:val="24"/>
        </w:rPr>
        <w:t>现有</w:t>
      </w:r>
      <w:proofErr w:type="gramStart"/>
      <w:r w:rsidRPr="00C938AD">
        <w:rPr>
          <w:rFonts w:cs="Times New Roman" w:hint="eastAsia"/>
          <w:szCs w:val="24"/>
        </w:rPr>
        <w:t>工程</w:t>
      </w:r>
      <w:r w:rsidR="00650CF4" w:rsidRPr="00650CF4">
        <w:rPr>
          <w:rFonts w:cs="Times New Roman" w:hint="eastAsia"/>
          <w:szCs w:val="24"/>
        </w:rPr>
        <w:t>驻</w:t>
      </w:r>
      <w:proofErr w:type="gramEnd"/>
      <w:r w:rsidR="00650CF4" w:rsidRPr="00650CF4">
        <w:rPr>
          <w:rFonts w:cs="Times New Roman" w:hint="eastAsia"/>
          <w:szCs w:val="24"/>
        </w:rPr>
        <w:t>马店市</w:t>
      </w:r>
      <w:proofErr w:type="gramStart"/>
      <w:r w:rsidR="00650CF4" w:rsidRPr="00650CF4">
        <w:rPr>
          <w:rFonts w:cs="Times New Roman" w:hint="eastAsia"/>
          <w:szCs w:val="24"/>
        </w:rPr>
        <w:t>驿</w:t>
      </w:r>
      <w:proofErr w:type="gramEnd"/>
      <w:r w:rsidR="00650CF4" w:rsidRPr="00650CF4">
        <w:rPr>
          <w:rFonts w:cs="Times New Roman" w:hint="eastAsia"/>
          <w:szCs w:val="24"/>
        </w:rPr>
        <w:t>城区丰鑫矿业有限公司</w:t>
      </w:r>
      <w:r w:rsidR="00650CF4">
        <w:rPr>
          <w:rFonts w:cs="Times New Roman" w:hint="eastAsia"/>
          <w:szCs w:val="24"/>
        </w:rPr>
        <w:t>和</w:t>
      </w:r>
      <w:r w:rsidR="00650CF4" w:rsidRPr="00650CF4">
        <w:rPr>
          <w:rFonts w:cs="Times New Roman" w:hint="eastAsia"/>
          <w:szCs w:val="24"/>
        </w:rPr>
        <w:t>驻马店市</w:t>
      </w:r>
      <w:proofErr w:type="gramStart"/>
      <w:r w:rsidR="00650CF4" w:rsidRPr="00650CF4">
        <w:rPr>
          <w:rFonts w:cs="Times New Roman" w:hint="eastAsia"/>
          <w:szCs w:val="24"/>
        </w:rPr>
        <w:t>驿</w:t>
      </w:r>
      <w:proofErr w:type="gramEnd"/>
      <w:r w:rsidR="00650CF4" w:rsidRPr="00650CF4">
        <w:rPr>
          <w:rFonts w:cs="Times New Roman" w:hint="eastAsia"/>
          <w:szCs w:val="24"/>
        </w:rPr>
        <w:t>城区宏运石料厂</w:t>
      </w:r>
      <w:r w:rsidRPr="00C938AD">
        <w:rPr>
          <w:rFonts w:cs="Times New Roman"/>
          <w:szCs w:val="24"/>
        </w:rPr>
        <w:t>劳动</w:t>
      </w:r>
      <w:r w:rsidRPr="00C938AD">
        <w:rPr>
          <w:rFonts w:cs="Times New Roman"/>
          <w:szCs w:val="24"/>
        </w:rPr>
        <w:lastRenderedPageBreak/>
        <w:t>定员</w:t>
      </w:r>
      <w:r w:rsidR="00650CF4">
        <w:rPr>
          <w:rFonts w:cs="Times New Roman" w:hint="eastAsia"/>
          <w:szCs w:val="24"/>
        </w:rPr>
        <w:t>分别为</w:t>
      </w:r>
      <w:r w:rsidR="00650CF4">
        <w:rPr>
          <w:rFonts w:cs="Times New Roman" w:hint="eastAsia"/>
          <w:szCs w:val="24"/>
        </w:rPr>
        <w:t>15</w:t>
      </w:r>
      <w:r w:rsidR="00650CF4">
        <w:rPr>
          <w:rFonts w:cs="Times New Roman" w:hint="eastAsia"/>
          <w:szCs w:val="24"/>
        </w:rPr>
        <w:t>人和</w:t>
      </w:r>
      <w:r w:rsidR="00650CF4">
        <w:rPr>
          <w:rFonts w:cs="Times New Roman" w:hint="eastAsia"/>
          <w:szCs w:val="24"/>
        </w:rPr>
        <w:t>10</w:t>
      </w:r>
      <w:r w:rsidR="00650CF4">
        <w:rPr>
          <w:rFonts w:cs="Times New Roman" w:hint="eastAsia"/>
          <w:szCs w:val="24"/>
        </w:rPr>
        <w:t>人，合计</w:t>
      </w:r>
      <w:r w:rsidR="004829D5" w:rsidRPr="00C938AD">
        <w:rPr>
          <w:rFonts w:cs="Times New Roman" w:hint="eastAsia"/>
          <w:szCs w:val="24"/>
        </w:rPr>
        <w:t>25</w:t>
      </w:r>
      <w:r w:rsidRPr="00C938AD">
        <w:rPr>
          <w:rFonts w:cs="Times New Roman"/>
          <w:szCs w:val="24"/>
        </w:rPr>
        <w:t>人。企业年度生产日为</w:t>
      </w:r>
      <w:r w:rsidRPr="00C938AD">
        <w:rPr>
          <w:rFonts w:cs="Times New Roman" w:hint="eastAsia"/>
          <w:szCs w:val="24"/>
        </w:rPr>
        <w:t>300</w:t>
      </w:r>
      <w:r w:rsidRPr="00C938AD">
        <w:rPr>
          <w:rFonts w:cs="Times New Roman"/>
          <w:szCs w:val="24"/>
        </w:rPr>
        <w:t>d</w:t>
      </w:r>
      <w:r w:rsidRPr="00C938AD">
        <w:rPr>
          <w:rFonts w:cs="Times New Roman"/>
          <w:szCs w:val="24"/>
        </w:rPr>
        <w:t>，其余为停产检修设备时间。主生产车间的工作制度实行日</w:t>
      </w:r>
      <w:r w:rsidRPr="00C938AD">
        <w:rPr>
          <w:rFonts w:cs="Times New Roman"/>
          <w:szCs w:val="24"/>
        </w:rPr>
        <w:t>3</w:t>
      </w:r>
      <w:r w:rsidRPr="00C938AD">
        <w:rPr>
          <w:rFonts w:cs="Times New Roman"/>
          <w:szCs w:val="24"/>
        </w:rPr>
        <w:t>班、每班</w:t>
      </w:r>
      <w:r w:rsidRPr="00C938AD">
        <w:rPr>
          <w:rFonts w:cs="Times New Roman"/>
          <w:szCs w:val="24"/>
        </w:rPr>
        <w:t>8h</w:t>
      </w:r>
      <w:r w:rsidRPr="00C938AD">
        <w:rPr>
          <w:rFonts w:cs="Times New Roman"/>
          <w:szCs w:val="24"/>
        </w:rPr>
        <w:t>连续作业。各职能部门均实行</w:t>
      </w:r>
      <w:r w:rsidRPr="00C938AD">
        <w:rPr>
          <w:rFonts w:cs="Times New Roman"/>
          <w:szCs w:val="24"/>
        </w:rPr>
        <w:t>8h</w:t>
      </w:r>
      <w:r w:rsidRPr="00C938AD">
        <w:rPr>
          <w:rFonts w:cs="Times New Roman"/>
          <w:szCs w:val="24"/>
        </w:rPr>
        <w:t>工作制。</w:t>
      </w:r>
    </w:p>
    <w:p w14:paraId="61A5CA1A" w14:textId="54E1B3F3" w:rsidR="00EA6D0E" w:rsidRPr="00C938AD" w:rsidRDefault="00EA6D0E" w:rsidP="00EA6D0E">
      <w:pPr>
        <w:pStyle w:val="3"/>
        <w:ind w:firstLine="560"/>
      </w:pPr>
      <w:r w:rsidRPr="00C938AD">
        <w:rPr>
          <w:rFonts w:hint="eastAsia"/>
        </w:rPr>
        <w:t>3</w:t>
      </w:r>
      <w:r w:rsidRPr="00C938AD">
        <w:t>.1.3</w:t>
      </w:r>
      <w:r w:rsidR="00370522" w:rsidRPr="00C938AD">
        <w:rPr>
          <w:rFonts w:hint="eastAsia"/>
        </w:rPr>
        <w:t>资源整合</w:t>
      </w:r>
      <w:proofErr w:type="gramStart"/>
      <w:r w:rsidR="00370522" w:rsidRPr="00C938AD">
        <w:rPr>
          <w:rFonts w:hint="eastAsia"/>
        </w:rPr>
        <w:t>前</w:t>
      </w:r>
      <w:r w:rsidRPr="00C938AD">
        <w:rPr>
          <w:rFonts w:hint="eastAsia"/>
        </w:rPr>
        <w:t>现有</w:t>
      </w:r>
      <w:proofErr w:type="gramEnd"/>
      <w:r w:rsidRPr="00C938AD">
        <w:rPr>
          <w:rFonts w:hint="eastAsia"/>
        </w:rPr>
        <w:t>工程污染物排放情况</w:t>
      </w:r>
    </w:p>
    <w:p w14:paraId="30472D93" w14:textId="5EA28EFC" w:rsidR="00EA6D0E" w:rsidRPr="00C938AD" w:rsidRDefault="00EA6D0E" w:rsidP="00EA6D0E">
      <w:pPr>
        <w:spacing w:line="480" w:lineRule="exact"/>
      </w:pPr>
      <w:r w:rsidRPr="00C938AD">
        <w:rPr>
          <w:rFonts w:hint="eastAsia"/>
        </w:rPr>
        <w:t>现有工程已经长期停产，本次评价采用公式计算和现状调查方式进行现有工程污染物排放其概况分析。</w:t>
      </w:r>
    </w:p>
    <w:p w14:paraId="1D2CB190" w14:textId="77FFB7C6" w:rsidR="003F631A" w:rsidRPr="00B94DD9" w:rsidRDefault="003F631A" w:rsidP="003F631A">
      <w:pPr>
        <w:pStyle w:val="af6"/>
        <w:ind w:firstLine="480"/>
      </w:pPr>
      <w:r w:rsidRPr="00B94DD9">
        <w:rPr>
          <w:rFonts w:hint="eastAsia"/>
        </w:rPr>
        <w:t>3.1.3.1</w:t>
      </w:r>
      <w:r w:rsidR="00A21D5F" w:rsidRPr="00B94DD9">
        <w:rPr>
          <w:rFonts w:hint="eastAsia"/>
        </w:rPr>
        <w:t>资源整合</w:t>
      </w:r>
      <w:proofErr w:type="gramStart"/>
      <w:r w:rsidR="00A21D5F" w:rsidRPr="00B94DD9">
        <w:rPr>
          <w:rFonts w:hint="eastAsia"/>
        </w:rPr>
        <w:t>前</w:t>
      </w:r>
      <w:r w:rsidRPr="00B94DD9">
        <w:rPr>
          <w:rFonts w:hint="eastAsia"/>
        </w:rPr>
        <w:t>现有</w:t>
      </w:r>
      <w:proofErr w:type="gramEnd"/>
      <w:r w:rsidRPr="00B94DD9">
        <w:rPr>
          <w:rFonts w:hint="eastAsia"/>
        </w:rPr>
        <w:t>工程大气污染物分析</w:t>
      </w:r>
    </w:p>
    <w:p w14:paraId="56A4A63F" w14:textId="77777777" w:rsidR="003F631A" w:rsidRPr="00C938AD" w:rsidRDefault="003F631A" w:rsidP="003F631A">
      <w:pPr>
        <w:spacing w:line="480" w:lineRule="exact"/>
      </w:pPr>
      <w:r w:rsidRPr="00C938AD">
        <w:rPr>
          <w:rFonts w:hint="eastAsia"/>
        </w:rPr>
        <w:t>现有工程</w:t>
      </w:r>
      <w:r w:rsidRPr="00C938AD">
        <w:t>大气污染源包括</w:t>
      </w:r>
      <w:r w:rsidRPr="00C938AD">
        <w:rPr>
          <w:rFonts w:hint="eastAsia"/>
        </w:rPr>
        <w:t>露天开采（表土剥离</w:t>
      </w:r>
      <w:r w:rsidRPr="00C938AD">
        <w:t>、矿石</w:t>
      </w:r>
      <w:r w:rsidRPr="00C938AD">
        <w:rPr>
          <w:rFonts w:hint="eastAsia"/>
        </w:rPr>
        <w:t>铲装）产生</w:t>
      </w:r>
      <w:r w:rsidRPr="00C938AD">
        <w:t>粉尘、</w:t>
      </w:r>
      <w:r w:rsidRPr="00C938AD">
        <w:rPr>
          <w:rFonts w:hint="eastAsia"/>
        </w:rPr>
        <w:t>堆场</w:t>
      </w:r>
      <w:r w:rsidRPr="00C938AD">
        <w:t>扬尘、运输车辆产生的</w:t>
      </w:r>
      <w:r w:rsidRPr="00C938AD">
        <w:rPr>
          <w:rFonts w:hint="eastAsia"/>
        </w:rPr>
        <w:t>粉尘和燃油机械产生的尾气。</w:t>
      </w:r>
    </w:p>
    <w:p w14:paraId="00715807" w14:textId="77777777" w:rsidR="00ED497B" w:rsidRPr="00C938AD" w:rsidRDefault="003F631A" w:rsidP="00ED497B">
      <w:pPr>
        <w:spacing w:line="480" w:lineRule="exact"/>
      </w:pPr>
      <w:r w:rsidRPr="00C938AD">
        <w:t>（</w:t>
      </w:r>
      <w:r w:rsidRPr="00C938AD">
        <w:rPr>
          <w:rFonts w:hint="eastAsia"/>
        </w:rPr>
        <w:t>1</w:t>
      </w:r>
      <w:r w:rsidRPr="00C938AD">
        <w:t>）</w:t>
      </w:r>
      <w:r w:rsidR="00ED497B" w:rsidRPr="00C938AD">
        <w:t>矿石开采产生的粉尘</w:t>
      </w:r>
    </w:p>
    <w:p w14:paraId="24D461C4" w14:textId="5A4CDD13" w:rsidR="000E522C" w:rsidRPr="000E522C" w:rsidRDefault="000E522C" w:rsidP="000E522C">
      <w:pPr>
        <w:spacing w:line="480" w:lineRule="exact"/>
      </w:pPr>
      <w:r>
        <w:rPr>
          <w:rFonts w:hint="eastAsia"/>
        </w:rPr>
        <w:t>现有工程现已全部停产，产排污情况以理论计算作为现有工程评价和三本</w:t>
      </w:r>
      <w:proofErr w:type="gramStart"/>
      <w:r>
        <w:rPr>
          <w:rFonts w:hint="eastAsia"/>
        </w:rPr>
        <w:t>账</w:t>
      </w:r>
      <w:proofErr w:type="gramEnd"/>
      <w:r>
        <w:rPr>
          <w:rFonts w:hint="eastAsia"/>
        </w:rPr>
        <w:t>核算来源。评价根据《矿山企业污染防治与环境保护强制性标准执行手册》、《有色冶金工业废气治理》（国家环保局，</w:t>
      </w:r>
      <w:r>
        <w:rPr>
          <w:rFonts w:hint="eastAsia"/>
        </w:rPr>
        <w:t>1993</w:t>
      </w:r>
      <w:r>
        <w:rPr>
          <w:rFonts w:hint="eastAsia"/>
        </w:rPr>
        <w:t>）、《有色金属工业大气污染控制》（宁平、易红宏等，高等院校环境类系列教材，</w:t>
      </w:r>
      <w:r>
        <w:rPr>
          <w:rFonts w:hint="eastAsia"/>
        </w:rPr>
        <w:t>2007</w:t>
      </w:r>
      <w:r>
        <w:rPr>
          <w:rFonts w:hint="eastAsia"/>
        </w:rPr>
        <w:t>年）、《露天矿开采过程中粉尘污染控制》（包钢科技，</w:t>
      </w:r>
      <w:r>
        <w:rPr>
          <w:rFonts w:hint="eastAsia"/>
        </w:rPr>
        <w:t>2012</w:t>
      </w:r>
      <w:r>
        <w:rPr>
          <w:rFonts w:hint="eastAsia"/>
        </w:rPr>
        <w:t>年第</w:t>
      </w:r>
      <w:r>
        <w:rPr>
          <w:rFonts w:hint="eastAsia"/>
        </w:rPr>
        <w:t>5</w:t>
      </w:r>
      <w:r>
        <w:rPr>
          <w:rFonts w:hint="eastAsia"/>
        </w:rPr>
        <w:t>期第</w:t>
      </w:r>
      <w:r>
        <w:rPr>
          <w:rFonts w:hint="eastAsia"/>
        </w:rPr>
        <w:t>38</w:t>
      </w:r>
      <w:r>
        <w:rPr>
          <w:rFonts w:hint="eastAsia"/>
        </w:rPr>
        <w:t>卷中</w:t>
      </w:r>
      <w:r>
        <w:rPr>
          <w:rFonts w:hint="eastAsia"/>
        </w:rPr>
        <w:t>P80-82</w:t>
      </w:r>
      <w:r>
        <w:rPr>
          <w:rFonts w:hint="eastAsia"/>
        </w:rPr>
        <w:t>）等资料，本工程露天开采废气</w:t>
      </w:r>
      <w:proofErr w:type="gramStart"/>
      <w:r>
        <w:rPr>
          <w:rFonts w:hint="eastAsia"/>
        </w:rPr>
        <w:t>产排分析</w:t>
      </w:r>
      <w:proofErr w:type="gramEnd"/>
      <w:r>
        <w:rPr>
          <w:rFonts w:hint="eastAsia"/>
        </w:rPr>
        <w:t>情况见下表</w:t>
      </w:r>
      <w:r>
        <w:rPr>
          <w:rFonts w:hint="eastAsia"/>
        </w:rPr>
        <w:t>3.1-</w:t>
      </w:r>
      <w:r w:rsidR="00AA5145">
        <w:rPr>
          <w:rFonts w:hint="eastAsia"/>
        </w:rPr>
        <w:t>7</w:t>
      </w:r>
      <w:r>
        <w:rPr>
          <w:rFonts w:hint="eastAsia"/>
        </w:rPr>
        <w:t>。</w:t>
      </w:r>
    </w:p>
    <w:p w14:paraId="7A3E4CF6" w14:textId="6C096511" w:rsidR="000E522C" w:rsidRPr="000E522C" w:rsidRDefault="000E522C" w:rsidP="000E522C">
      <w:pPr>
        <w:tabs>
          <w:tab w:val="left" w:pos="3327"/>
        </w:tabs>
        <w:spacing w:before="1"/>
        <w:ind w:left="2286" w:right="204"/>
        <w:rPr>
          <w:rFonts w:ascii="黑体" w:eastAsia="黑体" w:hAnsi="黑体" w:cs="Times New Roman"/>
          <w:szCs w:val="24"/>
        </w:rPr>
      </w:pPr>
      <w:r w:rsidRPr="000E522C">
        <w:rPr>
          <w:rFonts w:ascii="黑体" w:eastAsia="黑体" w:hAnsi="黑体" w:cs="宋体"/>
          <w:szCs w:val="24"/>
        </w:rPr>
        <w:t>表</w:t>
      </w:r>
      <w:r w:rsidRPr="000E522C">
        <w:rPr>
          <w:rFonts w:ascii="黑体" w:eastAsia="黑体" w:hAnsi="黑体" w:cs="Times New Roman" w:hint="eastAsia"/>
          <w:szCs w:val="24"/>
        </w:rPr>
        <w:t>3.1-</w:t>
      </w:r>
      <w:r w:rsidR="00AA5145">
        <w:rPr>
          <w:rFonts w:ascii="黑体" w:eastAsia="黑体" w:hAnsi="黑体" w:cs="Times New Roman" w:hint="eastAsia"/>
          <w:szCs w:val="24"/>
        </w:rPr>
        <w:t>7</w:t>
      </w:r>
      <w:r w:rsidRPr="000E522C">
        <w:rPr>
          <w:rFonts w:ascii="黑体" w:eastAsia="黑体" w:hAnsi="黑体" w:cs="宋体"/>
          <w:szCs w:val="24"/>
        </w:rPr>
        <w:t>露天开采</w:t>
      </w:r>
      <w:proofErr w:type="gramStart"/>
      <w:r w:rsidRPr="000E522C">
        <w:rPr>
          <w:rFonts w:ascii="黑体" w:eastAsia="黑体" w:hAnsi="黑体" w:cs="宋体"/>
          <w:szCs w:val="24"/>
        </w:rPr>
        <w:t>废气产排情况</w:t>
      </w:r>
      <w:proofErr w:type="gramEnd"/>
      <w:r w:rsidRPr="000E522C">
        <w:rPr>
          <w:rFonts w:ascii="黑体" w:eastAsia="黑体" w:hAnsi="黑体" w:cs="宋体"/>
          <w:szCs w:val="24"/>
        </w:rPr>
        <w:t>估算表</w:t>
      </w:r>
    </w:p>
    <w:tbl>
      <w:tblPr>
        <w:tblStyle w:val="TableNormal8"/>
        <w:tblW w:w="9194" w:type="dxa"/>
        <w:tblInd w:w="104" w:type="dxa"/>
        <w:tblLayout w:type="fixed"/>
        <w:tblLook w:val="01E0" w:firstRow="1" w:lastRow="1" w:firstColumn="1" w:lastColumn="1" w:noHBand="0" w:noVBand="0"/>
      </w:tblPr>
      <w:tblGrid>
        <w:gridCol w:w="1692"/>
        <w:gridCol w:w="949"/>
        <w:gridCol w:w="1196"/>
        <w:gridCol w:w="2022"/>
        <w:gridCol w:w="1221"/>
        <w:gridCol w:w="2114"/>
      </w:tblGrid>
      <w:tr w:rsidR="000E522C" w:rsidRPr="000E522C" w14:paraId="5F5F9E1C" w14:textId="77777777" w:rsidTr="00AA5145">
        <w:trPr>
          <w:trHeight w:hRule="exact" w:val="372"/>
        </w:trPr>
        <w:tc>
          <w:tcPr>
            <w:tcW w:w="1692" w:type="dxa"/>
            <w:tcBorders>
              <w:top w:val="single" w:sz="6" w:space="0" w:color="000000"/>
              <w:left w:val="single" w:sz="6" w:space="0" w:color="000000"/>
              <w:bottom w:val="single" w:sz="6" w:space="0" w:color="000000"/>
              <w:right w:val="single" w:sz="6" w:space="0" w:color="000000"/>
            </w:tcBorders>
          </w:tcPr>
          <w:p w14:paraId="40C8FEAD" w14:textId="15766211" w:rsidR="000E522C" w:rsidRPr="00AA5145" w:rsidRDefault="000E522C" w:rsidP="00ED497B">
            <w:pPr>
              <w:spacing w:before="72" w:line="240" w:lineRule="auto"/>
              <w:ind w:left="107" w:firstLineChars="0" w:firstLine="0"/>
              <w:jc w:val="center"/>
              <w:rPr>
                <w:rFonts w:cs="Times New Roman"/>
                <w:kern w:val="0"/>
                <w:sz w:val="21"/>
                <w:szCs w:val="21"/>
              </w:rPr>
            </w:pPr>
            <w:proofErr w:type="spellStart"/>
            <w:r w:rsidRPr="000E522C">
              <w:rPr>
                <w:rFonts w:cs="Times New Roman"/>
                <w:kern w:val="0"/>
                <w:sz w:val="21"/>
                <w:szCs w:val="21"/>
              </w:rPr>
              <w:t>产污节点</w:t>
            </w:r>
            <w:proofErr w:type="spellEnd"/>
          </w:p>
        </w:tc>
        <w:tc>
          <w:tcPr>
            <w:tcW w:w="949" w:type="dxa"/>
            <w:tcBorders>
              <w:top w:val="single" w:sz="6" w:space="0" w:color="000000"/>
              <w:left w:val="single" w:sz="6" w:space="0" w:color="000000"/>
              <w:bottom w:val="single" w:sz="6" w:space="0" w:color="000000"/>
              <w:right w:val="single" w:sz="6" w:space="0" w:color="000000"/>
            </w:tcBorders>
            <w:vAlign w:val="center"/>
          </w:tcPr>
          <w:p w14:paraId="6A4B1F8C" w14:textId="77777777" w:rsidR="000E522C" w:rsidRPr="000E522C" w:rsidRDefault="000E522C" w:rsidP="00ED497B">
            <w:pPr>
              <w:spacing w:before="72" w:line="240" w:lineRule="auto"/>
              <w:ind w:left="167" w:firstLineChars="0" w:firstLine="0"/>
              <w:jc w:val="center"/>
              <w:rPr>
                <w:rFonts w:cs="Times New Roman"/>
                <w:kern w:val="0"/>
                <w:sz w:val="21"/>
                <w:szCs w:val="21"/>
              </w:rPr>
            </w:pPr>
            <w:proofErr w:type="spellStart"/>
            <w:r w:rsidRPr="000E522C">
              <w:rPr>
                <w:rFonts w:cs="Times New Roman"/>
                <w:kern w:val="0"/>
                <w:sz w:val="21"/>
                <w:szCs w:val="21"/>
              </w:rPr>
              <w:t>污染物</w:t>
            </w:r>
            <w:proofErr w:type="spellEnd"/>
          </w:p>
        </w:tc>
        <w:tc>
          <w:tcPr>
            <w:tcW w:w="1195" w:type="dxa"/>
            <w:tcBorders>
              <w:top w:val="single" w:sz="6" w:space="0" w:color="000000"/>
              <w:left w:val="single" w:sz="6" w:space="0" w:color="000000"/>
              <w:bottom w:val="single" w:sz="6" w:space="0" w:color="000000"/>
              <w:right w:val="single" w:sz="6" w:space="0" w:color="000000"/>
            </w:tcBorders>
          </w:tcPr>
          <w:p w14:paraId="5F0634FE" w14:textId="77777777" w:rsidR="000E522C" w:rsidRPr="000E522C" w:rsidRDefault="000E522C" w:rsidP="00ED497B">
            <w:pPr>
              <w:spacing w:before="72" w:line="240" w:lineRule="auto"/>
              <w:ind w:left="281" w:firstLineChars="0" w:firstLine="0"/>
              <w:jc w:val="center"/>
              <w:rPr>
                <w:rFonts w:cs="Times New Roman"/>
                <w:kern w:val="0"/>
                <w:sz w:val="21"/>
                <w:szCs w:val="21"/>
              </w:rPr>
            </w:pPr>
            <w:proofErr w:type="spellStart"/>
            <w:r w:rsidRPr="000E522C">
              <w:rPr>
                <w:rFonts w:cs="Times New Roman"/>
                <w:kern w:val="0"/>
                <w:sz w:val="21"/>
                <w:szCs w:val="21"/>
              </w:rPr>
              <w:t>产污系数</w:t>
            </w:r>
            <w:proofErr w:type="spellEnd"/>
          </w:p>
        </w:tc>
        <w:tc>
          <w:tcPr>
            <w:tcW w:w="2022" w:type="dxa"/>
            <w:tcBorders>
              <w:top w:val="single" w:sz="6" w:space="0" w:color="000000"/>
              <w:left w:val="single" w:sz="6" w:space="0" w:color="000000"/>
              <w:bottom w:val="single" w:sz="6" w:space="0" w:color="000000"/>
              <w:right w:val="single" w:sz="6" w:space="0" w:color="000000"/>
            </w:tcBorders>
          </w:tcPr>
          <w:p w14:paraId="0C2BED23" w14:textId="77777777" w:rsidR="000E522C" w:rsidRPr="000E522C" w:rsidRDefault="000E522C" w:rsidP="00ED497B">
            <w:pPr>
              <w:spacing w:before="72" w:line="240" w:lineRule="auto"/>
              <w:ind w:firstLineChars="0" w:firstLine="0"/>
              <w:jc w:val="center"/>
              <w:rPr>
                <w:rFonts w:cs="Times New Roman"/>
                <w:kern w:val="0"/>
                <w:sz w:val="21"/>
                <w:szCs w:val="21"/>
              </w:rPr>
            </w:pPr>
            <w:proofErr w:type="spellStart"/>
            <w:r w:rsidRPr="000E522C">
              <w:rPr>
                <w:rFonts w:cs="Times New Roman"/>
                <w:kern w:val="0"/>
                <w:sz w:val="21"/>
                <w:szCs w:val="21"/>
              </w:rPr>
              <w:t>产生量</w:t>
            </w:r>
            <w:proofErr w:type="spellEnd"/>
          </w:p>
        </w:tc>
        <w:tc>
          <w:tcPr>
            <w:tcW w:w="1221" w:type="dxa"/>
            <w:tcBorders>
              <w:top w:val="single" w:sz="6" w:space="0" w:color="000000"/>
              <w:left w:val="single" w:sz="6" w:space="0" w:color="000000"/>
              <w:bottom w:val="single" w:sz="6" w:space="0" w:color="000000"/>
              <w:right w:val="single" w:sz="6" w:space="0" w:color="000000"/>
            </w:tcBorders>
          </w:tcPr>
          <w:p w14:paraId="0C350AAB" w14:textId="77777777" w:rsidR="000E522C" w:rsidRPr="000E522C" w:rsidRDefault="000E522C" w:rsidP="00ED497B">
            <w:pPr>
              <w:adjustRightInd w:val="0"/>
              <w:snapToGrid w:val="0"/>
              <w:spacing w:line="240" w:lineRule="auto"/>
              <w:ind w:firstLineChars="0" w:firstLine="0"/>
              <w:jc w:val="center"/>
              <w:rPr>
                <w:rFonts w:cs="Times New Roman"/>
                <w:kern w:val="0"/>
                <w:sz w:val="21"/>
                <w:szCs w:val="21"/>
              </w:rPr>
            </w:pPr>
            <w:proofErr w:type="spellStart"/>
            <w:r w:rsidRPr="000E522C">
              <w:rPr>
                <w:rFonts w:cs="Times New Roman"/>
                <w:kern w:val="0"/>
                <w:sz w:val="21"/>
                <w:szCs w:val="21"/>
              </w:rPr>
              <w:t>治理措施</w:t>
            </w:r>
            <w:proofErr w:type="spellEnd"/>
          </w:p>
        </w:tc>
        <w:tc>
          <w:tcPr>
            <w:tcW w:w="2114" w:type="dxa"/>
            <w:tcBorders>
              <w:top w:val="single" w:sz="6" w:space="0" w:color="000000"/>
              <w:left w:val="single" w:sz="6" w:space="0" w:color="000000"/>
              <w:bottom w:val="single" w:sz="6" w:space="0" w:color="000000"/>
              <w:right w:val="single" w:sz="6" w:space="0" w:color="000000"/>
            </w:tcBorders>
          </w:tcPr>
          <w:p w14:paraId="69E70960" w14:textId="77777777" w:rsidR="000E522C" w:rsidRPr="000E522C" w:rsidRDefault="000E522C" w:rsidP="000E522C">
            <w:pPr>
              <w:spacing w:before="72" w:line="240" w:lineRule="auto"/>
              <w:ind w:left="292" w:firstLineChars="0" w:firstLine="0"/>
              <w:rPr>
                <w:rFonts w:cs="Times New Roman"/>
                <w:kern w:val="0"/>
                <w:sz w:val="21"/>
                <w:szCs w:val="21"/>
              </w:rPr>
            </w:pPr>
            <w:proofErr w:type="spellStart"/>
            <w:r w:rsidRPr="000E522C">
              <w:rPr>
                <w:rFonts w:cs="Times New Roman"/>
                <w:kern w:val="0"/>
                <w:sz w:val="21"/>
                <w:szCs w:val="21"/>
              </w:rPr>
              <w:t>排放量</w:t>
            </w:r>
            <w:proofErr w:type="spellEnd"/>
          </w:p>
        </w:tc>
      </w:tr>
      <w:tr w:rsidR="000E522C" w:rsidRPr="000E522C" w14:paraId="33132B6A" w14:textId="77777777" w:rsidTr="00AA5145">
        <w:trPr>
          <w:trHeight w:hRule="exact" w:val="548"/>
        </w:trPr>
        <w:tc>
          <w:tcPr>
            <w:tcW w:w="1692" w:type="dxa"/>
            <w:tcBorders>
              <w:top w:val="single" w:sz="6" w:space="0" w:color="000000"/>
              <w:left w:val="single" w:sz="6" w:space="0" w:color="000000"/>
              <w:bottom w:val="single" w:sz="6" w:space="0" w:color="000000"/>
              <w:right w:val="single" w:sz="6" w:space="0" w:color="000000"/>
            </w:tcBorders>
            <w:vAlign w:val="center"/>
          </w:tcPr>
          <w:p w14:paraId="7D556957" w14:textId="6EBE4FBA" w:rsidR="000E522C" w:rsidRPr="00AA5145" w:rsidRDefault="000E522C" w:rsidP="00ED497B">
            <w:pPr>
              <w:spacing w:before="13" w:line="240" w:lineRule="auto"/>
              <w:ind w:firstLineChars="0" w:firstLine="0"/>
              <w:jc w:val="center"/>
              <w:rPr>
                <w:rFonts w:cs="Times New Roman"/>
                <w:kern w:val="0"/>
                <w:sz w:val="21"/>
                <w:szCs w:val="21"/>
                <w:lang w:eastAsia="zh-CN"/>
              </w:rPr>
            </w:pPr>
            <w:bookmarkStart w:id="75" w:name="_Hlk33193462"/>
            <w:r w:rsidRPr="00AA5145">
              <w:rPr>
                <w:rFonts w:cs="Times New Roman"/>
                <w:kern w:val="0"/>
                <w:sz w:val="21"/>
                <w:szCs w:val="21"/>
                <w:lang w:eastAsia="zh-CN"/>
              </w:rPr>
              <w:t>驻马店市</w:t>
            </w:r>
            <w:proofErr w:type="gramStart"/>
            <w:r w:rsidRPr="00AA5145">
              <w:rPr>
                <w:rFonts w:cs="Times New Roman"/>
                <w:kern w:val="0"/>
                <w:sz w:val="21"/>
                <w:szCs w:val="21"/>
                <w:lang w:eastAsia="zh-CN"/>
              </w:rPr>
              <w:t>驿</w:t>
            </w:r>
            <w:proofErr w:type="gramEnd"/>
            <w:r w:rsidRPr="00AA5145">
              <w:rPr>
                <w:rFonts w:cs="Times New Roman"/>
                <w:kern w:val="0"/>
                <w:sz w:val="21"/>
                <w:szCs w:val="21"/>
                <w:lang w:eastAsia="zh-CN"/>
              </w:rPr>
              <w:t>城区丰鑫矿业有限公司</w:t>
            </w:r>
            <w:bookmarkEnd w:id="75"/>
          </w:p>
        </w:tc>
        <w:tc>
          <w:tcPr>
            <w:tcW w:w="949" w:type="dxa"/>
            <w:tcBorders>
              <w:top w:val="single" w:sz="6" w:space="0" w:color="000000"/>
              <w:left w:val="single" w:sz="6" w:space="0" w:color="000000"/>
              <w:bottom w:val="single" w:sz="6" w:space="0" w:color="000000"/>
              <w:right w:val="single" w:sz="6" w:space="0" w:color="000000"/>
            </w:tcBorders>
            <w:vAlign w:val="center"/>
          </w:tcPr>
          <w:p w14:paraId="0556DDBC" w14:textId="77777777" w:rsidR="000E522C" w:rsidRPr="000E522C" w:rsidRDefault="000E522C" w:rsidP="00ED497B">
            <w:pPr>
              <w:spacing w:line="240" w:lineRule="auto"/>
              <w:ind w:left="270" w:firstLineChars="0" w:firstLine="0"/>
              <w:jc w:val="center"/>
              <w:rPr>
                <w:rFonts w:cs="Times New Roman"/>
                <w:kern w:val="0"/>
                <w:sz w:val="21"/>
                <w:szCs w:val="21"/>
              </w:rPr>
            </w:pPr>
            <w:proofErr w:type="spellStart"/>
            <w:r w:rsidRPr="000E522C">
              <w:rPr>
                <w:rFonts w:cs="Times New Roman"/>
                <w:kern w:val="0"/>
                <w:sz w:val="21"/>
                <w:szCs w:val="21"/>
              </w:rPr>
              <w:t>粉尘</w:t>
            </w:r>
            <w:proofErr w:type="spellEnd"/>
          </w:p>
        </w:tc>
        <w:tc>
          <w:tcPr>
            <w:tcW w:w="1195" w:type="dxa"/>
            <w:tcBorders>
              <w:top w:val="single" w:sz="6" w:space="0" w:color="000000"/>
              <w:left w:val="single" w:sz="6" w:space="0" w:color="000000"/>
              <w:bottom w:val="single" w:sz="6" w:space="0" w:color="000000"/>
              <w:right w:val="single" w:sz="6" w:space="0" w:color="000000"/>
            </w:tcBorders>
            <w:vAlign w:val="center"/>
          </w:tcPr>
          <w:p w14:paraId="3FFB5FC8" w14:textId="07BDEA22" w:rsidR="000E522C" w:rsidRPr="000E522C" w:rsidRDefault="000E522C" w:rsidP="00ED497B">
            <w:pPr>
              <w:spacing w:line="240" w:lineRule="auto"/>
              <w:ind w:left="103" w:firstLineChars="0" w:firstLine="0"/>
              <w:jc w:val="center"/>
              <w:rPr>
                <w:rFonts w:cs="Times New Roman"/>
                <w:kern w:val="0"/>
                <w:sz w:val="21"/>
                <w:szCs w:val="21"/>
              </w:rPr>
            </w:pPr>
            <w:r w:rsidRPr="000E522C">
              <w:rPr>
                <w:rFonts w:cs="Times New Roman"/>
                <w:kern w:val="0"/>
                <w:sz w:val="21"/>
                <w:szCs w:val="21"/>
              </w:rPr>
              <w:t>2g/</w:t>
            </w:r>
            <w:proofErr w:type="spellStart"/>
            <w:r w:rsidRPr="000E522C">
              <w:rPr>
                <w:rFonts w:cs="Times New Roman"/>
                <w:kern w:val="0"/>
                <w:sz w:val="21"/>
                <w:szCs w:val="21"/>
              </w:rPr>
              <w:t>t</w:t>
            </w:r>
            <w:r w:rsidRPr="000E522C">
              <w:rPr>
                <w:rFonts w:cs="Times New Roman"/>
                <w:kern w:val="0"/>
                <w:sz w:val="21"/>
                <w:szCs w:val="21"/>
              </w:rPr>
              <w:t>矿</w:t>
            </w:r>
            <w:proofErr w:type="spellEnd"/>
          </w:p>
        </w:tc>
        <w:tc>
          <w:tcPr>
            <w:tcW w:w="2022" w:type="dxa"/>
            <w:tcBorders>
              <w:top w:val="single" w:sz="6" w:space="0" w:color="000000"/>
              <w:left w:val="single" w:sz="6" w:space="0" w:color="000000"/>
              <w:bottom w:val="single" w:sz="6" w:space="0" w:color="000000"/>
              <w:right w:val="single" w:sz="6" w:space="0" w:color="000000"/>
            </w:tcBorders>
            <w:vAlign w:val="center"/>
          </w:tcPr>
          <w:p w14:paraId="0840B077" w14:textId="29F490F3" w:rsidR="000E522C" w:rsidRPr="000E522C" w:rsidRDefault="000E522C" w:rsidP="00ED497B">
            <w:pPr>
              <w:spacing w:line="240" w:lineRule="auto"/>
              <w:ind w:left="143" w:firstLineChars="0" w:firstLine="0"/>
              <w:jc w:val="center"/>
              <w:rPr>
                <w:rFonts w:cs="Times New Roman"/>
                <w:kern w:val="0"/>
                <w:sz w:val="21"/>
                <w:szCs w:val="21"/>
              </w:rPr>
            </w:pPr>
            <w:r w:rsidRPr="00AA5145">
              <w:rPr>
                <w:rFonts w:cs="Times New Roman"/>
                <w:kern w:val="0"/>
                <w:sz w:val="21"/>
                <w:szCs w:val="21"/>
                <w:lang w:eastAsia="zh-CN"/>
              </w:rPr>
              <w:t>0.4t/a</w:t>
            </w:r>
            <w:r w:rsidRPr="00AA5145">
              <w:rPr>
                <w:rFonts w:cs="Times New Roman"/>
                <w:kern w:val="0"/>
                <w:sz w:val="21"/>
                <w:szCs w:val="21"/>
                <w:lang w:eastAsia="zh-CN"/>
              </w:rPr>
              <w:t>，</w:t>
            </w:r>
            <w:r w:rsidRPr="00AA5145">
              <w:rPr>
                <w:rFonts w:cs="Times New Roman"/>
                <w:kern w:val="0"/>
                <w:sz w:val="21"/>
                <w:szCs w:val="21"/>
                <w:lang w:eastAsia="zh-CN"/>
              </w:rPr>
              <w:t>1.33kg/d</w:t>
            </w:r>
          </w:p>
        </w:tc>
        <w:tc>
          <w:tcPr>
            <w:tcW w:w="1221" w:type="dxa"/>
            <w:tcBorders>
              <w:top w:val="single" w:sz="6" w:space="0" w:color="000000"/>
              <w:left w:val="single" w:sz="6" w:space="0" w:color="000000"/>
              <w:bottom w:val="single" w:sz="6" w:space="0" w:color="000000"/>
              <w:right w:val="single" w:sz="6" w:space="0" w:color="000000"/>
            </w:tcBorders>
            <w:vAlign w:val="center"/>
          </w:tcPr>
          <w:p w14:paraId="0C6E2F4E" w14:textId="77777777" w:rsidR="000E522C" w:rsidRPr="000E522C" w:rsidRDefault="000E522C" w:rsidP="00ED497B">
            <w:pPr>
              <w:adjustRightInd w:val="0"/>
              <w:snapToGrid w:val="0"/>
              <w:spacing w:line="240" w:lineRule="auto"/>
              <w:ind w:firstLineChars="0" w:firstLine="0"/>
              <w:jc w:val="center"/>
              <w:rPr>
                <w:rFonts w:cs="Times New Roman"/>
                <w:kern w:val="0"/>
                <w:sz w:val="21"/>
                <w:szCs w:val="21"/>
              </w:rPr>
            </w:pPr>
            <w:proofErr w:type="spellStart"/>
            <w:r w:rsidRPr="000E522C">
              <w:rPr>
                <w:rFonts w:cs="Times New Roman"/>
                <w:kern w:val="0"/>
                <w:sz w:val="21"/>
                <w:szCs w:val="21"/>
              </w:rPr>
              <w:t>湿式凿岩</w:t>
            </w:r>
            <w:proofErr w:type="spellEnd"/>
          </w:p>
        </w:tc>
        <w:tc>
          <w:tcPr>
            <w:tcW w:w="2114" w:type="dxa"/>
            <w:tcBorders>
              <w:top w:val="single" w:sz="6" w:space="0" w:color="000000"/>
              <w:left w:val="single" w:sz="6" w:space="0" w:color="000000"/>
              <w:bottom w:val="single" w:sz="6" w:space="0" w:color="000000"/>
              <w:right w:val="single" w:sz="6" w:space="0" w:color="000000"/>
            </w:tcBorders>
            <w:vAlign w:val="center"/>
          </w:tcPr>
          <w:p w14:paraId="766F9E27" w14:textId="66543B1D" w:rsidR="000E522C" w:rsidRPr="000E522C" w:rsidRDefault="00ED497B" w:rsidP="000E522C">
            <w:pPr>
              <w:spacing w:line="240" w:lineRule="auto"/>
              <w:ind w:right="1" w:firstLineChars="0" w:firstLine="0"/>
              <w:jc w:val="center"/>
              <w:rPr>
                <w:rFonts w:cs="Times New Roman"/>
                <w:kern w:val="0"/>
                <w:sz w:val="21"/>
                <w:szCs w:val="21"/>
              </w:rPr>
            </w:pPr>
            <w:r w:rsidRPr="00AA5145">
              <w:rPr>
                <w:rFonts w:cs="Times New Roman"/>
                <w:kern w:val="0"/>
                <w:sz w:val="21"/>
                <w:szCs w:val="21"/>
                <w:lang w:eastAsia="zh-CN"/>
              </w:rPr>
              <w:t>0.08t/a</w:t>
            </w:r>
            <w:r w:rsidRPr="00AA5145">
              <w:rPr>
                <w:rFonts w:cs="Times New Roman"/>
                <w:kern w:val="0"/>
                <w:sz w:val="21"/>
                <w:szCs w:val="21"/>
                <w:lang w:eastAsia="zh-CN"/>
              </w:rPr>
              <w:t>，</w:t>
            </w:r>
            <w:r w:rsidRPr="00AA5145">
              <w:rPr>
                <w:rFonts w:cs="Times New Roman"/>
                <w:kern w:val="0"/>
                <w:sz w:val="21"/>
                <w:szCs w:val="21"/>
                <w:lang w:eastAsia="zh-CN"/>
              </w:rPr>
              <w:t>0.266kg/d</w:t>
            </w:r>
          </w:p>
        </w:tc>
      </w:tr>
      <w:tr w:rsidR="00ED497B" w:rsidRPr="000E522C" w14:paraId="1A695FDD" w14:textId="77777777" w:rsidTr="00AA5145">
        <w:trPr>
          <w:trHeight w:hRule="exact" w:val="736"/>
        </w:trPr>
        <w:tc>
          <w:tcPr>
            <w:tcW w:w="1692" w:type="dxa"/>
            <w:tcBorders>
              <w:top w:val="single" w:sz="6" w:space="0" w:color="000000"/>
              <w:left w:val="single" w:sz="6" w:space="0" w:color="000000"/>
              <w:bottom w:val="single" w:sz="6" w:space="0" w:color="000000"/>
              <w:right w:val="single" w:sz="6" w:space="0" w:color="000000"/>
            </w:tcBorders>
            <w:vAlign w:val="center"/>
          </w:tcPr>
          <w:p w14:paraId="61062688" w14:textId="498DDC34" w:rsidR="00ED497B" w:rsidRPr="00AA5145" w:rsidRDefault="00ED497B" w:rsidP="00ED497B">
            <w:pPr>
              <w:spacing w:before="13" w:line="240" w:lineRule="auto"/>
              <w:ind w:firstLineChars="0" w:firstLine="0"/>
              <w:jc w:val="center"/>
              <w:rPr>
                <w:rFonts w:cs="Times New Roman"/>
                <w:kern w:val="0"/>
                <w:sz w:val="21"/>
                <w:szCs w:val="21"/>
                <w:lang w:eastAsia="zh-CN"/>
              </w:rPr>
            </w:pPr>
            <w:r w:rsidRPr="00AA5145">
              <w:rPr>
                <w:rFonts w:cs="Times New Roman"/>
                <w:kern w:val="0"/>
                <w:sz w:val="21"/>
                <w:szCs w:val="21"/>
                <w:lang w:eastAsia="zh-CN"/>
              </w:rPr>
              <w:t>驻马店市</w:t>
            </w:r>
            <w:proofErr w:type="gramStart"/>
            <w:r w:rsidRPr="00AA5145">
              <w:rPr>
                <w:rFonts w:cs="Times New Roman"/>
                <w:kern w:val="0"/>
                <w:sz w:val="21"/>
                <w:szCs w:val="21"/>
                <w:lang w:eastAsia="zh-CN"/>
              </w:rPr>
              <w:t>驿</w:t>
            </w:r>
            <w:proofErr w:type="gramEnd"/>
            <w:r w:rsidRPr="00AA5145">
              <w:rPr>
                <w:rFonts w:cs="Times New Roman"/>
                <w:kern w:val="0"/>
                <w:sz w:val="21"/>
                <w:szCs w:val="21"/>
                <w:lang w:eastAsia="zh-CN"/>
              </w:rPr>
              <w:t>城区宏运石料厂</w:t>
            </w:r>
          </w:p>
        </w:tc>
        <w:tc>
          <w:tcPr>
            <w:tcW w:w="949" w:type="dxa"/>
            <w:tcBorders>
              <w:top w:val="single" w:sz="6" w:space="0" w:color="000000"/>
              <w:left w:val="single" w:sz="6" w:space="0" w:color="000000"/>
              <w:bottom w:val="single" w:sz="6" w:space="0" w:color="000000"/>
              <w:right w:val="single" w:sz="6" w:space="0" w:color="000000"/>
            </w:tcBorders>
            <w:vAlign w:val="center"/>
          </w:tcPr>
          <w:p w14:paraId="76D5272B" w14:textId="17B076D4" w:rsidR="00ED497B" w:rsidRPr="00AA5145" w:rsidRDefault="00ED497B" w:rsidP="00ED497B">
            <w:pPr>
              <w:spacing w:before="7" w:line="240" w:lineRule="auto"/>
              <w:ind w:firstLineChars="0" w:firstLine="0"/>
              <w:jc w:val="center"/>
              <w:rPr>
                <w:rFonts w:cs="Times New Roman"/>
                <w:kern w:val="0"/>
                <w:sz w:val="21"/>
                <w:szCs w:val="21"/>
                <w:lang w:eastAsia="zh-CN"/>
              </w:rPr>
            </w:pPr>
            <w:proofErr w:type="spellStart"/>
            <w:r w:rsidRPr="000E522C">
              <w:rPr>
                <w:rFonts w:cs="Times New Roman"/>
                <w:kern w:val="0"/>
                <w:sz w:val="21"/>
                <w:szCs w:val="21"/>
              </w:rPr>
              <w:t>粉尘</w:t>
            </w:r>
            <w:proofErr w:type="spellEnd"/>
          </w:p>
        </w:tc>
        <w:tc>
          <w:tcPr>
            <w:tcW w:w="1195" w:type="dxa"/>
            <w:tcBorders>
              <w:top w:val="single" w:sz="6" w:space="0" w:color="000000"/>
              <w:left w:val="single" w:sz="6" w:space="0" w:color="000000"/>
              <w:bottom w:val="single" w:sz="6" w:space="0" w:color="000000"/>
              <w:right w:val="single" w:sz="6" w:space="0" w:color="000000"/>
            </w:tcBorders>
            <w:vAlign w:val="center"/>
          </w:tcPr>
          <w:p w14:paraId="6A4C9002" w14:textId="1BCBC37D" w:rsidR="00ED497B" w:rsidRPr="00AA5145" w:rsidRDefault="00ED497B" w:rsidP="00ED497B">
            <w:pPr>
              <w:spacing w:before="7" w:line="240" w:lineRule="auto"/>
              <w:ind w:firstLineChars="0" w:firstLine="0"/>
              <w:jc w:val="center"/>
              <w:rPr>
                <w:rFonts w:cs="Times New Roman"/>
                <w:kern w:val="0"/>
                <w:sz w:val="21"/>
                <w:szCs w:val="21"/>
                <w:lang w:eastAsia="zh-CN"/>
              </w:rPr>
            </w:pPr>
            <w:r w:rsidRPr="000E522C">
              <w:rPr>
                <w:rFonts w:cs="Times New Roman"/>
                <w:kern w:val="0"/>
                <w:sz w:val="21"/>
                <w:szCs w:val="21"/>
              </w:rPr>
              <w:t>2g/</w:t>
            </w:r>
            <w:proofErr w:type="spellStart"/>
            <w:r w:rsidRPr="000E522C">
              <w:rPr>
                <w:rFonts w:cs="Times New Roman"/>
                <w:kern w:val="0"/>
                <w:sz w:val="21"/>
                <w:szCs w:val="21"/>
              </w:rPr>
              <w:t>t</w:t>
            </w:r>
            <w:r w:rsidRPr="000E522C">
              <w:rPr>
                <w:rFonts w:cs="Times New Roman"/>
                <w:kern w:val="0"/>
                <w:sz w:val="21"/>
                <w:szCs w:val="21"/>
              </w:rPr>
              <w:t>矿</w:t>
            </w:r>
            <w:proofErr w:type="spellEnd"/>
          </w:p>
        </w:tc>
        <w:tc>
          <w:tcPr>
            <w:tcW w:w="2022" w:type="dxa"/>
            <w:tcBorders>
              <w:top w:val="single" w:sz="6" w:space="0" w:color="000000"/>
              <w:left w:val="single" w:sz="6" w:space="0" w:color="000000"/>
              <w:bottom w:val="single" w:sz="6" w:space="0" w:color="000000"/>
              <w:right w:val="single" w:sz="6" w:space="0" w:color="000000"/>
            </w:tcBorders>
            <w:vAlign w:val="center"/>
          </w:tcPr>
          <w:p w14:paraId="163D9271" w14:textId="7599D92F" w:rsidR="00ED497B" w:rsidRPr="00AA5145" w:rsidRDefault="00ED497B" w:rsidP="00ED497B">
            <w:pPr>
              <w:spacing w:before="7" w:line="240" w:lineRule="auto"/>
              <w:ind w:firstLineChars="0" w:firstLine="0"/>
              <w:jc w:val="center"/>
              <w:rPr>
                <w:rFonts w:cs="Times New Roman"/>
                <w:kern w:val="0"/>
                <w:sz w:val="21"/>
                <w:szCs w:val="21"/>
                <w:lang w:eastAsia="zh-CN"/>
              </w:rPr>
            </w:pPr>
            <w:r w:rsidRPr="00AA5145">
              <w:rPr>
                <w:rFonts w:cs="Times New Roman"/>
                <w:kern w:val="0"/>
                <w:sz w:val="21"/>
                <w:szCs w:val="21"/>
                <w:lang w:eastAsia="zh-CN"/>
              </w:rPr>
              <w:t>0.2t/a</w:t>
            </w:r>
            <w:r w:rsidRPr="00AA5145">
              <w:rPr>
                <w:rFonts w:cs="Times New Roman"/>
                <w:kern w:val="0"/>
                <w:sz w:val="21"/>
                <w:szCs w:val="21"/>
                <w:lang w:eastAsia="zh-CN"/>
              </w:rPr>
              <w:t>，</w:t>
            </w:r>
            <w:r w:rsidRPr="00AA5145">
              <w:rPr>
                <w:rFonts w:cs="Times New Roman"/>
                <w:kern w:val="0"/>
                <w:sz w:val="21"/>
                <w:szCs w:val="21"/>
                <w:lang w:eastAsia="zh-CN"/>
              </w:rPr>
              <w:t>0.67kg/d</w:t>
            </w:r>
          </w:p>
        </w:tc>
        <w:tc>
          <w:tcPr>
            <w:tcW w:w="1221" w:type="dxa"/>
            <w:tcBorders>
              <w:top w:val="single" w:sz="6" w:space="0" w:color="000000"/>
              <w:left w:val="single" w:sz="6" w:space="0" w:color="000000"/>
              <w:bottom w:val="single" w:sz="6" w:space="0" w:color="000000"/>
              <w:right w:val="single" w:sz="6" w:space="0" w:color="000000"/>
            </w:tcBorders>
            <w:vAlign w:val="center"/>
          </w:tcPr>
          <w:p w14:paraId="5327BA3D" w14:textId="51DB3C37" w:rsidR="00ED497B" w:rsidRPr="00AA5145" w:rsidRDefault="00ED497B" w:rsidP="00ED497B">
            <w:pPr>
              <w:adjustRightInd w:val="0"/>
              <w:snapToGrid w:val="0"/>
              <w:spacing w:line="240" w:lineRule="auto"/>
              <w:ind w:firstLineChars="0" w:firstLine="0"/>
              <w:jc w:val="center"/>
              <w:rPr>
                <w:rFonts w:cs="Times New Roman"/>
                <w:kern w:val="0"/>
                <w:sz w:val="21"/>
                <w:szCs w:val="21"/>
                <w:lang w:eastAsia="zh-CN"/>
              </w:rPr>
            </w:pPr>
            <w:proofErr w:type="spellStart"/>
            <w:r w:rsidRPr="000E522C">
              <w:rPr>
                <w:rFonts w:cs="Times New Roman"/>
                <w:kern w:val="0"/>
                <w:sz w:val="21"/>
                <w:szCs w:val="21"/>
              </w:rPr>
              <w:t>湿式凿岩</w:t>
            </w:r>
            <w:proofErr w:type="spellEnd"/>
          </w:p>
        </w:tc>
        <w:tc>
          <w:tcPr>
            <w:tcW w:w="2114" w:type="dxa"/>
            <w:tcBorders>
              <w:top w:val="single" w:sz="6" w:space="0" w:color="000000"/>
              <w:left w:val="single" w:sz="6" w:space="0" w:color="000000"/>
              <w:bottom w:val="single" w:sz="6" w:space="0" w:color="000000"/>
              <w:right w:val="single" w:sz="6" w:space="0" w:color="000000"/>
            </w:tcBorders>
            <w:vAlign w:val="center"/>
          </w:tcPr>
          <w:p w14:paraId="3620910D" w14:textId="3EEB5CCF" w:rsidR="00ED497B" w:rsidRPr="00AA5145" w:rsidRDefault="00ED497B" w:rsidP="00ED497B">
            <w:pPr>
              <w:spacing w:before="119" w:line="240" w:lineRule="auto"/>
              <w:ind w:firstLineChars="0" w:firstLine="0"/>
              <w:jc w:val="center"/>
              <w:rPr>
                <w:rFonts w:cs="Times New Roman"/>
                <w:kern w:val="0"/>
                <w:sz w:val="21"/>
                <w:szCs w:val="21"/>
                <w:lang w:eastAsia="zh-CN"/>
              </w:rPr>
            </w:pPr>
            <w:r w:rsidRPr="00AA5145">
              <w:rPr>
                <w:rFonts w:cs="Times New Roman"/>
                <w:kern w:val="0"/>
                <w:sz w:val="21"/>
                <w:szCs w:val="21"/>
                <w:lang w:eastAsia="zh-CN"/>
              </w:rPr>
              <w:t>0.04t/a</w:t>
            </w:r>
            <w:r w:rsidRPr="00AA5145">
              <w:rPr>
                <w:rFonts w:cs="Times New Roman"/>
                <w:kern w:val="0"/>
                <w:sz w:val="21"/>
                <w:szCs w:val="21"/>
                <w:lang w:eastAsia="zh-CN"/>
              </w:rPr>
              <w:t>，</w:t>
            </w:r>
            <w:r w:rsidRPr="00AA5145">
              <w:rPr>
                <w:rFonts w:cs="Times New Roman"/>
                <w:kern w:val="0"/>
                <w:sz w:val="21"/>
                <w:szCs w:val="21"/>
                <w:lang w:eastAsia="zh-CN"/>
              </w:rPr>
              <w:t>0.133kg/d</w:t>
            </w:r>
          </w:p>
        </w:tc>
      </w:tr>
      <w:tr w:rsidR="00D85880" w:rsidRPr="000E522C" w14:paraId="12641525" w14:textId="77777777" w:rsidTr="00AA5145">
        <w:trPr>
          <w:trHeight w:hRule="exact" w:val="736"/>
        </w:trPr>
        <w:tc>
          <w:tcPr>
            <w:tcW w:w="3837" w:type="dxa"/>
            <w:gridSpan w:val="3"/>
            <w:tcBorders>
              <w:top w:val="single" w:sz="6" w:space="0" w:color="000000"/>
              <w:left w:val="single" w:sz="6" w:space="0" w:color="000000"/>
              <w:bottom w:val="single" w:sz="6" w:space="0" w:color="000000"/>
              <w:right w:val="single" w:sz="6" w:space="0" w:color="000000"/>
            </w:tcBorders>
            <w:vAlign w:val="center"/>
          </w:tcPr>
          <w:p w14:paraId="564657AA" w14:textId="7B0CD37D" w:rsidR="00D85880" w:rsidRPr="00AA5145" w:rsidRDefault="00D85880" w:rsidP="00ED497B">
            <w:pPr>
              <w:spacing w:before="7" w:line="240" w:lineRule="auto"/>
              <w:ind w:firstLineChars="0" w:firstLine="0"/>
              <w:jc w:val="center"/>
              <w:rPr>
                <w:rFonts w:cs="Times New Roman"/>
                <w:kern w:val="0"/>
                <w:sz w:val="21"/>
                <w:szCs w:val="21"/>
              </w:rPr>
            </w:pPr>
            <w:r w:rsidRPr="00AA5145">
              <w:rPr>
                <w:rFonts w:cs="Times New Roman"/>
                <w:kern w:val="0"/>
                <w:sz w:val="21"/>
                <w:szCs w:val="21"/>
                <w:lang w:eastAsia="zh-CN"/>
              </w:rPr>
              <w:t>合计</w:t>
            </w:r>
          </w:p>
        </w:tc>
        <w:tc>
          <w:tcPr>
            <w:tcW w:w="2022" w:type="dxa"/>
            <w:tcBorders>
              <w:top w:val="single" w:sz="6" w:space="0" w:color="000000"/>
              <w:left w:val="single" w:sz="6" w:space="0" w:color="000000"/>
              <w:bottom w:val="single" w:sz="6" w:space="0" w:color="000000"/>
              <w:right w:val="single" w:sz="6" w:space="0" w:color="000000"/>
            </w:tcBorders>
            <w:vAlign w:val="center"/>
          </w:tcPr>
          <w:p w14:paraId="639DFD95" w14:textId="0AAE0D1D" w:rsidR="00D85880" w:rsidRPr="00AA5145" w:rsidRDefault="00D85880" w:rsidP="00ED497B">
            <w:pPr>
              <w:spacing w:before="7" w:line="240" w:lineRule="auto"/>
              <w:ind w:firstLineChars="0" w:firstLine="0"/>
              <w:jc w:val="center"/>
              <w:rPr>
                <w:rFonts w:cs="Times New Roman"/>
                <w:kern w:val="0"/>
                <w:sz w:val="21"/>
                <w:szCs w:val="21"/>
              </w:rPr>
            </w:pPr>
            <w:r w:rsidRPr="00AA5145">
              <w:rPr>
                <w:rFonts w:cs="Times New Roman"/>
                <w:kern w:val="0"/>
                <w:sz w:val="21"/>
                <w:szCs w:val="21"/>
                <w:lang w:eastAsia="zh-CN"/>
              </w:rPr>
              <w:t>0.6t/a</w:t>
            </w:r>
            <w:r w:rsidRPr="00AA5145">
              <w:rPr>
                <w:rFonts w:cs="Times New Roman"/>
                <w:kern w:val="0"/>
                <w:sz w:val="21"/>
                <w:szCs w:val="21"/>
                <w:lang w:eastAsia="zh-CN"/>
              </w:rPr>
              <w:t>，</w:t>
            </w:r>
            <w:r w:rsidRPr="00AA5145">
              <w:rPr>
                <w:rFonts w:cs="Times New Roman"/>
                <w:kern w:val="0"/>
                <w:sz w:val="21"/>
                <w:szCs w:val="21"/>
                <w:lang w:eastAsia="zh-CN"/>
              </w:rPr>
              <w:t>2kg/d</w:t>
            </w:r>
          </w:p>
        </w:tc>
        <w:tc>
          <w:tcPr>
            <w:tcW w:w="1221" w:type="dxa"/>
            <w:tcBorders>
              <w:top w:val="single" w:sz="6" w:space="0" w:color="000000"/>
              <w:left w:val="single" w:sz="6" w:space="0" w:color="000000"/>
              <w:bottom w:val="single" w:sz="6" w:space="0" w:color="000000"/>
              <w:right w:val="single" w:sz="6" w:space="0" w:color="000000"/>
            </w:tcBorders>
            <w:vAlign w:val="center"/>
          </w:tcPr>
          <w:p w14:paraId="3F161B64" w14:textId="50BF1DF3" w:rsidR="00D85880" w:rsidRPr="00AA5145" w:rsidRDefault="00D85880" w:rsidP="00ED497B">
            <w:pPr>
              <w:adjustRightInd w:val="0"/>
              <w:snapToGrid w:val="0"/>
              <w:spacing w:line="240" w:lineRule="auto"/>
              <w:ind w:firstLineChars="0" w:firstLine="0"/>
              <w:jc w:val="center"/>
              <w:rPr>
                <w:rFonts w:cs="Times New Roman"/>
                <w:kern w:val="0"/>
                <w:sz w:val="21"/>
                <w:szCs w:val="21"/>
              </w:rPr>
            </w:pPr>
            <w:r w:rsidRPr="00AA5145">
              <w:rPr>
                <w:rFonts w:cs="Times New Roman"/>
                <w:kern w:val="0"/>
                <w:sz w:val="21"/>
                <w:szCs w:val="21"/>
                <w:lang w:eastAsia="zh-CN"/>
              </w:rPr>
              <w:t>去除效率</w:t>
            </w:r>
            <w:r w:rsidRPr="00AA5145">
              <w:rPr>
                <w:rFonts w:cs="Times New Roman"/>
                <w:kern w:val="0"/>
                <w:sz w:val="21"/>
                <w:szCs w:val="21"/>
                <w:lang w:eastAsia="zh-CN"/>
              </w:rPr>
              <w:t>80%</w:t>
            </w:r>
          </w:p>
        </w:tc>
        <w:tc>
          <w:tcPr>
            <w:tcW w:w="2114" w:type="dxa"/>
            <w:tcBorders>
              <w:top w:val="single" w:sz="6" w:space="0" w:color="000000"/>
              <w:left w:val="single" w:sz="6" w:space="0" w:color="000000"/>
              <w:bottom w:val="single" w:sz="6" w:space="0" w:color="000000"/>
              <w:right w:val="single" w:sz="6" w:space="0" w:color="000000"/>
            </w:tcBorders>
            <w:vAlign w:val="center"/>
          </w:tcPr>
          <w:p w14:paraId="4E259223" w14:textId="45487CA2" w:rsidR="00D85880" w:rsidRPr="00AA5145" w:rsidRDefault="00D85880" w:rsidP="00ED497B">
            <w:pPr>
              <w:spacing w:before="119" w:line="240" w:lineRule="auto"/>
              <w:ind w:firstLineChars="0" w:firstLine="0"/>
              <w:jc w:val="center"/>
              <w:rPr>
                <w:rFonts w:cs="Times New Roman"/>
                <w:kern w:val="0"/>
                <w:sz w:val="21"/>
                <w:szCs w:val="21"/>
              </w:rPr>
            </w:pPr>
            <w:r w:rsidRPr="00AA5145">
              <w:rPr>
                <w:rFonts w:cs="Times New Roman"/>
                <w:kern w:val="0"/>
                <w:sz w:val="21"/>
                <w:szCs w:val="21"/>
                <w:lang w:eastAsia="zh-CN"/>
              </w:rPr>
              <w:t>0.12 t/a</w:t>
            </w:r>
            <w:r w:rsidRPr="00AA5145">
              <w:rPr>
                <w:rFonts w:cs="Times New Roman"/>
                <w:kern w:val="0"/>
                <w:sz w:val="21"/>
                <w:szCs w:val="21"/>
                <w:lang w:eastAsia="zh-CN"/>
              </w:rPr>
              <w:t>，</w:t>
            </w:r>
            <w:r w:rsidRPr="00AA5145">
              <w:rPr>
                <w:rFonts w:cs="Times New Roman"/>
                <w:kern w:val="0"/>
                <w:sz w:val="21"/>
                <w:szCs w:val="21"/>
                <w:lang w:eastAsia="zh-CN"/>
              </w:rPr>
              <w:t>0.4kg/d</w:t>
            </w:r>
          </w:p>
        </w:tc>
      </w:tr>
    </w:tbl>
    <w:p w14:paraId="2CB9FA0E" w14:textId="45AFC562" w:rsidR="00ED497B" w:rsidRDefault="00ED497B" w:rsidP="00ED497B">
      <w:pPr>
        <w:pStyle w:val="af6"/>
        <w:ind w:firstLine="480"/>
      </w:pPr>
      <w:r>
        <w:t>根据同类采场粉尘监测数据，下风向颗粒物浓度小于</w:t>
      </w:r>
      <w:r>
        <w:rPr>
          <w:rFonts w:eastAsia="Times New Roman"/>
        </w:rPr>
        <w:t>0.5mg/m</w:t>
      </w:r>
      <w:r>
        <w:rPr>
          <w:rFonts w:eastAsia="Times New Roman"/>
          <w:position w:val="11"/>
          <w:sz w:val="16"/>
          <w:szCs w:val="16"/>
        </w:rPr>
        <w:t>3</w:t>
      </w:r>
      <w:r>
        <w:t>，可以达到《建筑石料、石材矿绿色矿山建设规范》</w:t>
      </w:r>
      <w:r>
        <w:rPr>
          <w:rFonts w:eastAsia="Times New Roman"/>
        </w:rPr>
        <w:t>DB41/T1665-2018</w:t>
      </w:r>
      <w:r>
        <w:t>中附录</w:t>
      </w:r>
      <w:r>
        <w:rPr>
          <w:rFonts w:eastAsia="Times New Roman"/>
        </w:rPr>
        <w:t>A</w:t>
      </w:r>
      <w:r>
        <w:t>要求（无组织</w:t>
      </w:r>
      <w:r>
        <w:rPr>
          <w:rFonts w:eastAsia="Times New Roman"/>
        </w:rPr>
        <w:t>0.5mg/m</w:t>
      </w:r>
      <w:r>
        <w:rPr>
          <w:rFonts w:eastAsia="Times New Roman"/>
          <w:position w:val="11"/>
          <w:sz w:val="16"/>
          <w:szCs w:val="16"/>
        </w:rPr>
        <w:t>3</w:t>
      </w:r>
      <w:r>
        <w:t>）。爆破瞬间产生的污染物，随着稀释和不断扩散，其浓度急剧</w:t>
      </w:r>
      <w:r>
        <w:rPr>
          <w:spacing w:val="-3"/>
        </w:rPr>
        <w:t>降低，污染物浓度能够满足《大气污染物综合排放标准》（</w:t>
      </w:r>
      <w:r>
        <w:rPr>
          <w:rFonts w:eastAsia="Times New Roman"/>
          <w:spacing w:val="-3"/>
        </w:rPr>
        <w:t>GB16297-1996</w:t>
      </w:r>
      <w:r>
        <w:rPr>
          <w:spacing w:val="-3"/>
        </w:rPr>
        <w:t>）表</w:t>
      </w:r>
      <w:r>
        <w:rPr>
          <w:rFonts w:eastAsia="Times New Roman"/>
        </w:rPr>
        <w:t>2</w:t>
      </w:r>
      <w:r>
        <w:t>中无组织排放限</w:t>
      </w:r>
      <w:r>
        <w:lastRenderedPageBreak/>
        <w:t>值要求（无组织</w:t>
      </w:r>
      <w:r>
        <w:rPr>
          <w:rFonts w:eastAsia="Times New Roman"/>
        </w:rPr>
        <w:t>1.0mg/m</w:t>
      </w:r>
      <w:r>
        <w:rPr>
          <w:rFonts w:eastAsia="Times New Roman"/>
          <w:position w:val="11"/>
          <w:sz w:val="16"/>
          <w:szCs w:val="16"/>
        </w:rPr>
        <w:t>3</w:t>
      </w:r>
      <w:r>
        <w:t>），以及《建筑石料、石材矿绿色矿山建设规范》</w:t>
      </w:r>
      <w:r>
        <w:rPr>
          <w:rFonts w:eastAsia="Times New Roman"/>
        </w:rPr>
        <w:t>DB41/T1665-2018</w:t>
      </w:r>
      <w:r>
        <w:t>中附录</w:t>
      </w:r>
      <w:r>
        <w:rPr>
          <w:rFonts w:eastAsia="Times New Roman"/>
        </w:rPr>
        <w:t>A</w:t>
      </w:r>
      <w:r>
        <w:t>（无组织</w:t>
      </w:r>
      <w:r>
        <w:rPr>
          <w:rFonts w:eastAsia="Times New Roman"/>
        </w:rPr>
        <w:t>0.5mg/m</w:t>
      </w:r>
      <w:r>
        <w:rPr>
          <w:rFonts w:eastAsia="Times New Roman"/>
          <w:position w:val="11"/>
          <w:sz w:val="16"/>
          <w:szCs w:val="16"/>
        </w:rPr>
        <w:t>3</w:t>
      </w:r>
      <w:r>
        <w:t>）。</w:t>
      </w:r>
    </w:p>
    <w:p w14:paraId="789A8830" w14:textId="5153BAC9" w:rsidR="000E522C" w:rsidRPr="00ED497B" w:rsidRDefault="00ED497B" w:rsidP="003F631A">
      <w:pPr>
        <w:spacing w:line="480" w:lineRule="exact"/>
      </w:pPr>
      <w:r>
        <w:rPr>
          <w:rFonts w:hint="eastAsia"/>
        </w:rPr>
        <w:t>(</w:t>
      </w:r>
      <w:r>
        <w:t>2)</w:t>
      </w:r>
      <w:r>
        <w:rPr>
          <w:rFonts w:hint="eastAsia"/>
        </w:rPr>
        <w:t>矿石装卸粉尘</w:t>
      </w:r>
    </w:p>
    <w:p w14:paraId="31B2E200" w14:textId="77777777" w:rsidR="003F631A" w:rsidRPr="00C938AD" w:rsidRDefault="003F631A" w:rsidP="003F631A">
      <w:pPr>
        <w:spacing w:line="480" w:lineRule="exact"/>
      </w:pPr>
      <w:r w:rsidRPr="00C938AD">
        <w:rPr>
          <w:rFonts w:hint="eastAsia"/>
        </w:rPr>
        <w:t>挖掘机将石料或剥离土装入汽车以及将剥离土表土堆场卸土时，均会产生扬尘。由于现有工程断续生产，表土剥离时</w:t>
      </w:r>
      <w:proofErr w:type="gramStart"/>
      <w:r w:rsidRPr="00C938AD">
        <w:rPr>
          <w:rFonts w:hint="eastAsia"/>
        </w:rPr>
        <w:t>长无法</w:t>
      </w:r>
      <w:proofErr w:type="gramEnd"/>
      <w:r w:rsidRPr="00C938AD">
        <w:rPr>
          <w:rFonts w:hint="eastAsia"/>
        </w:rPr>
        <w:t>确定，本次</w:t>
      </w:r>
      <w:proofErr w:type="gramStart"/>
      <w:r w:rsidRPr="00C938AD">
        <w:rPr>
          <w:rFonts w:hint="eastAsia"/>
        </w:rPr>
        <w:t>评价仅</w:t>
      </w:r>
      <w:proofErr w:type="gramEnd"/>
      <w:r w:rsidRPr="00C938AD">
        <w:rPr>
          <w:rFonts w:hint="eastAsia"/>
        </w:rPr>
        <w:t>计算现有工程矿石开采产生的粉尘。参照国家环境保护局编写的</w:t>
      </w:r>
      <w:proofErr w:type="gramStart"/>
      <w:r w:rsidRPr="00C938AD">
        <w:rPr>
          <w:rFonts w:hint="eastAsia"/>
        </w:rPr>
        <w:t>《</w:t>
      </w:r>
      <w:proofErr w:type="gramEnd"/>
      <w:r w:rsidRPr="00C938AD">
        <w:rPr>
          <w:rFonts w:hint="eastAsia"/>
        </w:rPr>
        <w:t>全国优秀环境影响报告书汇编）中的经验公式：</w:t>
      </w:r>
    </w:p>
    <w:p w14:paraId="020F18DC" w14:textId="77777777" w:rsidR="00D20BCC" w:rsidRDefault="00D20BCC" w:rsidP="00D20BCC">
      <w:pPr>
        <w:widowControl w:val="0"/>
        <w:spacing w:beforeLines="50" w:before="120" w:afterLines="50" w:after="120" w:line="520" w:lineRule="exact"/>
        <w:ind w:firstLineChars="500" w:firstLine="1200"/>
        <w:jc w:val="both"/>
        <w:rPr>
          <w:rFonts w:cs="Times New Roman"/>
          <w:kern w:val="0"/>
          <w:szCs w:val="24"/>
        </w:rPr>
      </w:pPr>
      <w:r>
        <w:rPr>
          <w:rFonts w:cs="Times New Roman"/>
          <w:kern w:val="0"/>
          <w:szCs w:val="24"/>
        </w:rPr>
        <w:t>Q</w:t>
      </w:r>
      <w:r>
        <w:rPr>
          <w:rFonts w:cs="Times New Roman"/>
          <w:kern w:val="0"/>
          <w:szCs w:val="24"/>
          <w:vertAlign w:val="subscript"/>
        </w:rPr>
        <w:t>2</w:t>
      </w:r>
      <w:r>
        <w:rPr>
          <w:rFonts w:cs="Times New Roman"/>
          <w:kern w:val="0"/>
          <w:szCs w:val="24"/>
        </w:rPr>
        <w:t>=M·e</w:t>
      </w:r>
      <w:r>
        <w:rPr>
          <w:rFonts w:cs="Times New Roman"/>
          <w:kern w:val="0"/>
          <w:szCs w:val="24"/>
          <w:vertAlign w:val="superscript"/>
        </w:rPr>
        <w:t>0.6U</w:t>
      </w:r>
      <w:r>
        <w:rPr>
          <w:rFonts w:cs="Times New Roman"/>
          <w:kern w:val="0"/>
          <w:szCs w:val="24"/>
        </w:rPr>
        <w:t>·e</w:t>
      </w:r>
      <w:r>
        <w:rPr>
          <w:rFonts w:cs="Times New Roman"/>
          <w:kern w:val="0"/>
          <w:szCs w:val="24"/>
          <w:vertAlign w:val="superscript"/>
        </w:rPr>
        <w:t>-0.27</w:t>
      </w:r>
      <w:r>
        <w:rPr>
          <w:rFonts w:cs="Times New Roman"/>
          <w:kern w:val="0"/>
          <w:szCs w:val="24"/>
        </w:rPr>
        <w:t>·H</w:t>
      </w:r>
      <w:r>
        <w:rPr>
          <w:rFonts w:cs="Times New Roman"/>
          <w:kern w:val="0"/>
          <w:szCs w:val="24"/>
          <w:vertAlign w:val="superscript"/>
        </w:rPr>
        <w:t>1.283</w:t>
      </w:r>
    </w:p>
    <w:p w14:paraId="18396BCB" w14:textId="77777777" w:rsidR="00D20BCC" w:rsidRDefault="00D20BCC" w:rsidP="00D20BCC">
      <w:pPr>
        <w:widowControl w:val="0"/>
        <w:spacing w:line="520" w:lineRule="exact"/>
        <w:jc w:val="both"/>
        <w:rPr>
          <w:rFonts w:cs="Times New Roman"/>
          <w:kern w:val="0"/>
          <w:szCs w:val="24"/>
        </w:rPr>
      </w:pPr>
      <w:r>
        <w:rPr>
          <w:rFonts w:ascii="宋体" w:hAnsi="宋体" w:cs="Times New Roman" w:hint="eastAsia"/>
          <w:kern w:val="0"/>
          <w:szCs w:val="24"/>
        </w:rPr>
        <w:t>式中：</w:t>
      </w:r>
      <w:r>
        <w:rPr>
          <w:rFonts w:cs="Times New Roman"/>
          <w:kern w:val="0"/>
          <w:szCs w:val="24"/>
        </w:rPr>
        <w:t>Q</w:t>
      </w:r>
      <w:r>
        <w:rPr>
          <w:rFonts w:cs="Times New Roman"/>
          <w:kern w:val="0"/>
          <w:szCs w:val="24"/>
          <w:vertAlign w:val="subscript"/>
        </w:rPr>
        <w:t>2</w:t>
      </w:r>
      <w:r>
        <w:rPr>
          <w:rFonts w:cs="Times New Roman"/>
          <w:kern w:val="0"/>
          <w:szCs w:val="24"/>
        </w:rPr>
        <w:t>—</w:t>
      </w:r>
      <w:r>
        <w:rPr>
          <w:rFonts w:ascii="宋体" w:hAnsi="宋体" w:cs="Times New Roman"/>
          <w:kern w:val="0"/>
          <w:szCs w:val="24"/>
        </w:rPr>
        <w:t>装卸扬尘，</w:t>
      </w:r>
      <w:r>
        <w:rPr>
          <w:rFonts w:cs="Times New Roman"/>
          <w:kern w:val="0"/>
          <w:szCs w:val="24"/>
        </w:rPr>
        <w:t>g/</w:t>
      </w:r>
      <w:r>
        <w:rPr>
          <w:rFonts w:ascii="宋体" w:hAnsi="宋体" w:cs="Times New Roman"/>
          <w:kern w:val="0"/>
          <w:szCs w:val="24"/>
        </w:rPr>
        <w:t>次；</w:t>
      </w:r>
    </w:p>
    <w:p w14:paraId="6DE9033E" w14:textId="77777777" w:rsidR="00D20BCC" w:rsidRDefault="00D20BCC" w:rsidP="00D20BCC">
      <w:pPr>
        <w:widowControl w:val="0"/>
        <w:spacing w:line="520" w:lineRule="exact"/>
        <w:ind w:firstLineChars="500" w:firstLine="1200"/>
        <w:jc w:val="both"/>
        <w:rPr>
          <w:rFonts w:cs="Times New Roman"/>
          <w:kern w:val="0"/>
          <w:szCs w:val="24"/>
        </w:rPr>
      </w:pPr>
      <w:r>
        <w:rPr>
          <w:rFonts w:cs="Times New Roman"/>
          <w:kern w:val="0"/>
          <w:szCs w:val="24"/>
        </w:rPr>
        <w:t>M</w:t>
      </w:r>
      <w:proofErr w:type="gramStart"/>
      <w:r>
        <w:rPr>
          <w:rFonts w:cs="Times New Roman"/>
          <w:kern w:val="0"/>
          <w:szCs w:val="24"/>
        </w:rPr>
        <w:t>—</w:t>
      </w:r>
      <w:r>
        <w:rPr>
          <w:rFonts w:ascii="宋体" w:hAnsi="宋体" w:cs="Times New Roman"/>
          <w:kern w:val="0"/>
          <w:szCs w:val="24"/>
        </w:rPr>
        <w:t>车辆</w:t>
      </w:r>
      <w:proofErr w:type="gramEnd"/>
      <w:r>
        <w:rPr>
          <w:rFonts w:ascii="宋体" w:hAnsi="宋体" w:cs="Times New Roman"/>
          <w:kern w:val="0"/>
          <w:szCs w:val="24"/>
        </w:rPr>
        <w:t>吨位（</w:t>
      </w:r>
      <w:r>
        <w:rPr>
          <w:rFonts w:cs="Times New Roman"/>
          <w:kern w:val="0"/>
          <w:szCs w:val="24"/>
        </w:rPr>
        <w:t>32t</w:t>
      </w:r>
      <w:r>
        <w:rPr>
          <w:rFonts w:ascii="宋体" w:hAnsi="宋体" w:cs="Times New Roman"/>
          <w:kern w:val="0"/>
          <w:szCs w:val="24"/>
        </w:rPr>
        <w:t>）；</w:t>
      </w:r>
    </w:p>
    <w:p w14:paraId="1F2E50B8" w14:textId="77777777" w:rsidR="00D20BCC" w:rsidRDefault="00D20BCC" w:rsidP="00D20BCC">
      <w:pPr>
        <w:widowControl w:val="0"/>
        <w:spacing w:line="520" w:lineRule="exact"/>
        <w:ind w:firstLineChars="500" w:firstLine="1200"/>
        <w:jc w:val="both"/>
        <w:rPr>
          <w:rFonts w:cs="Times New Roman"/>
          <w:kern w:val="0"/>
          <w:szCs w:val="24"/>
        </w:rPr>
      </w:pPr>
      <w:r>
        <w:rPr>
          <w:rFonts w:cs="Times New Roman"/>
          <w:kern w:val="0"/>
          <w:szCs w:val="24"/>
        </w:rPr>
        <w:t>H—</w:t>
      </w:r>
      <w:r>
        <w:rPr>
          <w:rFonts w:ascii="宋体" w:hAnsi="宋体" w:cs="Times New Roman"/>
          <w:kern w:val="0"/>
          <w:szCs w:val="24"/>
        </w:rPr>
        <w:t>矿石装卸高度（</w:t>
      </w:r>
      <w:r>
        <w:rPr>
          <w:rFonts w:cs="Times New Roman"/>
          <w:kern w:val="0"/>
          <w:szCs w:val="24"/>
        </w:rPr>
        <w:t>2m</w:t>
      </w:r>
      <w:r>
        <w:rPr>
          <w:rFonts w:ascii="宋体" w:hAnsi="宋体" w:cs="Times New Roman"/>
          <w:kern w:val="0"/>
          <w:szCs w:val="24"/>
        </w:rPr>
        <w:t>）；</w:t>
      </w:r>
    </w:p>
    <w:p w14:paraId="4EDB6B99" w14:textId="77777777" w:rsidR="00D20BCC" w:rsidRDefault="00D20BCC" w:rsidP="00D20BCC">
      <w:pPr>
        <w:widowControl w:val="0"/>
        <w:spacing w:line="520" w:lineRule="exact"/>
        <w:ind w:firstLineChars="500" w:firstLine="1200"/>
        <w:jc w:val="both"/>
        <w:rPr>
          <w:rFonts w:cs="Times New Roman"/>
          <w:kern w:val="0"/>
          <w:szCs w:val="24"/>
        </w:rPr>
      </w:pPr>
      <w:r>
        <w:rPr>
          <w:rFonts w:cs="Times New Roman"/>
          <w:kern w:val="0"/>
          <w:szCs w:val="24"/>
        </w:rPr>
        <w:t>U——</w:t>
      </w:r>
      <w:r>
        <w:rPr>
          <w:rFonts w:ascii="宋体" w:hAnsi="宋体" w:cs="Times New Roman"/>
          <w:kern w:val="0"/>
          <w:szCs w:val="24"/>
        </w:rPr>
        <w:t>风速（</w:t>
      </w:r>
      <w:r>
        <w:rPr>
          <w:rFonts w:cs="Times New Roman"/>
          <w:kern w:val="0"/>
          <w:szCs w:val="24"/>
        </w:rPr>
        <w:t>2.</w:t>
      </w:r>
      <w:r>
        <w:rPr>
          <w:rFonts w:cs="Times New Roman" w:hint="eastAsia"/>
          <w:kern w:val="0"/>
          <w:szCs w:val="24"/>
        </w:rPr>
        <w:t>4</w:t>
      </w:r>
      <w:r>
        <w:rPr>
          <w:rFonts w:cs="Times New Roman"/>
          <w:kern w:val="0"/>
          <w:szCs w:val="24"/>
        </w:rPr>
        <w:t>m/s</w:t>
      </w:r>
      <w:r>
        <w:rPr>
          <w:rFonts w:ascii="宋体" w:hAnsi="宋体" w:cs="Times New Roman"/>
          <w:kern w:val="0"/>
          <w:szCs w:val="24"/>
        </w:rPr>
        <w:t>）；</w:t>
      </w:r>
    </w:p>
    <w:p w14:paraId="4E0E0614" w14:textId="20E373F2" w:rsidR="003F631A" w:rsidRPr="00C938AD" w:rsidRDefault="003F631A" w:rsidP="003F631A">
      <w:pPr>
        <w:spacing w:line="480" w:lineRule="exact"/>
      </w:pPr>
      <w:r w:rsidRPr="00C938AD">
        <w:rPr>
          <w:rFonts w:hint="eastAsia"/>
        </w:rPr>
        <w:t>现有工程矿石开采量折算为</w:t>
      </w:r>
      <w:r w:rsidR="00D20BCC">
        <w:rPr>
          <w:rFonts w:hint="eastAsia"/>
        </w:rPr>
        <w:t>3</w:t>
      </w:r>
      <w:r w:rsidR="00A04F2C">
        <w:rPr>
          <w:rFonts w:hint="eastAsia"/>
        </w:rPr>
        <w:t>0</w:t>
      </w:r>
      <w:r w:rsidRPr="00C938AD">
        <w:rPr>
          <w:rFonts w:hint="eastAsia"/>
        </w:rPr>
        <w:t>万</w:t>
      </w:r>
      <w:r w:rsidRPr="00C938AD">
        <w:rPr>
          <w:rFonts w:hint="eastAsia"/>
        </w:rPr>
        <w:t>t/a</w:t>
      </w:r>
      <w:r w:rsidRPr="00C938AD">
        <w:rPr>
          <w:rFonts w:hint="eastAsia"/>
        </w:rPr>
        <w:t>；</w:t>
      </w:r>
      <w:r w:rsidRPr="00D20BCC">
        <w:rPr>
          <w:rFonts w:hint="eastAsia"/>
        </w:rPr>
        <w:t>经计算，现有工程因装载石料的扬尘产生量约</w:t>
      </w:r>
      <w:r w:rsidR="00D20BCC" w:rsidRPr="00D20BCC">
        <w:rPr>
          <w:rFonts w:hint="eastAsia"/>
        </w:rPr>
        <w:t>2.35</w:t>
      </w:r>
      <w:r w:rsidRPr="00D20BCC">
        <w:rPr>
          <w:rFonts w:hint="eastAsia"/>
        </w:rPr>
        <w:t>t/a</w:t>
      </w:r>
      <w:r w:rsidRPr="00D20BCC">
        <w:rPr>
          <w:rFonts w:hint="eastAsia"/>
        </w:rPr>
        <w:t>。现有工程采取简单洒水降尘方式，降尘效率按</w:t>
      </w:r>
      <w:r w:rsidR="00EB0895" w:rsidRPr="00D20BCC">
        <w:rPr>
          <w:rFonts w:hint="eastAsia"/>
        </w:rPr>
        <w:t>5</w:t>
      </w:r>
      <w:r w:rsidRPr="00D20BCC">
        <w:rPr>
          <w:rFonts w:hint="eastAsia"/>
        </w:rPr>
        <w:t>0%</w:t>
      </w:r>
      <w:r w:rsidRPr="00D20BCC">
        <w:rPr>
          <w:rFonts w:hint="eastAsia"/>
        </w:rPr>
        <w:t>计算，现有工程露天开采扬尘排放量为</w:t>
      </w:r>
      <w:r w:rsidR="00D20BCC" w:rsidRPr="00D20BCC">
        <w:rPr>
          <w:rFonts w:hint="eastAsia"/>
        </w:rPr>
        <w:t>1.17</w:t>
      </w:r>
      <w:r w:rsidRPr="00D20BCC">
        <w:rPr>
          <w:rFonts w:hint="eastAsia"/>
        </w:rPr>
        <w:t>t/a</w:t>
      </w:r>
      <w:r w:rsidRPr="00C938AD">
        <w:rPr>
          <w:rFonts w:hint="eastAsia"/>
        </w:rPr>
        <w:t>。</w:t>
      </w:r>
    </w:p>
    <w:p w14:paraId="0B0C121F" w14:textId="77777777" w:rsidR="003F631A" w:rsidRPr="00C938AD" w:rsidRDefault="003F631A" w:rsidP="003F631A">
      <w:pPr>
        <w:spacing w:line="480" w:lineRule="exact"/>
      </w:pPr>
      <w:r w:rsidRPr="00C938AD">
        <w:rPr>
          <w:rFonts w:hint="eastAsia"/>
        </w:rPr>
        <w:t>（</w:t>
      </w:r>
      <w:r w:rsidRPr="00C938AD">
        <w:rPr>
          <w:rFonts w:hint="eastAsia"/>
        </w:rPr>
        <w:t>2</w:t>
      </w:r>
      <w:r w:rsidRPr="00C938AD">
        <w:rPr>
          <w:rFonts w:hint="eastAsia"/>
        </w:rPr>
        <w:t>）堆场</w:t>
      </w:r>
      <w:r w:rsidRPr="00C938AD">
        <w:t>扬尘</w:t>
      </w:r>
    </w:p>
    <w:p w14:paraId="691FF578" w14:textId="0B54B8B3" w:rsidR="003F631A" w:rsidRPr="00C938AD" w:rsidRDefault="003F631A" w:rsidP="003F631A">
      <w:pPr>
        <w:pStyle w:val="GB23122"/>
        <w:spacing w:line="480" w:lineRule="exact"/>
        <w:ind w:firstLine="480"/>
        <w:rPr>
          <w:rFonts w:ascii="Times New Roman" w:eastAsia="宋体" w:cs="Times New Roman"/>
          <w:sz w:val="24"/>
          <w:szCs w:val="24"/>
        </w:rPr>
      </w:pPr>
      <w:r w:rsidRPr="00C938AD">
        <w:rPr>
          <w:rFonts w:ascii="Times New Roman" w:eastAsia="宋体" w:cs="Times New Roman" w:hint="eastAsia"/>
          <w:sz w:val="24"/>
          <w:szCs w:val="24"/>
        </w:rPr>
        <w:t>现有工程</w:t>
      </w:r>
      <w:r w:rsidRPr="00C938AD">
        <w:rPr>
          <w:rFonts w:ascii="Times New Roman" w:eastAsia="宋体" w:cs="Times New Roman"/>
          <w:sz w:val="24"/>
          <w:szCs w:val="24"/>
        </w:rPr>
        <w:t>堆场扬尘为表土临时</w:t>
      </w:r>
      <w:r w:rsidRPr="00C938AD">
        <w:rPr>
          <w:rFonts w:ascii="Times New Roman" w:eastAsia="宋体" w:cs="Times New Roman" w:hint="eastAsia"/>
          <w:sz w:val="24"/>
          <w:szCs w:val="24"/>
        </w:rPr>
        <w:t>堆存</w:t>
      </w:r>
      <w:r w:rsidRPr="00C938AD">
        <w:rPr>
          <w:rFonts w:ascii="Times New Roman" w:eastAsia="宋体" w:cs="Times New Roman"/>
          <w:sz w:val="24"/>
          <w:szCs w:val="24"/>
        </w:rPr>
        <w:t>扬尘，</w:t>
      </w:r>
      <w:r w:rsidRPr="00C938AD">
        <w:rPr>
          <w:rFonts w:ascii="Times New Roman" w:eastAsia="宋体" w:cs="Times New Roman" w:hint="eastAsia"/>
          <w:sz w:val="24"/>
          <w:szCs w:val="24"/>
        </w:rPr>
        <w:t>经咨询建设单位，现有工程</w:t>
      </w:r>
      <w:r w:rsidR="00ED497B">
        <w:rPr>
          <w:rFonts w:ascii="Times New Roman" w:eastAsia="宋体" w:cs="Times New Roman" w:hint="eastAsia"/>
          <w:sz w:val="24"/>
          <w:szCs w:val="24"/>
        </w:rPr>
        <w:t>原</w:t>
      </w:r>
      <w:r w:rsidR="00ED497B" w:rsidRPr="00ED497B">
        <w:rPr>
          <w:rFonts w:ascii="Times New Roman" w:eastAsia="宋体" w:cs="Times New Roman" w:hint="eastAsia"/>
          <w:sz w:val="24"/>
          <w:szCs w:val="24"/>
        </w:rPr>
        <w:t>驻马店市</w:t>
      </w:r>
      <w:proofErr w:type="gramStart"/>
      <w:r w:rsidR="00ED497B" w:rsidRPr="00ED497B">
        <w:rPr>
          <w:rFonts w:ascii="Times New Roman" w:eastAsia="宋体" w:cs="Times New Roman" w:hint="eastAsia"/>
          <w:sz w:val="24"/>
          <w:szCs w:val="24"/>
        </w:rPr>
        <w:t>驿</w:t>
      </w:r>
      <w:proofErr w:type="gramEnd"/>
      <w:r w:rsidR="00ED497B" w:rsidRPr="00ED497B">
        <w:rPr>
          <w:rFonts w:ascii="Times New Roman" w:eastAsia="宋体" w:cs="Times New Roman" w:hint="eastAsia"/>
          <w:sz w:val="24"/>
          <w:szCs w:val="24"/>
        </w:rPr>
        <w:t>城区丰鑫矿业有限公司</w:t>
      </w:r>
      <w:r w:rsidRPr="00C938AD">
        <w:rPr>
          <w:rFonts w:ascii="Times New Roman" w:eastAsia="宋体" w:cs="Times New Roman" w:hint="eastAsia"/>
          <w:sz w:val="24"/>
          <w:szCs w:val="24"/>
        </w:rPr>
        <w:t>表土暂存占地面积约</w:t>
      </w:r>
      <w:r w:rsidR="00ED497B">
        <w:rPr>
          <w:rFonts w:ascii="Times New Roman" w:eastAsia="宋体" w:cs="Times New Roman" w:hint="eastAsia"/>
          <w:sz w:val="24"/>
          <w:szCs w:val="24"/>
        </w:rPr>
        <w:t>50</w:t>
      </w:r>
      <w:r w:rsidRPr="00C938AD">
        <w:rPr>
          <w:rFonts w:ascii="Times New Roman" w:eastAsia="宋体" w:cs="Times New Roman" w:hint="eastAsia"/>
          <w:sz w:val="24"/>
          <w:szCs w:val="24"/>
        </w:rPr>
        <w:t>00</w:t>
      </w:r>
      <w:r w:rsidRPr="00C938AD">
        <w:rPr>
          <w:rFonts w:ascii="Times New Roman" w:eastAsia="宋体" w:cs="Times New Roman"/>
          <w:sz w:val="24"/>
          <w:szCs w:val="24"/>
        </w:rPr>
        <w:t>m</w:t>
      </w:r>
      <w:r w:rsidRPr="00C938AD">
        <w:rPr>
          <w:rFonts w:ascii="Times New Roman" w:eastAsia="宋体" w:cs="Times New Roman"/>
          <w:sz w:val="24"/>
          <w:szCs w:val="24"/>
          <w:vertAlign w:val="superscript"/>
        </w:rPr>
        <w:t>2</w:t>
      </w:r>
      <w:r w:rsidRPr="00C938AD">
        <w:rPr>
          <w:rFonts w:ascii="Times New Roman" w:eastAsia="宋体" w:cs="Times New Roman"/>
          <w:sz w:val="24"/>
          <w:szCs w:val="24"/>
        </w:rPr>
        <w:t>。</w:t>
      </w:r>
    </w:p>
    <w:p w14:paraId="0A18DE01" w14:textId="77777777" w:rsidR="003F631A" w:rsidRPr="00C938AD" w:rsidRDefault="003F631A" w:rsidP="003F631A">
      <w:pPr>
        <w:spacing w:line="480" w:lineRule="exact"/>
      </w:pPr>
      <w:r w:rsidRPr="00C938AD">
        <w:t>本次评价引用西安冶金建筑学院给出的北方起尘公式对</w:t>
      </w:r>
      <w:r w:rsidRPr="00C938AD">
        <w:rPr>
          <w:rFonts w:hint="eastAsia"/>
        </w:rPr>
        <w:t>表土</w:t>
      </w:r>
      <w:r w:rsidRPr="00C938AD">
        <w:t>堆放时起尘量进行计算。</w:t>
      </w:r>
    </w:p>
    <w:p w14:paraId="770984EE" w14:textId="77777777" w:rsidR="003F631A" w:rsidRPr="00C938AD" w:rsidRDefault="003F631A" w:rsidP="003F631A">
      <w:pPr>
        <w:pStyle w:val="af4"/>
        <w:ind w:firstLineChars="201" w:firstLine="482"/>
        <w:jc w:val="center"/>
        <w:rPr>
          <w:rFonts w:eastAsia="宋体"/>
          <w:color w:val="auto"/>
          <w:sz w:val="24"/>
        </w:rPr>
      </w:pPr>
      <w:r w:rsidRPr="00C938AD">
        <w:rPr>
          <w:color w:val="auto"/>
          <w:position w:val="-10"/>
          <w:sz w:val="24"/>
        </w:rPr>
        <w:object w:dxaOrig="2780" w:dyaOrig="359" w14:anchorId="342311EB">
          <v:shape id="Picture 1" o:spid="_x0000_i1028" type="#_x0000_t75" style="width:164.4pt;height:24.4pt;mso-position-horizontal-relative:page;mso-position-vertical-relative:page" o:ole="">
            <v:imagedata r:id="rId22" o:title=""/>
          </v:shape>
          <o:OLEObject Type="Embed" ProgID="Equation.3" ShapeID="Picture 1" DrawAspect="Content" ObjectID="_1644327282" r:id="rId23"/>
        </w:object>
      </w:r>
    </w:p>
    <w:p w14:paraId="433DA3FC" w14:textId="348B7722" w:rsidR="003F631A" w:rsidRPr="00C938AD" w:rsidRDefault="003F631A" w:rsidP="003F631A">
      <w:pPr>
        <w:pStyle w:val="af4"/>
        <w:ind w:firstLineChars="201" w:firstLine="482"/>
        <w:rPr>
          <w:rFonts w:eastAsia="宋体-PUA"/>
          <w:color w:val="auto"/>
          <w:sz w:val="24"/>
        </w:rPr>
      </w:pPr>
      <w:r w:rsidRPr="00C938AD">
        <w:rPr>
          <w:rFonts w:eastAsia="宋体"/>
          <w:color w:val="auto"/>
          <w:sz w:val="24"/>
        </w:rPr>
        <w:t>式中：</w:t>
      </w:r>
      <w:r w:rsidRPr="00C938AD">
        <w:rPr>
          <w:rFonts w:eastAsia="宋体-PUA"/>
          <w:i/>
          <w:color w:val="auto"/>
          <w:sz w:val="24"/>
        </w:rPr>
        <w:t>Q</w:t>
      </w:r>
      <w:r w:rsidRPr="00C938AD">
        <w:rPr>
          <w:rFonts w:eastAsia="宋体-PUA"/>
          <w:color w:val="auto"/>
          <w:sz w:val="24"/>
        </w:rPr>
        <w:t>—</w:t>
      </w:r>
      <w:r w:rsidRPr="00C938AD">
        <w:rPr>
          <w:rFonts w:eastAsia="宋体"/>
          <w:color w:val="auto"/>
          <w:sz w:val="24"/>
        </w:rPr>
        <w:t>堆场起尘量，</w:t>
      </w:r>
      <w:r w:rsidRPr="00C938AD">
        <w:rPr>
          <w:rFonts w:eastAsia="宋体-PUA"/>
          <w:color w:val="auto"/>
          <w:sz w:val="24"/>
        </w:rPr>
        <w:t>mg/s</w:t>
      </w:r>
      <w:r w:rsidRPr="00C938AD">
        <w:rPr>
          <w:rFonts w:eastAsia="宋体"/>
          <w:color w:val="auto"/>
          <w:sz w:val="24"/>
        </w:rPr>
        <w:t>；</w:t>
      </w:r>
    </w:p>
    <w:p w14:paraId="2EC8C866" w14:textId="6223B1EA" w:rsidR="003F631A" w:rsidRPr="00C938AD" w:rsidRDefault="003F631A" w:rsidP="003F631A">
      <w:pPr>
        <w:pStyle w:val="af4"/>
        <w:ind w:firstLineChars="501" w:firstLine="1202"/>
        <w:rPr>
          <w:rFonts w:eastAsia="宋体-PUA"/>
          <w:color w:val="auto"/>
          <w:sz w:val="24"/>
        </w:rPr>
      </w:pPr>
      <w:r w:rsidRPr="00C938AD">
        <w:rPr>
          <w:rFonts w:eastAsia="宋体-PUA"/>
          <w:i/>
          <w:color w:val="auto"/>
          <w:sz w:val="24"/>
        </w:rPr>
        <w:t>U</w:t>
      </w:r>
      <w:r w:rsidRPr="00C938AD">
        <w:rPr>
          <w:rFonts w:eastAsia="宋体-PUA"/>
          <w:color w:val="auto"/>
          <w:sz w:val="24"/>
        </w:rPr>
        <w:t>—</w:t>
      </w:r>
      <w:r w:rsidRPr="00C938AD">
        <w:rPr>
          <w:rFonts w:eastAsia="宋体"/>
          <w:color w:val="auto"/>
          <w:sz w:val="24"/>
        </w:rPr>
        <w:t>堆场平均风速，</w:t>
      </w:r>
      <w:r w:rsidRPr="00C938AD">
        <w:rPr>
          <w:rFonts w:eastAsia="宋体-PUA"/>
          <w:color w:val="auto"/>
          <w:sz w:val="24"/>
        </w:rPr>
        <w:t>m/s</w:t>
      </w:r>
      <w:r w:rsidRPr="00C938AD">
        <w:rPr>
          <w:rFonts w:eastAsia="宋体"/>
          <w:color w:val="auto"/>
          <w:sz w:val="24"/>
        </w:rPr>
        <w:t>（评价选取</w:t>
      </w:r>
      <w:r w:rsidRPr="00C938AD">
        <w:rPr>
          <w:rFonts w:eastAsia="宋体-PUA"/>
          <w:color w:val="auto"/>
          <w:sz w:val="24"/>
        </w:rPr>
        <w:t>U=</w:t>
      </w:r>
      <w:r w:rsidRPr="00C938AD">
        <w:rPr>
          <w:rFonts w:eastAsia="宋体-PUA" w:hint="eastAsia"/>
          <w:color w:val="auto"/>
          <w:sz w:val="24"/>
        </w:rPr>
        <w:t>2.</w:t>
      </w:r>
      <w:r w:rsidR="00537D21" w:rsidRPr="00C938AD">
        <w:rPr>
          <w:rFonts w:eastAsia="宋体-PUA" w:hint="eastAsia"/>
          <w:color w:val="auto"/>
          <w:sz w:val="24"/>
        </w:rPr>
        <w:t>2</w:t>
      </w:r>
      <w:r w:rsidRPr="00C938AD">
        <w:rPr>
          <w:rFonts w:eastAsia="宋体-PUA"/>
          <w:color w:val="auto"/>
          <w:sz w:val="24"/>
        </w:rPr>
        <w:t>m/s</w:t>
      </w:r>
      <w:r w:rsidRPr="00C938AD">
        <w:rPr>
          <w:rFonts w:eastAsia="宋体"/>
          <w:color w:val="auto"/>
          <w:sz w:val="24"/>
        </w:rPr>
        <w:t>（年均风速））；</w:t>
      </w:r>
    </w:p>
    <w:p w14:paraId="67BCC054" w14:textId="10E17C0A" w:rsidR="003F631A" w:rsidRPr="00C938AD" w:rsidRDefault="003F631A" w:rsidP="003F631A">
      <w:pPr>
        <w:pStyle w:val="af4"/>
        <w:ind w:firstLineChars="501" w:firstLine="1202"/>
        <w:rPr>
          <w:rFonts w:eastAsia="宋体-PUA"/>
          <w:color w:val="auto"/>
          <w:sz w:val="24"/>
        </w:rPr>
      </w:pPr>
      <w:r w:rsidRPr="00C938AD">
        <w:rPr>
          <w:rFonts w:eastAsia="宋体-PUA"/>
          <w:i/>
          <w:color w:val="auto"/>
          <w:sz w:val="24"/>
        </w:rPr>
        <w:t>A</w:t>
      </w:r>
      <w:r w:rsidRPr="00C938AD">
        <w:rPr>
          <w:rFonts w:eastAsia="宋体-PUA"/>
          <w:i/>
          <w:color w:val="auto"/>
          <w:sz w:val="24"/>
          <w:vertAlign w:val="subscript"/>
        </w:rPr>
        <w:t>p</w:t>
      </w:r>
      <w:r w:rsidRPr="00C938AD">
        <w:rPr>
          <w:rFonts w:eastAsia="宋体-PUA"/>
          <w:color w:val="auto"/>
          <w:sz w:val="24"/>
        </w:rPr>
        <w:t>—</w:t>
      </w:r>
      <w:r w:rsidRPr="00C938AD">
        <w:rPr>
          <w:rFonts w:eastAsia="宋体"/>
          <w:color w:val="auto"/>
          <w:sz w:val="24"/>
        </w:rPr>
        <w:t>堆场的面积，</w:t>
      </w:r>
      <w:r w:rsidRPr="00C938AD">
        <w:rPr>
          <w:rFonts w:eastAsia="宋体-PUA"/>
          <w:color w:val="auto"/>
          <w:sz w:val="24"/>
        </w:rPr>
        <w:t>m</w:t>
      </w:r>
      <w:r w:rsidRPr="00C938AD">
        <w:rPr>
          <w:rFonts w:eastAsia="宋体-PUA"/>
          <w:color w:val="auto"/>
          <w:sz w:val="24"/>
          <w:vertAlign w:val="superscript"/>
        </w:rPr>
        <w:t>2</w:t>
      </w:r>
      <w:r w:rsidRPr="00C938AD">
        <w:rPr>
          <w:rFonts w:eastAsia="宋体"/>
          <w:color w:val="auto"/>
          <w:sz w:val="24"/>
        </w:rPr>
        <w:t>；</w:t>
      </w:r>
    </w:p>
    <w:p w14:paraId="4F2B3719" w14:textId="5B7B7271" w:rsidR="003F631A" w:rsidRPr="00C938AD" w:rsidRDefault="003F631A" w:rsidP="00ED497B">
      <w:pPr>
        <w:pStyle w:val="af4"/>
        <w:ind w:firstLineChars="500" w:firstLine="1200"/>
        <w:rPr>
          <w:rFonts w:eastAsia="宋体"/>
          <w:color w:val="auto"/>
          <w:sz w:val="24"/>
        </w:rPr>
      </w:pPr>
      <w:r w:rsidRPr="00C938AD">
        <w:rPr>
          <w:rFonts w:eastAsia="宋体"/>
          <w:i/>
          <w:color w:val="auto"/>
          <w:sz w:val="24"/>
        </w:rPr>
        <w:t>η</w:t>
      </w:r>
      <w:r w:rsidRPr="00C938AD">
        <w:rPr>
          <w:rFonts w:eastAsia="宋体"/>
          <w:color w:val="auto"/>
          <w:sz w:val="24"/>
        </w:rPr>
        <w:t>—</w:t>
      </w:r>
      <w:proofErr w:type="gramStart"/>
      <w:r w:rsidRPr="00C938AD">
        <w:rPr>
          <w:rFonts w:eastAsia="宋体"/>
          <w:color w:val="auto"/>
          <w:sz w:val="24"/>
        </w:rPr>
        <w:t>堆场抑尘效率</w:t>
      </w:r>
      <w:proofErr w:type="gramEnd"/>
      <w:r w:rsidRPr="00C938AD">
        <w:rPr>
          <w:rFonts w:eastAsia="宋体"/>
          <w:color w:val="auto"/>
          <w:sz w:val="24"/>
        </w:rPr>
        <w:t>，</w:t>
      </w:r>
      <w:r w:rsidRPr="00C938AD">
        <w:rPr>
          <w:rFonts w:eastAsia="宋体" w:hint="eastAsia"/>
          <w:color w:val="auto"/>
          <w:sz w:val="24"/>
        </w:rPr>
        <w:t>现有工程表土暂存未采取降尘措施，按</w:t>
      </w:r>
      <w:r w:rsidRPr="00C938AD">
        <w:rPr>
          <w:rFonts w:eastAsia="宋体" w:hint="eastAsia"/>
          <w:color w:val="auto"/>
          <w:sz w:val="24"/>
        </w:rPr>
        <w:t>0</w:t>
      </w:r>
      <w:r w:rsidRPr="00C938AD">
        <w:rPr>
          <w:rFonts w:eastAsia="宋体" w:hint="eastAsia"/>
          <w:color w:val="auto"/>
          <w:sz w:val="24"/>
        </w:rPr>
        <w:t>计</w:t>
      </w:r>
      <w:r w:rsidRPr="00C938AD">
        <w:rPr>
          <w:rFonts w:eastAsia="宋体"/>
          <w:color w:val="auto"/>
          <w:sz w:val="24"/>
        </w:rPr>
        <w:t>。</w:t>
      </w:r>
    </w:p>
    <w:p w14:paraId="47ED9917" w14:textId="7A48DDD6" w:rsidR="003F631A" w:rsidRPr="00D20BCC" w:rsidRDefault="003F631A" w:rsidP="00ED497B">
      <w:pPr>
        <w:pStyle w:val="af6"/>
        <w:ind w:firstLine="480"/>
      </w:pPr>
      <w:r w:rsidRPr="00D20BCC">
        <w:t>根据核算，表土临时堆场起尘量为</w:t>
      </w:r>
      <w:r w:rsidR="00D20BCC">
        <w:rPr>
          <w:rFonts w:hint="eastAsia"/>
        </w:rPr>
        <w:t>0.33</w:t>
      </w:r>
      <w:r w:rsidRPr="00D20BCC">
        <w:rPr>
          <w:rFonts w:hint="eastAsia"/>
        </w:rPr>
        <w:t>kg/h</w:t>
      </w:r>
      <w:r w:rsidRPr="00D20BCC">
        <w:rPr>
          <w:rFonts w:hint="eastAsia"/>
        </w:rPr>
        <w:t>，</w:t>
      </w:r>
      <w:r w:rsidR="00D20BCC">
        <w:rPr>
          <w:rFonts w:hint="eastAsia"/>
        </w:rPr>
        <w:t>2.4</w:t>
      </w:r>
      <w:r w:rsidR="00D20BCC" w:rsidRPr="00D20BCC">
        <w:rPr>
          <w:rFonts w:hint="eastAsia"/>
        </w:rPr>
        <w:t xml:space="preserve"> </w:t>
      </w:r>
      <w:r w:rsidRPr="00D20BCC">
        <w:rPr>
          <w:rFonts w:hint="eastAsia"/>
        </w:rPr>
        <w:t>t</w:t>
      </w:r>
      <w:r w:rsidRPr="00D20BCC">
        <w:t>/a</w:t>
      </w:r>
      <w:r w:rsidRPr="00D20BCC">
        <w:t>。</w:t>
      </w:r>
    </w:p>
    <w:p w14:paraId="2FA56665" w14:textId="114892A7" w:rsidR="005D4F83" w:rsidRPr="00C938AD" w:rsidRDefault="005D4F83" w:rsidP="005D4F83">
      <w:pPr>
        <w:pStyle w:val="TimesNewRoman2"/>
        <w:spacing w:line="360" w:lineRule="auto"/>
        <w:ind w:firstLine="480"/>
        <w:rPr>
          <w:rFonts w:hAnsi="Times New Roman" w:cs="Times New Roman"/>
          <w:b w:val="0"/>
          <w:lang w:val="en-US"/>
        </w:rPr>
      </w:pPr>
      <w:r w:rsidRPr="00C938AD">
        <w:rPr>
          <w:rFonts w:hAnsi="Times New Roman" w:cs="Times New Roman" w:hint="eastAsia"/>
          <w:b w:val="0"/>
          <w:lang w:val="en-US"/>
        </w:rPr>
        <w:lastRenderedPageBreak/>
        <w:t>（</w:t>
      </w:r>
      <w:r w:rsidRPr="00C938AD">
        <w:rPr>
          <w:rFonts w:hAnsi="Times New Roman" w:cs="Times New Roman" w:hint="eastAsia"/>
          <w:b w:val="0"/>
          <w:lang w:val="en-US"/>
        </w:rPr>
        <w:t>3</w:t>
      </w:r>
      <w:r w:rsidRPr="00C938AD">
        <w:rPr>
          <w:rFonts w:hAnsi="Times New Roman" w:cs="Times New Roman" w:hint="eastAsia"/>
          <w:b w:val="0"/>
          <w:lang w:val="en-US"/>
        </w:rPr>
        <w:t>）破碎筛分粉尘</w:t>
      </w:r>
    </w:p>
    <w:p w14:paraId="58B1D882" w14:textId="488AF1D6" w:rsidR="00CF43D5" w:rsidRPr="00C938AD" w:rsidRDefault="005D4F83" w:rsidP="00CF43D5">
      <w:r w:rsidRPr="00C938AD">
        <w:rPr>
          <w:rFonts w:hint="eastAsia"/>
        </w:rPr>
        <w:t>根据</w:t>
      </w:r>
      <w:r w:rsidRPr="00C938AD">
        <w:t>《</w:t>
      </w:r>
      <w:r w:rsidRPr="00C938AD">
        <w:rPr>
          <w:rFonts w:hint="eastAsia"/>
        </w:rPr>
        <w:t>郏县中联天广水泥有限公司采石场水泥用石灰岩矿项目环境</w:t>
      </w:r>
      <w:r w:rsidRPr="00C938AD">
        <w:t>影响报告书》</w:t>
      </w:r>
      <w:r w:rsidRPr="00C938AD">
        <w:rPr>
          <w:rFonts w:hint="eastAsia"/>
        </w:rPr>
        <w:t>中，</w:t>
      </w:r>
      <w:proofErr w:type="gramStart"/>
      <w:r w:rsidRPr="00C938AD">
        <w:rPr>
          <w:rFonts w:hint="eastAsia"/>
        </w:rPr>
        <w:t>中析源</w:t>
      </w:r>
      <w:proofErr w:type="gramEnd"/>
      <w:r w:rsidRPr="00C938AD">
        <w:rPr>
          <w:rFonts w:hint="eastAsia"/>
        </w:rPr>
        <w:t>科技有限公司于</w:t>
      </w:r>
      <w:r w:rsidRPr="00C938AD">
        <w:rPr>
          <w:rFonts w:hint="eastAsia"/>
        </w:rPr>
        <w:t>2019</w:t>
      </w:r>
      <w:r w:rsidRPr="00C938AD">
        <w:rPr>
          <w:rFonts w:hint="eastAsia"/>
        </w:rPr>
        <w:t>年</w:t>
      </w:r>
      <w:r w:rsidRPr="00C938AD">
        <w:rPr>
          <w:rFonts w:cs="Times New Roman" w:hint="eastAsia"/>
        </w:rPr>
        <w:t>5</w:t>
      </w:r>
      <w:r w:rsidRPr="00C938AD">
        <w:rPr>
          <w:rFonts w:hint="eastAsia"/>
        </w:rPr>
        <w:t>月</w:t>
      </w:r>
      <w:r w:rsidRPr="00C938AD">
        <w:rPr>
          <w:rFonts w:cs="Times New Roman" w:hint="eastAsia"/>
        </w:rPr>
        <w:t>1</w:t>
      </w:r>
      <w:r w:rsidRPr="00C938AD">
        <w:rPr>
          <w:rFonts w:hint="eastAsia"/>
        </w:rPr>
        <w:t>日</w:t>
      </w:r>
      <w:r w:rsidRPr="00C938AD">
        <w:rPr>
          <w:rFonts w:cs="Times New Roman" w:hint="eastAsia"/>
        </w:rPr>
        <w:t>~5</w:t>
      </w:r>
      <w:r w:rsidRPr="00C938AD">
        <w:rPr>
          <w:rFonts w:hint="eastAsia"/>
        </w:rPr>
        <w:t>月</w:t>
      </w:r>
      <w:r w:rsidRPr="00C938AD">
        <w:rPr>
          <w:rFonts w:cs="Times New Roman" w:hint="eastAsia"/>
        </w:rPr>
        <w:t>2</w:t>
      </w:r>
      <w:r w:rsidRPr="00C938AD">
        <w:rPr>
          <w:rFonts w:hint="eastAsia"/>
        </w:rPr>
        <w:t>日对项目破碎场地现有</w:t>
      </w:r>
      <w:r w:rsidRPr="00C938AD">
        <w:rPr>
          <w:rFonts w:cs="Times New Roman" w:hint="eastAsia"/>
        </w:rPr>
        <w:t>2</w:t>
      </w:r>
      <w:r w:rsidRPr="00C938AD">
        <w:rPr>
          <w:rFonts w:hint="eastAsia"/>
        </w:rPr>
        <w:t>套脉冲袋式除尘器的进出口分别进行了监测，一破、二破、</w:t>
      </w:r>
      <w:proofErr w:type="gramStart"/>
      <w:r w:rsidRPr="00C938AD">
        <w:rPr>
          <w:rFonts w:hint="eastAsia"/>
        </w:rPr>
        <w:t>一</w:t>
      </w:r>
      <w:proofErr w:type="gramEnd"/>
      <w:r w:rsidRPr="00C938AD">
        <w:rPr>
          <w:rFonts w:hint="eastAsia"/>
        </w:rPr>
        <w:t>筛工序的粉尘产生系数为</w:t>
      </w:r>
      <w:r w:rsidRPr="00C938AD">
        <w:rPr>
          <w:rFonts w:cs="Times New Roman" w:hint="eastAsia"/>
        </w:rPr>
        <w:t>0.033kg/t</w:t>
      </w:r>
      <w:r w:rsidRPr="00C938AD">
        <w:rPr>
          <w:rFonts w:cs="Times New Roman"/>
        </w:rPr>
        <w:t>·</w:t>
      </w:r>
      <w:r w:rsidRPr="00C938AD">
        <w:rPr>
          <w:rFonts w:hint="eastAsia"/>
        </w:rPr>
        <w:t>矿石，二筛、三筛工序的粉尘产生系数为</w:t>
      </w:r>
      <w:r w:rsidRPr="00C938AD">
        <w:rPr>
          <w:rFonts w:hint="eastAsia"/>
        </w:rPr>
        <w:t>0.034kg/t</w:t>
      </w:r>
      <w:r w:rsidRPr="00C938AD">
        <w:rPr>
          <w:rFonts w:cs="Times New Roman"/>
        </w:rPr>
        <w:t>·</w:t>
      </w:r>
      <w:r w:rsidRPr="00C938AD">
        <w:rPr>
          <w:rFonts w:hint="eastAsia"/>
        </w:rPr>
        <w:t>矿石。评价根据现状监测情况，类比各工序污染物产生系数，经计算，本项目建成后，</w:t>
      </w:r>
      <w:r w:rsidR="00CF43D5" w:rsidRPr="00C938AD">
        <w:rPr>
          <w:rFonts w:hint="eastAsia"/>
        </w:rPr>
        <w:t>破碎场地一破、二破、</w:t>
      </w:r>
      <w:proofErr w:type="gramStart"/>
      <w:r w:rsidR="00CF43D5" w:rsidRPr="00C938AD">
        <w:rPr>
          <w:rFonts w:hint="eastAsia"/>
        </w:rPr>
        <w:t>一</w:t>
      </w:r>
      <w:proofErr w:type="gramEnd"/>
      <w:r w:rsidR="00CF43D5" w:rsidRPr="00C938AD">
        <w:rPr>
          <w:rFonts w:hint="eastAsia"/>
        </w:rPr>
        <w:t>筛工序的</w:t>
      </w:r>
      <w:proofErr w:type="gramStart"/>
      <w:r w:rsidR="00CF43D5" w:rsidRPr="00C938AD">
        <w:rPr>
          <w:rFonts w:hint="eastAsia"/>
        </w:rPr>
        <w:t>大理岩矿量为</w:t>
      </w:r>
      <w:proofErr w:type="gramEnd"/>
      <w:r w:rsidR="00D85880">
        <w:rPr>
          <w:rFonts w:hint="eastAsia"/>
        </w:rPr>
        <w:t>30</w:t>
      </w:r>
      <w:r w:rsidR="00CF43D5" w:rsidRPr="00C938AD">
        <w:rPr>
          <w:rFonts w:hint="eastAsia"/>
        </w:rPr>
        <w:t>万</w:t>
      </w:r>
      <w:r w:rsidR="00CF43D5" w:rsidRPr="00C938AD">
        <w:rPr>
          <w:rFonts w:hint="eastAsia"/>
        </w:rPr>
        <w:t>t/a</w:t>
      </w:r>
      <w:r w:rsidR="00CF43D5" w:rsidRPr="00C938AD">
        <w:rPr>
          <w:rFonts w:hint="eastAsia"/>
        </w:rPr>
        <w:t>，二筛、三筛工序的</w:t>
      </w:r>
      <w:proofErr w:type="gramStart"/>
      <w:r w:rsidR="00CF43D5" w:rsidRPr="00C938AD">
        <w:rPr>
          <w:rFonts w:hint="eastAsia"/>
        </w:rPr>
        <w:t>大理岩矿量为</w:t>
      </w:r>
      <w:proofErr w:type="gramEnd"/>
      <w:r w:rsidR="00193521">
        <w:rPr>
          <w:rFonts w:hint="eastAsia"/>
        </w:rPr>
        <w:t>18</w:t>
      </w:r>
      <w:r w:rsidR="00CF43D5" w:rsidRPr="00C938AD">
        <w:rPr>
          <w:rFonts w:hint="eastAsia"/>
        </w:rPr>
        <w:t>万</w:t>
      </w:r>
      <w:r w:rsidR="00CF43D5" w:rsidRPr="00C938AD">
        <w:rPr>
          <w:rFonts w:hint="eastAsia"/>
        </w:rPr>
        <w:t>t</w:t>
      </w:r>
      <w:r w:rsidR="00CF43D5" w:rsidRPr="00C938AD">
        <w:t>/a</w:t>
      </w:r>
      <w:r w:rsidR="00CF43D5" w:rsidRPr="00C938AD">
        <w:rPr>
          <w:rFonts w:hint="eastAsia"/>
        </w:rPr>
        <w:t>。</w:t>
      </w:r>
    </w:p>
    <w:p w14:paraId="2A1C8024" w14:textId="77777777" w:rsidR="00193521" w:rsidRDefault="005D4F83" w:rsidP="00CF43D5">
      <w:r w:rsidRPr="00C938AD">
        <w:rPr>
          <w:rFonts w:hint="eastAsia"/>
        </w:rPr>
        <w:t>破碎场地一破、二破、</w:t>
      </w:r>
      <w:proofErr w:type="gramStart"/>
      <w:r w:rsidRPr="00C938AD">
        <w:rPr>
          <w:rFonts w:hint="eastAsia"/>
        </w:rPr>
        <w:t>一</w:t>
      </w:r>
      <w:proofErr w:type="gramEnd"/>
      <w:r w:rsidRPr="00C938AD">
        <w:rPr>
          <w:rFonts w:hint="eastAsia"/>
        </w:rPr>
        <w:t>筛工序的粉尘产生量为</w:t>
      </w:r>
      <w:r w:rsidR="00193521">
        <w:rPr>
          <w:rFonts w:hint="eastAsia"/>
        </w:rPr>
        <w:t>9.9</w:t>
      </w:r>
      <w:r w:rsidRPr="00C938AD">
        <w:rPr>
          <w:rFonts w:hint="eastAsia"/>
        </w:rPr>
        <w:t>t/a</w:t>
      </w:r>
      <w:r w:rsidRPr="00C938AD">
        <w:rPr>
          <w:rFonts w:hint="eastAsia"/>
        </w:rPr>
        <w:t>，二筛、三筛工序的粉尘产生量为</w:t>
      </w:r>
      <w:r w:rsidR="00193521">
        <w:rPr>
          <w:rFonts w:cs="Times New Roman" w:hint="eastAsia"/>
        </w:rPr>
        <w:t>6.12</w:t>
      </w:r>
      <w:r w:rsidRPr="00C938AD">
        <w:rPr>
          <w:rFonts w:cs="Times New Roman" w:hint="eastAsia"/>
        </w:rPr>
        <w:t>t/a</w:t>
      </w:r>
      <w:r w:rsidRPr="00C938AD">
        <w:rPr>
          <w:rFonts w:hint="eastAsia"/>
        </w:rPr>
        <w:t>。</w:t>
      </w:r>
      <w:r w:rsidR="00CF43D5" w:rsidRPr="00C938AD">
        <w:rPr>
          <w:rFonts w:hint="eastAsia"/>
        </w:rPr>
        <w:t>项目破碎、筛分设备均设置了密闭的破碎车间、筛分车间，项目一破、二破、</w:t>
      </w:r>
      <w:proofErr w:type="gramStart"/>
      <w:r w:rsidR="00CF43D5" w:rsidRPr="00C938AD">
        <w:rPr>
          <w:rFonts w:hint="eastAsia"/>
        </w:rPr>
        <w:t>一</w:t>
      </w:r>
      <w:proofErr w:type="gramEnd"/>
      <w:r w:rsidR="00CF43D5" w:rsidRPr="00C938AD">
        <w:rPr>
          <w:rFonts w:hint="eastAsia"/>
        </w:rPr>
        <w:t>筛工序的粉尘经集气罩收集后进入</w:t>
      </w:r>
      <w:r w:rsidR="00CF43D5" w:rsidRPr="00C938AD">
        <w:rPr>
          <w:rFonts w:hint="eastAsia"/>
        </w:rPr>
        <w:t>1</w:t>
      </w:r>
      <w:r w:rsidR="00CF43D5" w:rsidRPr="00C938AD">
        <w:rPr>
          <w:rFonts w:hint="eastAsia"/>
        </w:rPr>
        <w:t>套脉冲袋式除尘器（</w:t>
      </w:r>
      <w:r w:rsidR="00CF43D5" w:rsidRPr="00C938AD">
        <w:rPr>
          <w:rFonts w:cs="Times New Roman" w:hint="eastAsia"/>
        </w:rPr>
        <w:t>1#</w:t>
      </w:r>
      <w:r w:rsidR="00CF43D5" w:rsidRPr="00C938AD">
        <w:rPr>
          <w:rFonts w:hint="eastAsia"/>
        </w:rPr>
        <w:t>）处理，集</w:t>
      </w:r>
      <w:proofErr w:type="gramStart"/>
      <w:r w:rsidR="00CF43D5" w:rsidRPr="00C938AD">
        <w:rPr>
          <w:rFonts w:hint="eastAsia"/>
        </w:rPr>
        <w:t>气罩对粉尘</w:t>
      </w:r>
      <w:proofErr w:type="gramEnd"/>
      <w:r w:rsidR="00CF43D5" w:rsidRPr="00C938AD">
        <w:rPr>
          <w:rFonts w:hint="eastAsia"/>
        </w:rPr>
        <w:t>的捕集效率约</w:t>
      </w:r>
      <w:r w:rsidR="00CF43D5" w:rsidRPr="00C938AD">
        <w:rPr>
          <w:rFonts w:cs="Times New Roman" w:hint="eastAsia"/>
        </w:rPr>
        <w:t>95%</w:t>
      </w:r>
      <w:r w:rsidR="00CF43D5" w:rsidRPr="00C938AD">
        <w:rPr>
          <w:rFonts w:hint="eastAsia"/>
        </w:rPr>
        <w:t>，脉冲袋式除尘器去除效率约</w:t>
      </w:r>
      <w:r w:rsidR="00CF43D5" w:rsidRPr="00C938AD">
        <w:rPr>
          <w:rFonts w:cs="Times New Roman" w:hint="eastAsia"/>
        </w:rPr>
        <w:t>9</w:t>
      </w:r>
      <w:r w:rsidR="00CF43D5" w:rsidRPr="00C938AD">
        <w:rPr>
          <w:rFonts w:cs="Times New Roman"/>
        </w:rPr>
        <w:t>9</w:t>
      </w:r>
      <w:r w:rsidR="00CF43D5" w:rsidRPr="00C938AD">
        <w:rPr>
          <w:rFonts w:cs="Times New Roman" w:hint="eastAsia"/>
        </w:rPr>
        <w:t>.9</w:t>
      </w:r>
      <w:r w:rsidR="00CF43D5" w:rsidRPr="00C938AD">
        <w:rPr>
          <w:rFonts w:cs="Times New Roman"/>
        </w:rPr>
        <w:t>%</w:t>
      </w:r>
      <w:r w:rsidR="00CF43D5" w:rsidRPr="00C938AD">
        <w:rPr>
          <w:rFonts w:cs="Times New Roman"/>
        </w:rPr>
        <w:t>，风机风量约为</w:t>
      </w:r>
      <w:r w:rsidR="00CF43D5" w:rsidRPr="00C938AD">
        <w:rPr>
          <w:rFonts w:cs="Times New Roman" w:hint="eastAsia"/>
        </w:rPr>
        <w:t>1</w:t>
      </w:r>
      <w:r w:rsidR="00CF43D5" w:rsidRPr="00C938AD">
        <w:rPr>
          <w:rFonts w:cs="Times New Roman"/>
        </w:rPr>
        <w:t>×10</w:t>
      </w:r>
      <w:r w:rsidR="00CF43D5" w:rsidRPr="00C938AD">
        <w:rPr>
          <w:rFonts w:cs="Times New Roman"/>
          <w:vertAlign w:val="superscript"/>
        </w:rPr>
        <w:t>4</w:t>
      </w:r>
      <w:r w:rsidR="00CF43D5" w:rsidRPr="00C938AD">
        <w:rPr>
          <w:rFonts w:cs="Times New Roman"/>
        </w:rPr>
        <w:t>m</w:t>
      </w:r>
      <w:r w:rsidR="00CF43D5" w:rsidRPr="00C938AD">
        <w:rPr>
          <w:rFonts w:cs="Times New Roman"/>
          <w:vertAlign w:val="superscript"/>
        </w:rPr>
        <w:t>3</w:t>
      </w:r>
      <w:r w:rsidR="00CF43D5" w:rsidRPr="00C938AD">
        <w:rPr>
          <w:rFonts w:cs="Times New Roman"/>
        </w:rPr>
        <w:t>/h</w:t>
      </w:r>
      <w:r w:rsidR="00CF43D5" w:rsidRPr="00C938AD">
        <w:rPr>
          <w:rFonts w:cs="Times New Roman"/>
        </w:rPr>
        <w:t>，经计算，处理后一破、二破、</w:t>
      </w:r>
      <w:proofErr w:type="gramStart"/>
      <w:r w:rsidR="00CF43D5" w:rsidRPr="00C938AD">
        <w:rPr>
          <w:rFonts w:cs="Times New Roman"/>
        </w:rPr>
        <w:t>一</w:t>
      </w:r>
      <w:proofErr w:type="gramEnd"/>
      <w:r w:rsidR="00CF43D5" w:rsidRPr="00C938AD">
        <w:rPr>
          <w:rFonts w:cs="Times New Roman"/>
        </w:rPr>
        <w:t>筛工序的粉尘排放量为</w:t>
      </w:r>
      <w:r w:rsidR="00CF43D5" w:rsidRPr="00C938AD">
        <w:rPr>
          <w:rFonts w:cs="Times New Roman" w:hint="eastAsia"/>
        </w:rPr>
        <w:t>0.0</w:t>
      </w:r>
      <w:r w:rsidR="00193521">
        <w:rPr>
          <w:rFonts w:cs="Times New Roman" w:hint="eastAsia"/>
        </w:rPr>
        <w:t>094</w:t>
      </w:r>
      <w:r w:rsidR="00CF43D5" w:rsidRPr="00C938AD">
        <w:rPr>
          <w:rFonts w:cs="Times New Roman"/>
        </w:rPr>
        <w:t>t/a</w:t>
      </w:r>
      <w:r w:rsidR="00CF43D5" w:rsidRPr="00C938AD">
        <w:rPr>
          <w:rFonts w:cs="Times New Roman" w:hint="eastAsia"/>
        </w:rPr>
        <w:t>（</w:t>
      </w:r>
      <w:r w:rsidR="00CF43D5" w:rsidRPr="00C938AD">
        <w:rPr>
          <w:rFonts w:cs="Times New Roman" w:hint="eastAsia"/>
        </w:rPr>
        <w:t>0.00</w:t>
      </w:r>
      <w:r w:rsidR="00193521">
        <w:rPr>
          <w:rFonts w:cs="Times New Roman" w:hint="eastAsia"/>
        </w:rPr>
        <w:t>39</w:t>
      </w:r>
      <w:r w:rsidR="00CF43D5" w:rsidRPr="00C938AD">
        <w:rPr>
          <w:rFonts w:cs="Times New Roman" w:hint="eastAsia"/>
        </w:rPr>
        <w:t>kg/h</w:t>
      </w:r>
      <w:r w:rsidR="00CF43D5" w:rsidRPr="00C938AD">
        <w:rPr>
          <w:rFonts w:cs="Times New Roman" w:hint="eastAsia"/>
        </w:rPr>
        <w:t>）</w:t>
      </w:r>
      <w:r w:rsidR="00CF43D5" w:rsidRPr="00C938AD">
        <w:rPr>
          <w:rFonts w:cs="Times New Roman"/>
        </w:rPr>
        <w:t>、排放浓度为</w:t>
      </w:r>
      <w:r w:rsidR="00CF43D5" w:rsidRPr="00C938AD">
        <w:rPr>
          <w:rFonts w:cs="Times New Roman" w:hint="eastAsia"/>
        </w:rPr>
        <w:t>0.</w:t>
      </w:r>
      <w:r w:rsidR="00193521">
        <w:rPr>
          <w:rFonts w:cs="Times New Roman" w:hint="eastAsia"/>
        </w:rPr>
        <w:t>39</w:t>
      </w:r>
      <w:r w:rsidR="00CF43D5" w:rsidRPr="00C938AD">
        <w:rPr>
          <w:rFonts w:cs="Times New Roman"/>
        </w:rPr>
        <w:t>mg/m</w:t>
      </w:r>
      <w:r w:rsidR="00CF43D5" w:rsidRPr="00C938AD">
        <w:rPr>
          <w:rFonts w:cs="Times New Roman"/>
          <w:vertAlign w:val="superscript"/>
        </w:rPr>
        <w:t>3</w:t>
      </w:r>
      <w:r w:rsidR="00CF43D5" w:rsidRPr="00C938AD">
        <w:rPr>
          <w:rFonts w:cs="Times New Roman"/>
        </w:rPr>
        <w:t>，</w:t>
      </w:r>
      <w:r w:rsidR="00CF43D5" w:rsidRPr="00C938AD">
        <w:rPr>
          <w:rFonts w:hint="eastAsia"/>
        </w:rPr>
        <w:t>处理后粉尘由</w:t>
      </w:r>
      <w:r w:rsidR="00CF43D5" w:rsidRPr="00C938AD">
        <w:rPr>
          <w:rFonts w:hint="eastAsia"/>
        </w:rPr>
        <w:t>1</w:t>
      </w:r>
      <w:r w:rsidR="00CF43D5" w:rsidRPr="00C938AD">
        <w:rPr>
          <w:rFonts w:hint="eastAsia"/>
        </w:rPr>
        <w:t>根</w:t>
      </w:r>
      <w:r w:rsidR="00CF43D5" w:rsidRPr="00C938AD">
        <w:rPr>
          <w:rFonts w:cs="Times New Roman" w:hint="eastAsia"/>
        </w:rPr>
        <w:t>15m</w:t>
      </w:r>
      <w:r w:rsidR="00CF43D5" w:rsidRPr="00C938AD">
        <w:rPr>
          <w:rFonts w:hint="eastAsia"/>
        </w:rPr>
        <w:t>高排气筒排放；</w:t>
      </w:r>
    </w:p>
    <w:p w14:paraId="382E8E79" w14:textId="3A557B01" w:rsidR="005D4F83" w:rsidRDefault="00CF43D5" w:rsidP="00CF43D5">
      <w:pPr>
        <w:rPr>
          <w:rFonts w:cs="Times New Roman"/>
          <w:bCs/>
        </w:rPr>
      </w:pPr>
      <w:r w:rsidRPr="00C938AD">
        <w:rPr>
          <w:rFonts w:hint="eastAsia"/>
        </w:rPr>
        <w:t>项目破碎场地二级、三级筛分粉尘经集气罩收集后进入</w:t>
      </w:r>
      <w:r w:rsidRPr="00C938AD">
        <w:rPr>
          <w:rFonts w:cs="Times New Roman" w:hint="eastAsia"/>
        </w:rPr>
        <w:t>1</w:t>
      </w:r>
      <w:r w:rsidRPr="00C938AD">
        <w:rPr>
          <w:rFonts w:hint="eastAsia"/>
        </w:rPr>
        <w:t>套脉冲袋式除尘器（</w:t>
      </w:r>
      <w:r w:rsidRPr="00C938AD">
        <w:rPr>
          <w:rFonts w:cs="Times New Roman" w:hint="eastAsia"/>
        </w:rPr>
        <w:t>2#</w:t>
      </w:r>
      <w:r w:rsidRPr="00C938AD">
        <w:rPr>
          <w:rFonts w:hint="eastAsia"/>
        </w:rPr>
        <w:t>）处理，集</w:t>
      </w:r>
      <w:proofErr w:type="gramStart"/>
      <w:r w:rsidRPr="00C938AD">
        <w:rPr>
          <w:rFonts w:hint="eastAsia"/>
        </w:rPr>
        <w:t>气罩对粉尘</w:t>
      </w:r>
      <w:proofErr w:type="gramEnd"/>
      <w:r w:rsidRPr="00C938AD">
        <w:rPr>
          <w:rFonts w:hint="eastAsia"/>
        </w:rPr>
        <w:t>的捕集效率约</w:t>
      </w:r>
      <w:r w:rsidRPr="00C938AD">
        <w:rPr>
          <w:rFonts w:cs="Times New Roman" w:hint="eastAsia"/>
        </w:rPr>
        <w:t>95%</w:t>
      </w:r>
      <w:r w:rsidRPr="00C938AD">
        <w:rPr>
          <w:rFonts w:hint="eastAsia"/>
        </w:rPr>
        <w:t>，脉冲袋式除尘器去除效率约</w:t>
      </w:r>
      <w:r w:rsidRPr="00C938AD">
        <w:rPr>
          <w:rFonts w:cs="Times New Roman" w:hint="eastAsia"/>
        </w:rPr>
        <w:t>99</w:t>
      </w:r>
      <w:r w:rsidRPr="00C938AD">
        <w:rPr>
          <w:rFonts w:cs="Times New Roman"/>
        </w:rPr>
        <w:t>.9</w:t>
      </w:r>
      <w:r w:rsidRPr="00C938AD">
        <w:rPr>
          <w:rFonts w:cs="Times New Roman" w:hint="eastAsia"/>
        </w:rPr>
        <w:t>%</w:t>
      </w:r>
      <w:r w:rsidRPr="00C938AD">
        <w:rPr>
          <w:rFonts w:hint="eastAsia"/>
        </w:rPr>
        <w:t>，风机风量约为</w:t>
      </w:r>
      <w:r w:rsidR="00193521">
        <w:rPr>
          <w:rFonts w:cs="Times New Roman" w:hint="eastAsia"/>
        </w:rPr>
        <w:t>1</w:t>
      </w:r>
      <w:r w:rsidRPr="00C938AD">
        <w:rPr>
          <w:rFonts w:hint="eastAsia"/>
        </w:rPr>
        <w:t>×</w:t>
      </w:r>
      <w:r w:rsidRPr="00C938AD">
        <w:rPr>
          <w:rFonts w:cs="Times New Roman" w:hint="eastAsia"/>
        </w:rPr>
        <w:t>10</w:t>
      </w:r>
      <w:r w:rsidRPr="00C938AD">
        <w:rPr>
          <w:rFonts w:hint="eastAsia"/>
          <w:vertAlign w:val="superscript"/>
        </w:rPr>
        <w:t>4</w:t>
      </w:r>
      <w:r w:rsidRPr="00C938AD">
        <w:rPr>
          <w:rFonts w:hint="eastAsia"/>
        </w:rPr>
        <w:t>m</w:t>
      </w:r>
      <w:r w:rsidRPr="00C938AD">
        <w:rPr>
          <w:rFonts w:hint="eastAsia"/>
          <w:vertAlign w:val="superscript"/>
        </w:rPr>
        <w:t>3</w:t>
      </w:r>
      <w:r w:rsidRPr="00C938AD">
        <w:rPr>
          <w:rFonts w:hint="eastAsia"/>
        </w:rPr>
        <w:t>/h</w:t>
      </w:r>
      <w:r w:rsidRPr="00C938AD">
        <w:rPr>
          <w:rFonts w:hint="eastAsia"/>
        </w:rPr>
        <w:t>，经计算，处理后二筛、三筛工序的粉尘排放量为</w:t>
      </w:r>
      <w:r w:rsidRPr="00C938AD">
        <w:rPr>
          <w:rFonts w:cs="Times New Roman" w:hint="eastAsia"/>
        </w:rPr>
        <w:t>0.00</w:t>
      </w:r>
      <w:r w:rsidR="00193521">
        <w:rPr>
          <w:rFonts w:cs="Times New Roman" w:hint="eastAsia"/>
        </w:rPr>
        <w:t>58</w:t>
      </w:r>
      <w:r w:rsidRPr="00C938AD">
        <w:rPr>
          <w:rFonts w:cs="Times New Roman"/>
        </w:rPr>
        <w:t>t/a</w:t>
      </w:r>
      <w:r w:rsidRPr="00C938AD">
        <w:rPr>
          <w:rFonts w:cs="Times New Roman" w:hint="eastAsia"/>
        </w:rPr>
        <w:t>（</w:t>
      </w:r>
      <w:r w:rsidRPr="00C938AD">
        <w:rPr>
          <w:rFonts w:cs="Times New Roman" w:hint="eastAsia"/>
        </w:rPr>
        <w:t>0.00</w:t>
      </w:r>
      <w:r w:rsidR="00193521">
        <w:rPr>
          <w:rFonts w:cs="Times New Roman" w:hint="eastAsia"/>
        </w:rPr>
        <w:t>24</w:t>
      </w:r>
      <w:r w:rsidRPr="00C938AD">
        <w:rPr>
          <w:rFonts w:cs="Times New Roman" w:hint="eastAsia"/>
        </w:rPr>
        <w:t>kg/h</w:t>
      </w:r>
      <w:r w:rsidRPr="00C938AD">
        <w:rPr>
          <w:rFonts w:cs="Times New Roman" w:hint="eastAsia"/>
        </w:rPr>
        <w:t>）</w:t>
      </w:r>
      <w:r w:rsidRPr="00C938AD">
        <w:rPr>
          <w:rFonts w:cs="Times New Roman"/>
        </w:rPr>
        <w:t>、排放浓度为</w:t>
      </w:r>
      <w:r w:rsidR="00193521">
        <w:rPr>
          <w:rFonts w:cs="Times New Roman" w:hint="eastAsia"/>
        </w:rPr>
        <w:t>0.24</w:t>
      </w:r>
      <w:r w:rsidRPr="00C938AD">
        <w:rPr>
          <w:rFonts w:cs="Times New Roman"/>
        </w:rPr>
        <w:t>mg/m</w:t>
      </w:r>
      <w:r w:rsidRPr="00C938AD">
        <w:rPr>
          <w:rFonts w:cs="Times New Roman"/>
          <w:vertAlign w:val="superscript"/>
        </w:rPr>
        <w:t>3</w:t>
      </w:r>
      <w:r w:rsidRPr="00C938AD">
        <w:rPr>
          <w:rFonts w:cs="Times New Roman"/>
        </w:rPr>
        <w:t>，</w:t>
      </w:r>
      <w:r w:rsidRPr="00C938AD">
        <w:rPr>
          <w:rFonts w:hint="eastAsia"/>
        </w:rPr>
        <w:t>处理后粉尘由</w:t>
      </w:r>
      <w:r w:rsidRPr="00C938AD">
        <w:rPr>
          <w:rFonts w:hint="eastAsia"/>
        </w:rPr>
        <w:t>1</w:t>
      </w:r>
      <w:r w:rsidRPr="00C938AD">
        <w:rPr>
          <w:rFonts w:hint="eastAsia"/>
        </w:rPr>
        <w:t>根</w:t>
      </w:r>
      <w:r w:rsidRPr="00C938AD">
        <w:rPr>
          <w:rFonts w:cs="Times New Roman" w:hint="eastAsia"/>
        </w:rPr>
        <w:t>15m</w:t>
      </w:r>
      <w:r w:rsidRPr="00C938AD">
        <w:rPr>
          <w:rFonts w:hint="eastAsia"/>
        </w:rPr>
        <w:t>高排气筒排放。</w:t>
      </w:r>
      <w:r w:rsidR="005D4F83" w:rsidRPr="00C938AD">
        <w:rPr>
          <w:rFonts w:cs="Times New Roman"/>
          <w:bCs/>
        </w:rPr>
        <w:t>故满足</w:t>
      </w:r>
      <w:r w:rsidR="003B0C72" w:rsidRPr="00C938AD">
        <w:rPr>
          <w:rFonts w:cs="Times New Roman"/>
          <w:szCs w:val="21"/>
        </w:rPr>
        <w:t>《</w:t>
      </w:r>
      <w:r w:rsidR="003B0C72" w:rsidRPr="00C938AD">
        <w:rPr>
          <w:rFonts w:cs="Times New Roman" w:hint="eastAsia"/>
          <w:szCs w:val="21"/>
        </w:rPr>
        <w:t>水泥工业大气</w:t>
      </w:r>
      <w:r w:rsidR="003B0C72" w:rsidRPr="00C938AD">
        <w:rPr>
          <w:rFonts w:cs="Times New Roman"/>
          <w:szCs w:val="21"/>
        </w:rPr>
        <w:t>污染物排放标准》（</w:t>
      </w:r>
      <w:r w:rsidR="003B0C72" w:rsidRPr="00C938AD">
        <w:rPr>
          <w:rFonts w:cs="Times New Roman"/>
          <w:szCs w:val="21"/>
        </w:rPr>
        <w:t>GB</w:t>
      </w:r>
      <w:r w:rsidR="003B0C72" w:rsidRPr="00C938AD">
        <w:rPr>
          <w:rFonts w:cs="Times New Roman" w:hint="eastAsia"/>
          <w:szCs w:val="21"/>
        </w:rPr>
        <w:t>4915</w:t>
      </w:r>
      <w:r w:rsidR="003B0C72" w:rsidRPr="00C938AD">
        <w:rPr>
          <w:rFonts w:cs="Times New Roman"/>
          <w:szCs w:val="21"/>
        </w:rPr>
        <w:t>-</w:t>
      </w:r>
      <w:r w:rsidR="003B0C72" w:rsidRPr="00C938AD">
        <w:rPr>
          <w:rFonts w:cs="Times New Roman" w:hint="eastAsia"/>
          <w:szCs w:val="21"/>
        </w:rPr>
        <w:t>2013</w:t>
      </w:r>
      <w:r w:rsidR="003B0C72" w:rsidRPr="00C938AD">
        <w:rPr>
          <w:rFonts w:cs="Times New Roman"/>
          <w:szCs w:val="21"/>
        </w:rPr>
        <w:t>）表</w:t>
      </w:r>
      <w:r w:rsidR="003B0C72" w:rsidRPr="00C938AD">
        <w:rPr>
          <w:rFonts w:cs="Times New Roman" w:hint="eastAsia"/>
          <w:szCs w:val="21"/>
        </w:rPr>
        <w:t>2</w:t>
      </w:r>
      <w:r w:rsidR="003B0C72" w:rsidRPr="00C938AD">
        <w:rPr>
          <w:rFonts w:cs="Times New Roman" w:hint="eastAsia"/>
          <w:szCs w:val="21"/>
        </w:rPr>
        <w:t>中矿山开采大气污染</w:t>
      </w:r>
      <w:proofErr w:type="gramStart"/>
      <w:r w:rsidR="003B0C72" w:rsidRPr="00C938AD">
        <w:rPr>
          <w:rFonts w:cs="Times New Roman" w:hint="eastAsia"/>
          <w:szCs w:val="21"/>
        </w:rPr>
        <w:t>物特别</w:t>
      </w:r>
      <w:proofErr w:type="gramEnd"/>
      <w:r w:rsidR="003B0C72" w:rsidRPr="00C938AD">
        <w:rPr>
          <w:rFonts w:cs="Times New Roman" w:hint="eastAsia"/>
          <w:szCs w:val="21"/>
        </w:rPr>
        <w:t>排放限值要求及表</w:t>
      </w:r>
      <w:r w:rsidR="003B0C72" w:rsidRPr="00C938AD">
        <w:rPr>
          <w:rFonts w:cs="Times New Roman" w:hint="eastAsia"/>
          <w:szCs w:val="21"/>
        </w:rPr>
        <w:t>3</w:t>
      </w:r>
      <w:r w:rsidR="003B0C72" w:rsidRPr="00C938AD">
        <w:rPr>
          <w:rFonts w:cs="Times New Roman" w:hint="eastAsia"/>
          <w:szCs w:val="21"/>
        </w:rPr>
        <w:t>中标准、</w:t>
      </w:r>
      <w:r w:rsidR="005D4F83" w:rsidRPr="00C938AD">
        <w:rPr>
          <w:rFonts w:hint="eastAsia"/>
          <w:bCs/>
        </w:rPr>
        <w:t>《</w:t>
      </w:r>
      <w:r w:rsidR="005D4F83" w:rsidRPr="00C938AD">
        <w:rPr>
          <w:bCs/>
        </w:rPr>
        <w:t>大气污染物综合排放标准</w:t>
      </w:r>
      <w:r w:rsidR="005D4F83" w:rsidRPr="00C938AD">
        <w:rPr>
          <w:rFonts w:hint="eastAsia"/>
          <w:bCs/>
        </w:rPr>
        <w:t>》（</w:t>
      </w:r>
      <w:r w:rsidR="005D4F83" w:rsidRPr="00C938AD">
        <w:rPr>
          <w:bCs/>
        </w:rPr>
        <w:t>GB16297-1996</w:t>
      </w:r>
      <w:r w:rsidR="005D4F83" w:rsidRPr="00C938AD">
        <w:rPr>
          <w:rFonts w:hint="eastAsia"/>
          <w:bCs/>
        </w:rPr>
        <w:t>）表</w:t>
      </w:r>
      <w:r w:rsidR="005D4F83" w:rsidRPr="00C938AD">
        <w:rPr>
          <w:rFonts w:hint="eastAsia"/>
          <w:bCs/>
        </w:rPr>
        <w:t>2</w:t>
      </w:r>
      <w:r w:rsidR="005D4F83" w:rsidRPr="00C938AD">
        <w:rPr>
          <w:rFonts w:hint="eastAsia"/>
          <w:bCs/>
        </w:rPr>
        <w:t>中二级标准及《</w:t>
      </w:r>
      <w:hyperlink r:id="rId24" w:tgtFrame="https://www.so.com/_blank" w:history="1">
        <w:r w:rsidR="005D4F83" w:rsidRPr="00C938AD">
          <w:rPr>
            <w:rFonts w:hint="eastAsia"/>
            <w:bCs/>
          </w:rPr>
          <w:t>建筑石料、石材矿绿色矿山建设规范</w:t>
        </w:r>
      </w:hyperlink>
      <w:r w:rsidR="005D4F83" w:rsidRPr="00C938AD">
        <w:rPr>
          <w:rFonts w:hint="eastAsia"/>
          <w:bCs/>
        </w:rPr>
        <w:t>》</w:t>
      </w:r>
      <w:r w:rsidR="005D4F83" w:rsidRPr="00C938AD">
        <w:rPr>
          <w:rFonts w:hint="eastAsia"/>
          <w:bCs/>
        </w:rPr>
        <w:t>DB41/T1665-2018</w:t>
      </w:r>
      <w:r w:rsidR="005D4F83" w:rsidRPr="00C938AD">
        <w:rPr>
          <w:rFonts w:hint="eastAsia"/>
          <w:bCs/>
        </w:rPr>
        <w:t>中附录</w:t>
      </w:r>
      <w:r w:rsidR="005D4F83" w:rsidRPr="00C938AD">
        <w:rPr>
          <w:rFonts w:hint="eastAsia"/>
          <w:bCs/>
        </w:rPr>
        <w:t>A</w:t>
      </w:r>
      <w:r w:rsidR="005D4F83" w:rsidRPr="00C938AD">
        <w:rPr>
          <w:rFonts w:hint="eastAsia"/>
          <w:bCs/>
        </w:rPr>
        <w:t>要求（有组织</w:t>
      </w:r>
      <w:r w:rsidR="005D4F83" w:rsidRPr="00C938AD">
        <w:rPr>
          <w:rFonts w:hint="eastAsia"/>
          <w:bCs/>
        </w:rPr>
        <w:t>10</w:t>
      </w:r>
      <w:r w:rsidR="005D4F83" w:rsidRPr="00C938AD">
        <w:rPr>
          <w:rFonts w:cs="Times New Roman"/>
          <w:bCs/>
        </w:rPr>
        <w:t>mg/m</w:t>
      </w:r>
      <w:r w:rsidR="005D4F83" w:rsidRPr="00C938AD">
        <w:rPr>
          <w:rFonts w:cs="Times New Roman"/>
          <w:bCs/>
          <w:vertAlign w:val="superscript"/>
        </w:rPr>
        <w:t>3</w:t>
      </w:r>
      <w:r w:rsidR="005D4F83" w:rsidRPr="00C938AD">
        <w:rPr>
          <w:rFonts w:cs="Times New Roman" w:hint="eastAsia"/>
          <w:bCs/>
        </w:rPr>
        <w:t>和无组织</w:t>
      </w:r>
      <w:r w:rsidR="005D4F83" w:rsidRPr="00C938AD">
        <w:rPr>
          <w:rFonts w:cs="Times New Roman" w:hint="eastAsia"/>
          <w:bCs/>
        </w:rPr>
        <w:t>0.5</w:t>
      </w:r>
      <w:r w:rsidR="005D4F83" w:rsidRPr="00C938AD">
        <w:rPr>
          <w:rFonts w:cs="Times New Roman"/>
          <w:bCs/>
        </w:rPr>
        <w:t>mg/m</w:t>
      </w:r>
      <w:r w:rsidR="005D4F83" w:rsidRPr="00C938AD">
        <w:rPr>
          <w:rFonts w:cs="Times New Roman"/>
          <w:bCs/>
          <w:vertAlign w:val="superscript"/>
        </w:rPr>
        <w:t>3</w:t>
      </w:r>
      <w:r w:rsidR="005D4F83" w:rsidRPr="00C938AD">
        <w:rPr>
          <w:rFonts w:hint="eastAsia"/>
          <w:bCs/>
        </w:rPr>
        <w:t>）</w:t>
      </w:r>
      <w:r w:rsidR="005D4F83" w:rsidRPr="00C938AD">
        <w:rPr>
          <w:rFonts w:cs="Times New Roman"/>
          <w:bCs/>
        </w:rPr>
        <w:t>。</w:t>
      </w:r>
    </w:p>
    <w:p w14:paraId="7FBD4817" w14:textId="7EEB177C" w:rsidR="00193521" w:rsidRDefault="00193521" w:rsidP="00193521">
      <w:r>
        <w:rPr>
          <w:rFonts w:hint="eastAsia"/>
        </w:rPr>
        <w:t>项目破碎、筛分设备均设置了密闭的破碎车间、筛分车间，集</w:t>
      </w:r>
      <w:proofErr w:type="gramStart"/>
      <w:r>
        <w:rPr>
          <w:rFonts w:hint="eastAsia"/>
        </w:rPr>
        <w:t>气罩对粉尘</w:t>
      </w:r>
      <w:proofErr w:type="gramEnd"/>
      <w:r>
        <w:rPr>
          <w:rFonts w:hint="eastAsia"/>
        </w:rPr>
        <w:t>的捕集效率按</w:t>
      </w:r>
      <w:r>
        <w:rPr>
          <w:rFonts w:hint="eastAsia"/>
        </w:rPr>
        <w:t>95%</w:t>
      </w:r>
      <w:r>
        <w:rPr>
          <w:rFonts w:hint="eastAsia"/>
        </w:rPr>
        <w:t>计算，则项目破碎场地无组织粉尘产生量为</w:t>
      </w:r>
      <w:r>
        <w:rPr>
          <w:rFonts w:cs="Times New Roman" w:hint="eastAsia"/>
        </w:rPr>
        <w:t>0.801t/a</w:t>
      </w:r>
      <w:r>
        <w:rPr>
          <w:rFonts w:hint="eastAsia"/>
        </w:rPr>
        <w:t>，考虑到各</w:t>
      </w:r>
      <w:proofErr w:type="gramStart"/>
      <w:r>
        <w:rPr>
          <w:rFonts w:hint="eastAsia"/>
        </w:rPr>
        <w:t>产尘设备</w:t>
      </w:r>
      <w:proofErr w:type="gramEnd"/>
      <w:r>
        <w:rPr>
          <w:rFonts w:hint="eastAsia"/>
        </w:rPr>
        <w:t>均位于密闭车间内，车间对粉尘的沉降</w:t>
      </w:r>
      <w:proofErr w:type="gramStart"/>
      <w:r>
        <w:rPr>
          <w:rFonts w:hint="eastAsia"/>
        </w:rPr>
        <w:t>作用按</w:t>
      </w:r>
      <w:proofErr w:type="gramEnd"/>
      <w:r>
        <w:rPr>
          <w:rFonts w:cs="Times New Roman" w:hint="eastAsia"/>
        </w:rPr>
        <w:t>90%</w:t>
      </w:r>
      <w:r>
        <w:rPr>
          <w:rFonts w:hint="eastAsia"/>
        </w:rPr>
        <w:t>计算，则破碎场地无组织粉尘排放量为</w:t>
      </w:r>
      <w:r>
        <w:rPr>
          <w:rFonts w:cs="Times New Roman" w:hint="eastAsia"/>
        </w:rPr>
        <w:t>0.08t/a</w:t>
      </w:r>
      <w:r>
        <w:rPr>
          <w:rFonts w:hint="eastAsia"/>
        </w:rPr>
        <w:t>。</w:t>
      </w:r>
    </w:p>
    <w:p w14:paraId="0116ED7D" w14:textId="10FB0FBB" w:rsidR="003F631A" w:rsidRPr="00C938AD" w:rsidRDefault="003F631A" w:rsidP="003F631A">
      <w:pPr>
        <w:spacing w:line="480" w:lineRule="exact"/>
      </w:pPr>
      <w:r w:rsidRPr="00C938AD">
        <w:rPr>
          <w:rFonts w:hint="eastAsia"/>
        </w:rPr>
        <w:t>（</w:t>
      </w:r>
      <w:r w:rsidR="005D4F83" w:rsidRPr="00C938AD">
        <w:rPr>
          <w:rFonts w:hint="eastAsia"/>
        </w:rPr>
        <w:t>4</w:t>
      </w:r>
      <w:r w:rsidRPr="00C938AD">
        <w:rPr>
          <w:rFonts w:hint="eastAsia"/>
        </w:rPr>
        <w:t>）</w:t>
      </w:r>
      <w:r w:rsidRPr="00C938AD">
        <w:t>运输扬尘</w:t>
      </w:r>
    </w:p>
    <w:p w14:paraId="67A177A0" w14:textId="77777777" w:rsidR="003F631A" w:rsidRPr="00C938AD" w:rsidRDefault="003F631A" w:rsidP="003F631A">
      <w:pPr>
        <w:spacing w:line="480" w:lineRule="exact"/>
      </w:pPr>
      <w:r w:rsidRPr="00C938AD">
        <w:rPr>
          <w:rFonts w:hint="eastAsia"/>
        </w:rPr>
        <w:lastRenderedPageBreak/>
        <w:t>矿石外运道路采用简易洒水车</w:t>
      </w:r>
      <w:r w:rsidRPr="00C938AD">
        <w:t>对运输道路洒水，减少运输扬尘的产生。</w:t>
      </w:r>
    </w:p>
    <w:p w14:paraId="38771D34" w14:textId="67E26389" w:rsidR="003F631A" w:rsidRPr="00C938AD" w:rsidRDefault="003F631A" w:rsidP="003F631A">
      <w:pPr>
        <w:spacing w:line="480" w:lineRule="exact"/>
      </w:pPr>
      <w:r w:rsidRPr="00C938AD">
        <w:rPr>
          <w:rFonts w:hint="eastAsia"/>
        </w:rPr>
        <w:t>（</w:t>
      </w:r>
      <w:r w:rsidR="005D4F83" w:rsidRPr="00C938AD">
        <w:rPr>
          <w:rFonts w:hint="eastAsia"/>
        </w:rPr>
        <w:t>5</w:t>
      </w:r>
      <w:r w:rsidRPr="00C938AD">
        <w:rPr>
          <w:rFonts w:hint="eastAsia"/>
        </w:rPr>
        <w:t>）燃油机械尾气</w:t>
      </w:r>
    </w:p>
    <w:p w14:paraId="4CA81E4B" w14:textId="77777777" w:rsidR="003F631A" w:rsidRPr="00C938AD" w:rsidRDefault="003F631A" w:rsidP="003F631A">
      <w:pPr>
        <w:pStyle w:val="aff3"/>
        <w:adjustRightInd w:val="0"/>
        <w:snapToGrid w:val="0"/>
        <w:spacing w:line="480" w:lineRule="exact"/>
        <w:ind w:firstLine="480"/>
        <w:rPr>
          <w:sz w:val="24"/>
        </w:rPr>
      </w:pPr>
      <w:r w:rsidRPr="00C938AD">
        <w:rPr>
          <w:sz w:val="24"/>
        </w:rPr>
        <w:t>各类燃油动力机械在</w:t>
      </w:r>
      <w:r w:rsidRPr="00C938AD">
        <w:rPr>
          <w:rFonts w:hint="eastAsia"/>
          <w:sz w:val="24"/>
        </w:rPr>
        <w:t>开采、运输</w:t>
      </w:r>
      <w:r w:rsidRPr="00C938AD">
        <w:rPr>
          <w:sz w:val="24"/>
        </w:rPr>
        <w:t>作业时，会排出各类燃油废气，排放的主要污染物为</w:t>
      </w:r>
      <w:r w:rsidRPr="00C938AD">
        <w:rPr>
          <w:sz w:val="24"/>
        </w:rPr>
        <w:t>CO</w:t>
      </w:r>
      <w:r w:rsidRPr="00C938AD">
        <w:rPr>
          <w:sz w:val="24"/>
        </w:rPr>
        <w:t>、</w:t>
      </w:r>
      <w:r w:rsidRPr="00C938AD">
        <w:rPr>
          <w:sz w:val="24"/>
        </w:rPr>
        <w:t>HC</w:t>
      </w:r>
      <w:r w:rsidRPr="00C938AD">
        <w:rPr>
          <w:sz w:val="24"/>
        </w:rPr>
        <w:t>、</w:t>
      </w:r>
      <w:r w:rsidRPr="00C938AD">
        <w:rPr>
          <w:sz w:val="24"/>
        </w:rPr>
        <w:t>NO</w:t>
      </w:r>
      <w:r w:rsidRPr="00C938AD">
        <w:rPr>
          <w:sz w:val="24"/>
          <w:vertAlign w:val="subscript"/>
        </w:rPr>
        <w:t>x</w:t>
      </w:r>
      <w:r w:rsidRPr="00C938AD">
        <w:rPr>
          <w:sz w:val="24"/>
        </w:rPr>
        <w:t>等。</w:t>
      </w:r>
      <w:r w:rsidRPr="00C938AD">
        <w:rPr>
          <w:rFonts w:hint="eastAsia"/>
          <w:sz w:val="24"/>
        </w:rPr>
        <w:t>采取定期保养、加注合格油品减轻燃油机械尾气影响。</w:t>
      </w:r>
    </w:p>
    <w:p w14:paraId="689F0B3F" w14:textId="661A82BF" w:rsidR="003F631A" w:rsidRPr="00B94DD9" w:rsidRDefault="003F631A" w:rsidP="003F631A">
      <w:pPr>
        <w:spacing w:line="480" w:lineRule="exact"/>
        <w:rPr>
          <w:rFonts w:ascii="楷体" w:eastAsia="楷体" w:hAnsi="楷体"/>
        </w:rPr>
      </w:pPr>
      <w:r w:rsidRPr="00C938AD">
        <w:rPr>
          <w:rFonts w:ascii="楷体" w:eastAsia="楷体" w:hAnsi="楷体" w:hint="eastAsia"/>
        </w:rPr>
        <w:t>3</w:t>
      </w:r>
      <w:r w:rsidRPr="00C938AD">
        <w:rPr>
          <w:rFonts w:ascii="楷体" w:eastAsia="楷体" w:hAnsi="楷体"/>
        </w:rPr>
        <w:t>.1.</w:t>
      </w:r>
      <w:r w:rsidRPr="00C938AD">
        <w:rPr>
          <w:rFonts w:ascii="楷体" w:eastAsia="楷体" w:hAnsi="楷体" w:hint="eastAsia"/>
        </w:rPr>
        <w:t>3</w:t>
      </w:r>
      <w:r w:rsidRPr="00C938AD">
        <w:rPr>
          <w:rFonts w:ascii="楷体" w:eastAsia="楷体" w:hAnsi="楷体"/>
        </w:rPr>
        <w:t>.</w:t>
      </w:r>
      <w:r w:rsidRPr="00B94DD9">
        <w:rPr>
          <w:rFonts w:ascii="楷体" w:eastAsia="楷体" w:hAnsi="楷体"/>
        </w:rPr>
        <w:t>2</w:t>
      </w:r>
      <w:bookmarkStart w:id="76" w:name="_Hlk33099377"/>
      <w:r w:rsidR="00A21D5F" w:rsidRPr="00B94DD9">
        <w:rPr>
          <w:rFonts w:ascii="楷体" w:eastAsia="楷体" w:hAnsi="楷体" w:hint="eastAsia"/>
        </w:rPr>
        <w:t>资源整合</w:t>
      </w:r>
      <w:proofErr w:type="gramStart"/>
      <w:r w:rsidR="00A21D5F" w:rsidRPr="00B94DD9">
        <w:rPr>
          <w:rFonts w:ascii="楷体" w:eastAsia="楷体" w:hAnsi="楷体" w:hint="eastAsia"/>
        </w:rPr>
        <w:t>前现有</w:t>
      </w:r>
      <w:proofErr w:type="gramEnd"/>
      <w:r w:rsidR="00A21D5F" w:rsidRPr="00B94DD9">
        <w:rPr>
          <w:rFonts w:ascii="楷体" w:eastAsia="楷体" w:hAnsi="楷体" w:hint="eastAsia"/>
        </w:rPr>
        <w:t>工程</w:t>
      </w:r>
      <w:bookmarkEnd w:id="76"/>
      <w:r w:rsidRPr="00B94DD9">
        <w:rPr>
          <w:rFonts w:ascii="楷体" w:eastAsia="楷体" w:hAnsi="楷体"/>
        </w:rPr>
        <w:t>水环境影响及防治措施</w:t>
      </w:r>
    </w:p>
    <w:p w14:paraId="387F4E39" w14:textId="24E9C33D" w:rsidR="003F631A" w:rsidRPr="00B94DD9" w:rsidRDefault="006E1BC4" w:rsidP="003F631A">
      <w:pPr>
        <w:spacing w:line="480" w:lineRule="exact"/>
      </w:pPr>
      <w:r>
        <w:rPr>
          <w:rFonts w:ascii="宋体" w:hAnsi="宋体" w:hint="eastAsia"/>
        </w:rPr>
        <w:t>资源整合</w:t>
      </w:r>
      <w:proofErr w:type="gramStart"/>
      <w:r>
        <w:rPr>
          <w:rFonts w:ascii="宋体" w:hAnsi="宋体" w:hint="eastAsia"/>
        </w:rPr>
        <w:t>前现有</w:t>
      </w:r>
      <w:proofErr w:type="gramEnd"/>
      <w:r>
        <w:rPr>
          <w:rFonts w:ascii="宋体" w:hAnsi="宋体" w:hint="eastAsia"/>
        </w:rPr>
        <w:t>工程运营期露天采场凿岩、爆破、运输、装卸等各个环节中均需洒水，这部分水均被物料吸收或自然蒸发，不会产生外排废水，无生产废水产生。</w:t>
      </w:r>
      <w:r w:rsidR="00A21D5F" w:rsidRPr="00B94DD9">
        <w:rPr>
          <w:rFonts w:hint="eastAsia"/>
        </w:rPr>
        <w:t>资源整合</w:t>
      </w:r>
      <w:proofErr w:type="gramStart"/>
      <w:r w:rsidR="00A21D5F" w:rsidRPr="00B94DD9">
        <w:rPr>
          <w:rFonts w:hint="eastAsia"/>
        </w:rPr>
        <w:t>前</w:t>
      </w:r>
      <w:r w:rsidR="003F631A" w:rsidRPr="00B94DD9">
        <w:rPr>
          <w:rFonts w:hint="eastAsia"/>
        </w:rPr>
        <w:t>现有</w:t>
      </w:r>
      <w:proofErr w:type="gramEnd"/>
      <w:r w:rsidR="003F631A" w:rsidRPr="00B94DD9">
        <w:rPr>
          <w:rFonts w:hint="eastAsia"/>
        </w:rPr>
        <w:t>工程</w:t>
      </w:r>
      <w:r w:rsidR="003F631A" w:rsidRPr="00B94DD9">
        <w:t>废水主要为职工生活污水。</w:t>
      </w:r>
    </w:p>
    <w:p w14:paraId="5135D584" w14:textId="1E1104FE" w:rsidR="003F631A" w:rsidRPr="00C938AD" w:rsidRDefault="006E1BC4" w:rsidP="003F631A">
      <w:pPr>
        <w:spacing w:line="480" w:lineRule="exact"/>
      </w:pPr>
      <w:r>
        <w:rPr>
          <w:rFonts w:hint="eastAsia"/>
        </w:rPr>
        <w:t>现有工程</w:t>
      </w:r>
      <w:r w:rsidR="003F631A" w:rsidRPr="00C938AD">
        <w:t>劳动定员</w:t>
      </w:r>
      <w:r w:rsidR="004829D5" w:rsidRPr="00C938AD">
        <w:rPr>
          <w:rFonts w:hint="eastAsia"/>
        </w:rPr>
        <w:t>25</w:t>
      </w:r>
      <w:r w:rsidR="003F631A" w:rsidRPr="00C938AD">
        <w:t>人，</w:t>
      </w:r>
      <w:r w:rsidR="003F631A" w:rsidRPr="00C938AD">
        <w:rPr>
          <w:rFonts w:hint="eastAsia"/>
        </w:rPr>
        <w:t>均为当地村民，不在矿山食宿，</w:t>
      </w:r>
      <w:r w:rsidR="003F631A" w:rsidRPr="00C938AD">
        <w:t>按每人</w:t>
      </w:r>
      <w:r w:rsidR="003F631A" w:rsidRPr="00C938AD">
        <w:rPr>
          <w:rFonts w:hint="eastAsia"/>
        </w:rPr>
        <w:t>40</w:t>
      </w:r>
      <w:r w:rsidR="003F631A" w:rsidRPr="00C938AD">
        <w:t>L/d</w:t>
      </w:r>
      <w:r w:rsidR="003F631A" w:rsidRPr="00C938AD">
        <w:t>计，则生活用水量为</w:t>
      </w:r>
      <w:r w:rsidR="004829D5" w:rsidRPr="00C938AD">
        <w:rPr>
          <w:rFonts w:hint="eastAsia"/>
        </w:rPr>
        <w:t>1</w:t>
      </w:r>
      <w:r w:rsidR="003F631A" w:rsidRPr="00C938AD">
        <w:t>m</w:t>
      </w:r>
      <w:r w:rsidR="003F631A" w:rsidRPr="00C938AD">
        <w:rPr>
          <w:vertAlign w:val="superscript"/>
        </w:rPr>
        <w:t>3</w:t>
      </w:r>
      <w:r w:rsidR="003F631A" w:rsidRPr="00C938AD">
        <w:t>/d</w:t>
      </w:r>
      <w:r w:rsidR="003F631A" w:rsidRPr="00C938AD">
        <w:t>。</w:t>
      </w:r>
      <w:r w:rsidR="003F631A" w:rsidRPr="00C938AD">
        <w:rPr>
          <w:rFonts w:hint="eastAsia"/>
        </w:rPr>
        <w:t>污水产生系数为</w:t>
      </w:r>
      <w:r w:rsidR="003F631A" w:rsidRPr="00C938AD">
        <w:rPr>
          <w:rFonts w:hint="eastAsia"/>
        </w:rPr>
        <w:t>0.8</w:t>
      </w:r>
      <w:r w:rsidR="003F631A" w:rsidRPr="00C938AD">
        <w:rPr>
          <w:rFonts w:hint="eastAsia"/>
        </w:rPr>
        <w:t>，则生活污水量约</w:t>
      </w:r>
      <w:r w:rsidR="004829D5" w:rsidRPr="00C938AD">
        <w:rPr>
          <w:rFonts w:hint="eastAsia"/>
        </w:rPr>
        <w:t>0.8</w:t>
      </w:r>
      <w:r w:rsidR="003F631A" w:rsidRPr="00C938AD">
        <w:rPr>
          <w:rFonts w:hint="eastAsia"/>
        </w:rPr>
        <w:t>m</w:t>
      </w:r>
      <w:r w:rsidR="003F631A" w:rsidRPr="00C938AD">
        <w:rPr>
          <w:rFonts w:hint="eastAsia"/>
          <w:vertAlign w:val="superscript"/>
        </w:rPr>
        <w:t>3</w:t>
      </w:r>
      <w:r w:rsidR="003F631A" w:rsidRPr="00C938AD">
        <w:rPr>
          <w:rFonts w:hint="eastAsia"/>
        </w:rPr>
        <w:t>/d</w:t>
      </w:r>
      <w:r>
        <w:rPr>
          <w:rFonts w:hint="eastAsia"/>
        </w:rPr>
        <w:t>（</w:t>
      </w:r>
      <w:r>
        <w:rPr>
          <w:rFonts w:hint="eastAsia"/>
        </w:rPr>
        <w:t>240</w:t>
      </w:r>
      <w:r w:rsidRPr="00C938AD">
        <w:rPr>
          <w:rFonts w:hint="eastAsia"/>
        </w:rPr>
        <w:t>m</w:t>
      </w:r>
      <w:r w:rsidRPr="00C938AD">
        <w:rPr>
          <w:rFonts w:hint="eastAsia"/>
          <w:vertAlign w:val="superscript"/>
        </w:rPr>
        <w:t>3</w:t>
      </w:r>
      <w:r w:rsidRPr="00C938AD">
        <w:rPr>
          <w:rFonts w:hint="eastAsia"/>
        </w:rPr>
        <w:t>/</w:t>
      </w:r>
      <w:r>
        <w:t>a</w:t>
      </w:r>
      <w:r>
        <w:rPr>
          <w:rFonts w:hint="eastAsia"/>
        </w:rPr>
        <w:t>）</w:t>
      </w:r>
      <w:r w:rsidR="003F631A" w:rsidRPr="00C938AD">
        <w:rPr>
          <w:rFonts w:hint="eastAsia"/>
        </w:rPr>
        <w:t>，</w:t>
      </w:r>
      <w:r>
        <w:t>经类比调查，生活污水中污染物</w:t>
      </w:r>
      <w:r>
        <w:t>COD</w:t>
      </w:r>
      <w:r>
        <w:t>、</w:t>
      </w:r>
      <w:r>
        <w:t>SS</w:t>
      </w:r>
      <w:r>
        <w:t>、氨氮的产生浓度分别为</w:t>
      </w:r>
      <w:r>
        <w:t>350mg/L</w:t>
      </w:r>
      <w:r>
        <w:t>、</w:t>
      </w:r>
      <w:r>
        <w:t>300mg/L</w:t>
      </w:r>
      <w:r>
        <w:t>、</w:t>
      </w:r>
      <w:r>
        <w:t>40mg/L</w:t>
      </w:r>
      <w:r>
        <w:t>。</w:t>
      </w:r>
      <w:r w:rsidR="003F631A" w:rsidRPr="00C938AD">
        <w:rPr>
          <w:rFonts w:hint="eastAsia"/>
        </w:rPr>
        <w:t>生活污水利用当地村民旱厕收集后定期清掏肥田，不外排。</w:t>
      </w:r>
    </w:p>
    <w:p w14:paraId="194CF8C1" w14:textId="0DF94D08" w:rsidR="003F631A" w:rsidRPr="00B94DD9" w:rsidRDefault="003F631A" w:rsidP="003F631A">
      <w:pPr>
        <w:spacing w:line="480" w:lineRule="exact"/>
        <w:rPr>
          <w:rFonts w:ascii="楷体" w:eastAsia="楷体" w:hAnsi="楷体"/>
        </w:rPr>
      </w:pPr>
      <w:r w:rsidRPr="00C938AD">
        <w:rPr>
          <w:rFonts w:ascii="楷体" w:eastAsia="楷体" w:hAnsi="楷体" w:hint="eastAsia"/>
        </w:rPr>
        <w:t>3</w:t>
      </w:r>
      <w:r w:rsidRPr="00C938AD">
        <w:rPr>
          <w:rFonts w:ascii="楷体" w:eastAsia="楷体" w:hAnsi="楷体"/>
        </w:rPr>
        <w:t>.1</w:t>
      </w:r>
      <w:r w:rsidRPr="00C938AD">
        <w:rPr>
          <w:rFonts w:ascii="楷体" w:eastAsia="楷体" w:hAnsi="楷体" w:hint="eastAsia"/>
        </w:rPr>
        <w:t>.3</w:t>
      </w:r>
      <w:r w:rsidRPr="00C938AD">
        <w:rPr>
          <w:rFonts w:ascii="楷体" w:eastAsia="楷体" w:hAnsi="楷体"/>
        </w:rPr>
        <w:t>.</w:t>
      </w:r>
      <w:r w:rsidRPr="00B94DD9">
        <w:rPr>
          <w:rFonts w:ascii="楷体" w:eastAsia="楷体" w:hAnsi="楷体"/>
        </w:rPr>
        <w:t>3</w:t>
      </w:r>
      <w:r w:rsidR="00A21D5F" w:rsidRPr="00B94DD9">
        <w:rPr>
          <w:rFonts w:ascii="楷体" w:eastAsia="楷体" w:hAnsi="楷体" w:hint="eastAsia"/>
        </w:rPr>
        <w:t>资源整合</w:t>
      </w:r>
      <w:proofErr w:type="gramStart"/>
      <w:r w:rsidR="00A21D5F" w:rsidRPr="00B94DD9">
        <w:rPr>
          <w:rFonts w:ascii="楷体" w:eastAsia="楷体" w:hAnsi="楷体" w:hint="eastAsia"/>
        </w:rPr>
        <w:t>前现有工程</w:t>
      </w:r>
      <w:r w:rsidRPr="00B94DD9">
        <w:rPr>
          <w:rFonts w:ascii="楷体" w:eastAsia="楷体" w:hAnsi="楷体"/>
        </w:rPr>
        <w:t>声</w:t>
      </w:r>
      <w:proofErr w:type="gramEnd"/>
      <w:r w:rsidRPr="00B94DD9">
        <w:rPr>
          <w:rFonts w:ascii="楷体" w:eastAsia="楷体" w:hAnsi="楷体"/>
        </w:rPr>
        <w:t>环境影响及防治措施</w:t>
      </w:r>
    </w:p>
    <w:p w14:paraId="38EFC8C0" w14:textId="716C8CA3" w:rsidR="003F631A" w:rsidRPr="00B94DD9" w:rsidRDefault="00A21D5F" w:rsidP="003F631A">
      <w:pPr>
        <w:spacing w:line="480" w:lineRule="exact"/>
      </w:pPr>
      <w:r w:rsidRPr="00B94DD9">
        <w:rPr>
          <w:rFonts w:hint="eastAsia"/>
        </w:rPr>
        <w:t>资源整合</w:t>
      </w:r>
      <w:proofErr w:type="gramStart"/>
      <w:r w:rsidRPr="00B94DD9">
        <w:rPr>
          <w:rFonts w:hint="eastAsia"/>
        </w:rPr>
        <w:t>前现有</w:t>
      </w:r>
      <w:proofErr w:type="gramEnd"/>
      <w:r w:rsidRPr="00B94DD9">
        <w:rPr>
          <w:rFonts w:hint="eastAsia"/>
        </w:rPr>
        <w:t>工程</w:t>
      </w:r>
      <w:r w:rsidR="003F631A" w:rsidRPr="00B94DD9">
        <w:t>运营期噪声主要来源于生产设备噪声以及车辆运输噪声等。</w:t>
      </w:r>
    </w:p>
    <w:p w14:paraId="61F52FE9" w14:textId="77777777" w:rsidR="003F631A" w:rsidRPr="00C938AD" w:rsidRDefault="003F631A" w:rsidP="003F631A">
      <w:pPr>
        <w:spacing w:line="480" w:lineRule="exact"/>
      </w:pPr>
      <w:r w:rsidRPr="00C938AD">
        <w:t>（</w:t>
      </w:r>
      <w:r w:rsidRPr="00C938AD">
        <w:rPr>
          <w:rFonts w:hint="eastAsia"/>
        </w:rPr>
        <w:t>1</w:t>
      </w:r>
      <w:r w:rsidRPr="00C938AD">
        <w:t>）生产设备噪声</w:t>
      </w:r>
    </w:p>
    <w:p w14:paraId="163BE666" w14:textId="0EDA6327" w:rsidR="003F631A" w:rsidRPr="00C938AD" w:rsidRDefault="00310AC0" w:rsidP="003F631A">
      <w:pPr>
        <w:spacing w:line="480" w:lineRule="exact"/>
      </w:pPr>
      <w:r>
        <w:rPr>
          <w:rFonts w:hint="eastAsia"/>
        </w:rPr>
        <w:t>现有工程不进行爆破，</w:t>
      </w:r>
      <w:r w:rsidR="003F631A" w:rsidRPr="00C938AD">
        <w:rPr>
          <w:rFonts w:hint="eastAsia"/>
        </w:rPr>
        <w:t>矿山表土剥离和矿石开采采用挖掘机、推土机、装载机和运输汽车等</w:t>
      </w:r>
      <w:r w:rsidR="003F631A" w:rsidRPr="00C938AD">
        <w:t>，设备源强在</w:t>
      </w:r>
      <w:r w:rsidR="003F631A" w:rsidRPr="00C938AD">
        <w:t>7</w:t>
      </w:r>
      <w:r w:rsidR="003F631A" w:rsidRPr="00C938AD">
        <w:rPr>
          <w:rFonts w:hint="eastAsia"/>
        </w:rPr>
        <w:t>0</w:t>
      </w:r>
      <w:r w:rsidR="003F631A" w:rsidRPr="00C938AD">
        <w:t>～</w:t>
      </w:r>
      <w:r w:rsidR="003F631A" w:rsidRPr="00C938AD">
        <w:rPr>
          <w:rFonts w:hint="eastAsia"/>
        </w:rPr>
        <w:t>85</w:t>
      </w:r>
      <w:r w:rsidR="003F631A" w:rsidRPr="00C938AD">
        <w:t>dB(A)</w:t>
      </w:r>
      <w:r w:rsidR="003F631A" w:rsidRPr="00C938AD">
        <w:t>之间，</w:t>
      </w:r>
      <w:r w:rsidRPr="00310AC0">
        <w:rPr>
          <w:rFonts w:hint="eastAsia"/>
        </w:rPr>
        <w:t>通过对高噪声</w:t>
      </w:r>
      <w:proofErr w:type="gramStart"/>
      <w:r w:rsidRPr="00310AC0">
        <w:rPr>
          <w:rFonts w:hint="eastAsia"/>
        </w:rPr>
        <w:t>源采取</w:t>
      </w:r>
      <w:proofErr w:type="gramEnd"/>
      <w:r w:rsidRPr="00310AC0">
        <w:rPr>
          <w:rFonts w:hint="eastAsia"/>
        </w:rPr>
        <w:t>厂区隔声、基础减振、消声等降噪措施，能满足环保要求</w:t>
      </w:r>
      <w:r>
        <w:rPr>
          <w:rFonts w:hint="eastAsia"/>
        </w:rPr>
        <w:t>，</w:t>
      </w:r>
      <w:r w:rsidR="003F631A" w:rsidRPr="00C938AD">
        <w:t>见表</w:t>
      </w:r>
      <w:r w:rsidR="003F631A" w:rsidRPr="00C938AD">
        <w:t>3.1-</w:t>
      </w:r>
      <w:r w:rsidR="00BD1C8B">
        <w:rPr>
          <w:rFonts w:hint="eastAsia"/>
        </w:rPr>
        <w:t>8</w:t>
      </w:r>
      <w:r w:rsidR="003F631A" w:rsidRPr="00C938AD">
        <w:t>。</w:t>
      </w:r>
    </w:p>
    <w:p w14:paraId="170100B2" w14:textId="639BC2B7" w:rsidR="00310AC0" w:rsidRDefault="00310AC0" w:rsidP="00310AC0">
      <w:pPr>
        <w:spacing w:line="480" w:lineRule="exact"/>
        <w:ind w:firstLineChars="0" w:firstLine="0"/>
        <w:sectPr w:rsidR="00310AC0">
          <w:headerReference w:type="default" r:id="rId25"/>
          <w:pgSz w:w="11906" w:h="16838"/>
          <w:pgMar w:top="1701" w:right="1588" w:bottom="1985" w:left="1588" w:header="851" w:footer="992" w:gutter="0"/>
          <w:cols w:space="720"/>
          <w:docGrid w:linePitch="312"/>
        </w:sectPr>
      </w:pPr>
    </w:p>
    <w:p w14:paraId="3ED7C8A6" w14:textId="1232E764" w:rsidR="00310AC0" w:rsidRPr="002236D6" w:rsidRDefault="00310AC0" w:rsidP="00310AC0">
      <w:pPr>
        <w:spacing w:beforeLines="50" w:before="120" w:afterLines="50" w:after="120"/>
        <w:jc w:val="center"/>
        <w:rPr>
          <w:rFonts w:eastAsia="黑体" w:cs="Times New Roman"/>
          <w:szCs w:val="24"/>
        </w:rPr>
      </w:pPr>
      <w:r w:rsidRPr="002236D6">
        <w:rPr>
          <w:rFonts w:eastAsia="黑体" w:cs="Times New Roman" w:hint="eastAsia"/>
          <w:szCs w:val="24"/>
        </w:rPr>
        <w:lastRenderedPageBreak/>
        <w:t>表</w:t>
      </w:r>
      <w:r w:rsidRPr="002236D6">
        <w:rPr>
          <w:rFonts w:eastAsia="黑体" w:cs="Times New Roman" w:hint="eastAsia"/>
          <w:szCs w:val="24"/>
        </w:rPr>
        <w:t>3.</w:t>
      </w:r>
      <w:r>
        <w:rPr>
          <w:rFonts w:eastAsia="黑体" w:cs="Times New Roman" w:hint="eastAsia"/>
          <w:szCs w:val="24"/>
        </w:rPr>
        <w:t>1-</w:t>
      </w:r>
      <w:r w:rsidR="00AA5145">
        <w:rPr>
          <w:rFonts w:eastAsia="黑体" w:cs="Times New Roman" w:hint="eastAsia"/>
          <w:szCs w:val="24"/>
        </w:rPr>
        <w:t>8</w:t>
      </w:r>
      <w:r w:rsidR="00AA5145">
        <w:rPr>
          <w:rFonts w:eastAsia="黑体" w:cs="Times New Roman"/>
          <w:szCs w:val="24"/>
        </w:rPr>
        <w:t xml:space="preserve">   </w:t>
      </w:r>
      <w:r w:rsidRPr="002236D6">
        <w:rPr>
          <w:rFonts w:eastAsia="黑体" w:cs="Times New Roman" w:hint="eastAsia"/>
          <w:szCs w:val="24"/>
        </w:rPr>
        <w:t>现有项目噪声</w:t>
      </w:r>
      <w:r w:rsidRPr="002236D6">
        <w:rPr>
          <w:rFonts w:eastAsia="黑体" w:cs="Times New Roman"/>
          <w:szCs w:val="24"/>
        </w:rPr>
        <w:t>污染源源强核算结果及相关参数一览表</w:t>
      </w:r>
    </w:p>
    <w:tbl>
      <w:tblPr>
        <w:tblW w:w="13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696"/>
        <w:gridCol w:w="1450"/>
        <w:gridCol w:w="850"/>
        <w:gridCol w:w="850"/>
        <w:gridCol w:w="1134"/>
        <w:gridCol w:w="1134"/>
        <w:gridCol w:w="853"/>
        <w:gridCol w:w="842"/>
        <w:gridCol w:w="1091"/>
        <w:gridCol w:w="989"/>
        <w:gridCol w:w="738"/>
        <w:gridCol w:w="1299"/>
        <w:gridCol w:w="644"/>
      </w:tblGrid>
      <w:tr w:rsidR="00310AC0" w:rsidRPr="00310AC0" w14:paraId="72D5C479" w14:textId="77777777" w:rsidTr="00310AC0">
        <w:trPr>
          <w:cantSplit/>
          <w:jc w:val="center"/>
        </w:trPr>
        <w:tc>
          <w:tcPr>
            <w:tcW w:w="798" w:type="dxa"/>
            <w:vMerge w:val="restart"/>
            <w:vAlign w:val="center"/>
          </w:tcPr>
          <w:p w14:paraId="7739637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名称</w:t>
            </w:r>
          </w:p>
        </w:tc>
        <w:tc>
          <w:tcPr>
            <w:tcW w:w="696" w:type="dxa"/>
            <w:vMerge w:val="restart"/>
            <w:vAlign w:val="center"/>
          </w:tcPr>
          <w:p w14:paraId="6FAAB4C8"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工序</w:t>
            </w:r>
            <w:r w:rsidRPr="00310AC0">
              <w:rPr>
                <w:rFonts w:ascii="Times New Roman" w:hAnsi="Times New Roman" w:cs="Times New Roman"/>
              </w:rPr>
              <w:t>/</w:t>
            </w:r>
            <w:r w:rsidRPr="00310AC0">
              <w:rPr>
                <w:rFonts w:ascii="Times New Roman" w:hAnsi="Times New Roman" w:cs="Times New Roman"/>
              </w:rPr>
              <w:t>生产线</w:t>
            </w:r>
          </w:p>
        </w:tc>
        <w:tc>
          <w:tcPr>
            <w:tcW w:w="1450" w:type="dxa"/>
            <w:vMerge w:val="restart"/>
            <w:vAlign w:val="center"/>
          </w:tcPr>
          <w:p w14:paraId="02E65EF6"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噪声源</w:t>
            </w:r>
          </w:p>
        </w:tc>
        <w:tc>
          <w:tcPr>
            <w:tcW w:w="850" w:type="dxa"/>
            <w:vMerge w:val="restart"/>
            <w:vAlign w:val="center"/>
          </w:tcPr>
          <w:p w14:paraId="5AD5B20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生源类型</w:t>
            </w:r>
          </w:p>
        </w:tc>
        <w:tc>
          <w:tcPr>
            <w:tcW w:w="1984" w:type="dxa"/>
            <w:gridSpan w:val="2"/>
            <w:vAlign w:val="center"/>
          </w:tcPr>
          <w:p w14:paraId="531C566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产生量</w:t>
            </w:r>
          </w:p>
        </w:tc>
        <w:tc>
          <w:tcPr>
            <w:tcW w:w="1987" w:type="dxa"/>
            <w:gridSpan w:val="2"/>
            <w:vAlign w:val="center"/>
          </w:tcPr>
          <w:p w14:paraId="012C3279"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降噪措施</w:t>
            </w:r>
          </w:p>
        </w:tc>
        <w:tc>
          <w:tcPr>
            <w:tcW w:w="1933" w:type="dxa"/>
            <w:gridSpan w:val="2"/>
            <w:vAlign w:val="center"/>
          </w:tcPr>
          <w:p w14:paraId="1798F924"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噪声排放量</w:t>
            </w:r>
          </w:p>
        </w:tc>
        <w:tc>
          <w:tcPr>
            <w:tcW w:w="989" w:type="dxa"/>
            <w:vMerge w:val="restart"/>
            <w:vAlign w:val="center"/>
          </w:tcPr>
          <w:p w14:paraId="629AA1D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持续时间（</w:t>
            </w:r>
            <w:r w:rsidRPr="00310AC0">
              <w:rPr>
                <w:rFonts w:ascii="Times New Roman" w:hAnsi="Times New Roman" w:cs="Times New Roman"/>
              </w:rPr>
              <w:t>min</w:t>
            </w:r>
            <w:r w:rsidRPr="00310AC0">
              <w:rPr>
                <w:rFonts w:ascii="Times New Roman" w:hAnsi="Times New Roman" w:cs="Times New Roman"/>
              </w:rPr>
              <w:t>）</w:t>
            </w:r>
          </w:p>
        </w:tc>
        <w:tc>
          <w:tcPr>
            <w:tcW w:w="738" w:type="dxa"/>
            <w:vAlign w:val="center"/>
          </w:tcPr>
          <w:p w14:paraId="61405AB6" w14:textId="77777777" w:rsidR="00310AC0" w:rsidRPr="00310AC0" w:rsidRDefault="00310AC0" w:rsidP="00310AC0">
            <w:pPr>
              <w:pStyle w:val="aff"/>
              <w:rPr>
                <w:rFonts w:ascii="Times New Roman" w:hAnsi="Times New Roman" w:cs="Times New Roman"/>
              </w:rPr>
            </w:pPr>
          </w:p>
        </w:tc>
        <w:tc>
          <w:tcPr>
            <w:tcW w:w="1943" w:type="dxa"/>
            <w:gridSpan w:val="2"/>
            <w:vAlign w:val="center"/>
          </w:tcPr>
          <w:p w14:paraId="7CE4DBE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达标情况</w:t>
            </w:r>
          </w:p>
        </w:tc>
      </w:tr>
      <w:tr w:rsidR="00310AC0" w:rsidRPr="00310AC0" w14:paraId="07F0882A" w14:textId="77777777" w:rsidTr="00310AC0">
        <w:trPr>
          <w:cantSplit/>
          <w:jc w:val="center"/>
        </w:trPr>
        <w:tc>
          <w:tcPr>
            <w:tcW w:w="798" w:type="dxa"/>
            <w:vMerge/>
            <w:vAlign w:val="center"/>
          </w:tcPr>
          <w:p w14:paraId="0DDF4AC6" w14:textId="77777777" w:rsidR="00310AC0" w:rsidRPr="00310AC0" w:rsidRDefault="00310AC0" w:rsidP="00310AC0">
            <w:pPr>
              <w:pStyle w:val="aff"/>
              <w:rPr>
                <w:rFonts w:ascii="Times New Roman" w:hAnsi="Times New Roman" w:cs="Times New Roman"/>
                <w:lang w:val="zh-CN"/>
              </w:rPr>
            </w:pPr>
          </w:p>
        </w:tc>
        <w:tc>
          <w:tcPr>
            <w:tcW w:w="696" w:type="dxa"/>
            <w:vMerge/>
            <w:vAlign w:val="center"/>
          </w:tcPr>
          <w:p w14:paraId="4A44484C" w14:textId="77777777" w:rsidR="00310AC0" w:rsidRPr="00310AC0" w:rsidRDefault="00310AC0" w:rsidP="00310AC0">
            <w:pPr>
              <w:pStyle w:val="aff"/>
              <w:rPr>
                <w:rFonts w:ascii="Times New Roman" w:hAnsi="Times New Roman" w:cs="Times New Roman"/>
              </w:rPr>
            </w:pPr>
          </w:p>
        </w:tc>
        <w:tc>
          <w:tcPr>
            <w:tcW w:w="1450" w:type="dxa"/>
            <w:vMerge/>
            <w:vAlign w:val="center"/>
          </w:tcPr>
          <w:p w14:paraId="3896788E" w14:textId="77777777" w:rsidR="00310AC0" w:rsidRPr="00310AC0" w:rsidRDefault="00310AC0" w:rsidP="00310AC0">
            <w:pPr>
              <w:pStyle w:val="aff"/>
              <w:rPr>
                <w:rFonts w:ascii="Times New Roman" w:hAnsi="Times New Roman" w:cs="Times New Roman"/>
              </w:rPr>
            </w:pPr>
          </w:p>
        </w:tc>
        <w:tc>
          <w:tcPr>
            <w:tcW w:w="850" w:type="dxa"/>
            <w:vMerge/>
            <w:vAlign w:val="center"/>
          </w:tcPr>
          <w:p w14:paraId="7F9BBD78" w14:textId="77777777" w:rsidR="00310AC0" w:rsidRPr="00310AC0" w:rsidRDefault="00310AC0" w:rsidP="00310AC0">
            <w:pPr>
              <w:pStyle w:val="aff"/>
              <w:rPr>
                <w:rFonts w:ascii="Times New Roman" w:hAnsi="Times New Roman" w:cs="Times New Roman"/>
              </w:rPr>
            </w:pPr>
          </w:p>
        </w:tc>
        <w:tc>
          <w:tcPr>
            <w:tcW w:w="850" w:type="dxa"/>
            <w:vAlign w:val="center"/>
          </w:tcPr>
          <w:p w14:paraId="14C0954A"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核算方法</w:t>
            </w:r>
          </w:p>
        </w:tc>
        <w:tc>
          <w:tcPr>
            <w:tcW w:w="1134" w:type="dxa"/>
            <w:vAlign w:val="center"/>
          </w:tcPr>
          <w:p w14:paraId="3B2BF28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声源表达量</w:t>
            </w:r>
            <w:r w:rsidRPr="00310AC0">
              <w:rPr>
                <w:rFonts w:ascii="Times New Roman" w:hAnsi="Times New Roman" w:cs="Times New Roman"/>
              </w:rPr>
              <w:t>dB(A)</w:t>
            </w:r>
          </w:p>
        </w:tc>
        <w:tc>
          <w:tcPr>
            <w:tcW w:w="1134" w:type="dxa"/>
            <w:vAlign w:val="center"/>
          </w:tcPr>
          <w:p w14:paraId="2004EDA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工艺</w:t>
            </w:r>
          </w:p>
        </w:tc>
        <w:tc>
          <w:tcPr>
            <w:tcW w:w="853" w:type="dxa"/>
            <w:vAlign w:val="center"/>
          </w:tcPr>
          <w:p w14:paraId="781EF99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降噪效果</w:t>
            </w:r>
          </w:p>
        </w:tc>
        <w:tc>
          <w:tcPr>
            <w:tcW w:w="842" w:type="dxa"/>
            <w:vAlign w:val="center"/>
          </w:tcPr>
          <w:p w14:paraId="575AC7D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核算方法</w:t>
            </w:r>
          </w:p>
        </w:tc>
        <w:tc>
          <w:tcPr>
            <w:tcW w:w="1091" w:type="dxa"/>
            <w:vAlign w:val="center"/>
          </w:tcPr>
          <w:p w14:paraId="50B23C3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声源表达量</w:t>
            </w:r>
            <w:r w:rsidRPr="00310AC0">
              <w:rPr>
                <w:rFonts w:ascii="Times New Roman" w:hAnsi="Times New Roman" w:cs="Times New Roman"/>
              </w:rPr>
              <w:t>dB(A)</w:t>
            </w:r>
          </w:p>
        </w:tc>
        <w:tc>
          <w:tcPr>
            <w:tcW w:w="989" w:type="dxa"/>
            <w:vMerge/>
            <w:vAlign w:val="center"/>
          </w:tcPr>
          <w:p w14:paraId="60BD8031" w14:textId="77777777" w:rsidR="00310AC0" w:rsidRPr="00310AC0" w:rsidRDefault="00310AC0" w:rsidP="00310AC0">
            <w:pPr>
              <w:pStyle w:val="aff"/>
              <w:rPr>
                <w:rFonts w:ascii="Times New Roman" w:hAnsi="Times New Roman" w:cs="Times New Roman"/>
              </w:rPr>
            </w:pPr>
          </w:p>
        </w:tc>
        <w:tc>
          <w:tcPr>
            <w:tcW w:w="738" w:type="dxa"/>
            <w:vAlign w:val="center"/>
          </w:tcPr>
          <w:p w14:paraId="60EBD30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降噪后</w:t>
            </w:r>
          </w:p>
        </w:tc>
        <w:tc>
          <w:tcPr>
            <w:tcW w:w="1299" w:type="dxa"/>
            <w:vAlign w:val="center"/>
          </w:tcPr>
          <w:p w14:paraId="520CB89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执行标准</w:t>
            </w:r>
          </w:p>
        </w:tc>
        <w:tc>
          <w:tcPr>
            <w:tcW w:w="644" w:type="dxa"/>
            <w:vAlign w:val="center"/>
          </w:tcPr>
          <w:p w14:paraId="4D1195E0"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是否</w:t>
            </w:r>
          </w:p>
          <w:p w14:paraId="36AF8E3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达标</w:t>
            </w:r>
          </w:p>
        </w:tc>
      </w:tr>
      <w:tr w:rsidR="00310AC0" w:rsidRPr="00310AC0" w14:paraId="2A76F8FA" w14:textId="77777777" w:rsidTr="00310AC0">
        <w:trPr>
          <w:cantSplit/>
          <w:jc w:val="center"/>
        </w:trPr>
        <w:tc>
          <w:tcPr>
            <w:tcW w:w="798" w:type="dxa"/>
            <w:vMerge w:val="restart"/>
            <w:vAlign w:val="center"/>
          </w:tcPr>
          <w:p w14:paraId="31A46A1B" w14:textId="0DF5881E" w:rsidR="00310AC0" w:rsidRPr="00310AC0" w:rsidRDefault="00310AC0" w:rsidP="00310AC0">
            <w:pPr>
              <w:pStyle w:val="aff"/>
              <w:rPr>
                <w:rFonts w:ascii="Times New Roman" w:hAnsi="Times New Roman" w:cs="Times New Roman"/>
              </w:rPr>
            </w:pPr>
            <w:r w:rsidRPr="00310AC0">
              <w:rPr>
                <w:rFonts w:ascii="Times New Roman" w:hAnsi="Times New Roman" w:cs="Times New Roman" w:hint="eastAsia"/>
              </w:rPr>
              <w:t>驻马店市</w:t>
            </w:r>
            <w:proofErr w:type="gramStart"/>
            <w:r w:rsidRPr="00310AC0">
              <w:rPr>
                <w:rFonts w:ascii="Times New Roman" w:hAnsi="Times New Roman" w:cs="Times New Roman" w:hint="eastAsia"/>
              </w:rPr>
              <w:t>驿</w:t>
            </w:r>
            <w:proofErr w:type="gramEnd"/>
            <w:r w:rsidRPr="00310AC0">
              <w:rPr>
                <w:rFonts w:ascii="Times New Roman" w:hAnsi="Times New Roman" w:cs="Times New Roman" w:hint="eastAsia"/>
              </w:rPr>
              <w:t>城区丰鑫矿业有限公司</w:t>
            </w:r>
          </w:p>
        </w:tc>
        <w:tc>
          <w:tcPr>
            <w:tcW w:w="696" w:type="dxa"/>
            <w:vMerge w:val="restart"/>
            <w:vAlign w:val="center"/>
          </w:tcPr>
          <w:p w14:paraId="0B876627"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露采区</w:t>
            </w:r>
          </w:p>
        </w:tc>
        <w:tc>
          <w:tcPr>
            <w:tcW w:w="1450" w:type="dxa"/>
            <w:vAlign w:val="center"/>
          </w:tcPr>
          <w:p w14:paraId="64669F90"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空压机</w:t>
            </w:r>
          </w:p>
        </w:tc>
        <w:tc>
          <w:tcPr>
            <w:tcW w:w="850" w:type="dxa"/>
            <w:vAlign w:val="center"/>
          </w:tcPr>
          <w:p w14:paraId="5004366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restart"/>
            <w:vAlign w:val="center"/>
          </w:tcPr>
          <w:p w14:paraId="4CA7ADC9"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134" w:type="dxa"/>
            <w:vAlign w:val="center"/>
          </w:tcPr>
          <w:p w14:paraId="57C2E3D7"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1134" w:type="dxa"/>
            <w:vMerge w:val="restart"/>
            <w:vAlign w:val="center"/>
          </w:tcPr>
          <w:p w14:paraId="6AAB978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隔声</w:t>
            </w:r>
          </w:p>
          <w:p w14:paraId="53E2045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消声</w:t>
            </w:r>
          </w:p>
          <w:p w14:paraId="20CE6590"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减震</w:t>
            </w:r>
          </w:p>
        </w:tc>
        <w:tc>
          <w:tcPr>
            <w:tcW w:w="853" w:type="dxa"/>
            <w:vAlign w:val="center"/>
          </w:tcPr>
          <w:p w14:paraId="291B0FD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-10</w:t>
            </w:r>
          </w:p>
        </w:tc>
        <w:tc>
          <w:tcPr>
            <w:tcW w:w="842" w:type="dxa"/>
            <w:vMerge w:val="restart"/>
            <w:vAlign w:val="center"/>
          </w:tcPr>
          <w:p w14:paraId="0E3C873A"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091" w:type="dxa"/>
            <w:vAlign w:val="center"/>
          </w:tcPr>
          <w:p w14:paraId="431C6BC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70</w:t>
            </w:r>
          </w:p>
        </w:tc>
        <w:tc>
          <w:tcPr>
            <w:tcW w:w="989" w:type="dxa"/>
            <w:vAlign w:val="center"/>
          </w:tcPr>
          <w:p w14:paraId="34606600"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30</w:t>
            </w:r>
          </w:p>
        </w:tc>
        <w:tc>
          <w:tcPr>
            <w:tcW w:w="738" w:type="dxa"/>
            <w:vAlign w:val="center"/>
          </w:tcPr>
          <w:p w14:paraId="7135CF43"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70</w:t>
            </w:r>
          </w:p>
        </w:tc>
        <w:tc>
          <w:tcPr>
            <w:tcW w:w="1299" w:type="dxa"/>
            <w:vMerge w:val="restart"/>
            <w:vAlign w:val="center"/>
          </w:tcPr>
          <w:p w14:paraId="385D1F3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厂界噪声《工业企业厂界噪声排放标准》</w:t>
            </w:r>
            <w:r w:rsidRPr="00310AC0">
              <w:rPr>
                <w:rFonts w:ascii="Times New Roman" w:hAnsi="Times New Roman" w:cs="Times New Roman"/>
              </w:rPr>
              <w:t>(GB12348)</w:t>
            </w:r>
          </w:p>
          <w:p w14:paraId="6782A3B1"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2</w:t>
            </w:r>
            <w:r w:rsidRPr="00310AC0">
              <w:rPr>
                <w:rFonts w:ascii="Times New Roman" w:hAnsi="Times New Roman" w:cs="Times New Roman"/>
              </w:rPr>
              <w:t>类标准要求</w:t>
            </w:r>
          </w:p>
        </w:tc>
        <w:tc>
          <w:tcPr>
            <w:tcW w:w="644" w:type="dxa"/>
            <w:vMerge w:val="restart"/>
            <w:vAlign w:val="center"/>
          </w:tcPr>
          <w:p w14:paraId="19CEB809"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是</w:t>
            </w:r>
          </w:p>
        </w:tc>
      </w:tr>
      <w:tr w:rsidR="00310AC0" w:rsidRPr="00310AC0" w14:paraId="584FA081" w14:textId="77777777" w:rsidTr="00310AC0">
        <w:trPr>
          <w:cantSplit/>
          <w:jc w:val="center"/>
        </w:trPr>
        <w:tc>
          <w:tcPr>
            <w:tcW w:w="798" w:type="dxa"/>
            <w:vMerge/>
            <w:vAlign w:val="center"/>
          </w:tcPr>
          <w:p w14:paraId="313A6224" w14:textId="77777777" w:rsidR="00310AC0" w:rsidRPr="00310AC0" w:rsidRDefault="00310AC0" w:rsidP="00310AC0">
            <w:pPr>
              <w:pStyle w:val="aff"/>
              <w:rPr>
                <w:rFonts w:ascii="Times New Roman" w:hAnsi="Times New Roman" w:cs="Times New Roman"/>
              </w:rPr>
            </w:pPr>
          </w:p>
        </w:tc>
        <w:tc>
          <w:tcPr>
            <w:tcW w:w="696" w:type="dxa"/>
            <w:vMerge/>
            <w:vAlign w:val="center"/>
          </w:tcPr>
          <w:p w14:paraId="27D3D852" w14:textId="77777777" w:rsidR="00310AC0" w:rsidRPr="00310AC0" w:rsidRDefault="00310AC0" w:rsidP="00310AC0">
            <w:pPr>
              <w:pStyle w:val="aff"/>
              <w:rPr>
                <w:rFonts w:ascii="Times New Roman" w:hAnsi="Times New Roman" w:cs="Times New Roman"/>
              </w:rPr>
            </w:pPr>
          </w:p>
        </w:tc>
        <w:tc>
          <w:tcPr>
            <w:tcW w:w="1450" w:type="dxa"/>
            <w:vAlign w:val="center"/>
          </w:tcPr>
          <w:p w14:paraId="051E8215" w14:textId="77777777" w:rsidR="00310AC0" w:rsidRPr="00310AC0" w:rsidRDefault="00310AC0" w:rsidP="00310AC0">
            <w:pPr>
              <w:pStyle w:val="aff"/>
              <w:rPr>
                <w:rFonts w:ascii="Times New Roman" w:hAnsi="Times New Roman" w:cs="Times New Roman"/>
              </w:rPr>
            </w:pPr>
            <w:proofErr w:type="gramStart"/>
            <w:r w:rsidRPr="00310AC0">
              <w:rPr>
                <w:rFonts w:ascii="Times New Roman" w:hAnsi="Times New Roman" w:cs="Times New Roman"/>
              </w:rPr>
              <w:t>潜孔钻</w:t>
            </w:r>
            <w:proofErr w:type="gramEnd"/>
          </w:p>
        </w:tc>
        <w:tc>
          <w:tcPr>
            <w:tcW w:w="850" w:type="dxa"/>
            <w:vAlign w:val="center"/>
          </w:tcPr>
          <w:p w14:paraId="7E710D4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ign w:val="center"/>
          </w:tcPr>
          <w:p w14:paraId="52168E91" w14:textId="77777777" w:rsidR="00310AC0" w:rsidRPr="00310AC0" w:rsidRDefault="00310AC0" w:rsidP="00310AC0">
            <w:pPr>
              <w:pStyle w:val="aff"/>
              <w:rPr>
                <w:rFonts w:ascii="Times New Roman" w:hAnsi="Times New Roman" w:cs="Times New Roman"/>
              </w:rPr>
            </w:pPr>
          </w:p>
        </w:tc>
        <w:tc>
          <w:tcPr>
            <w:tcW w:w="1134" w:type="dxa"/>
            <w:vAlign w:val="center"/>
          </w:tcPr>
          <w:p w14:paraId="4668389A"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1134" w:type="dxa"/>
            <w:vMerge/>
            <w:vAlign w:val="center"/>
          </w:tcPr>
          <w:p w14:paraId="27504350" w14:textId="77777777" w:rsidR="00310AC0" w:rsidRPr="00310AC0" w:rsidRDefault="00310AC0" w:rsidP="00310AC0">
            <w:pPr>
              <w:pStyle w:val="aff"/>
              <w:rPr>
                <w:rFonts w:ascii="Times New Roman" w:hAnsi="Times New Roman" w:cs="Times New Roman"/>
              </w:rPr>
            </w:pPr>
          </w:p>
        </w:tc>
        <w:tc>
          <w:tcPr>
            <w:tcW w:w="853" w:type="dxa"/>
            <w:vAlign w:val="center"/>
          </w:tcPr>
          <w:p w14:paraId="4D3325F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3E44164C" w14:textId="77777777" w:rsidR="00310AC0" w:rsidRPr="00310AC0" w:rsidRDefault="00310AC0" w:rsidP="00310AC0">
            <w:pPr>
              <w:pStyle w:val="aff"/>
              <w:rPr>
                <w:rFonts w:ascii="Times New Roman" w:hAnsi="Times New Roman" w:cs="Times New Roman"/>
              </w:rPr>
            </w:pPr>
          </w:p>
        </w:tc>
        <w:tc>
          <w:tcPr>
            <w:tcW w:w="1091" w:type="dxa"/>
            <w:vAlign w:val="center"/>
          </w:tcPr>
          <w:p w14:paraId="551849D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989" w:type="dxa"/>
            <w:vAlign w:val="center"/>
          </w:tcPr>
          <w:p w14:paraId="1FD5639F"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30</w:t>
            </w:r>
          </w:p>
        </w:tc>
        <w:tc>
          <w:tcPr>
            <w:tcW w:w="738" w:type="dxa"/>
            <w:vAlign w:val="center"/>
          </w:tcPr>
          <w:p w14:paraId="585B8C2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1299" w:type="dxa"/>
            <w:vMerge/>
            <w:vAlign w:val="center"/>
          </w:tcPr>
          <w:p w14:paraId="4B1D63C7" w14:textId="77777777" w:rsidR="00310AC0" w:rsidRPr="00310AC0" w:rsidRDefault="00310AC0" w:rsidP="00310AC0">
            <w:pPr>
              <w:pStyle w:val="aff"/>
              <w:rPr>
                <w:rFonts w:ascii="Times New Roman" w:hAnsi="Times New Roman" w:cs="Times New Roman"/>
              </w:rPr>
            </w:pPr>
          </w:p>
        </w:tc>
        <w:tc>
          <w:tcPr>
            <w:tcW w:w="644" w:type="dxa"/>
            <w:vMerge/>
            <w:vAlign w:val="center"/>
          </w:tcPr>
          <w:p w14:paraId="4189A36F" w14:textId="77777777" w:rsidR="00310AC0" w:rsidRPr="00310AC0" w:rsidRDefault="00310AC0" w:rsidP="00310AC0">
            <w:pPr>
              <w:pStyle w:val="aff"/>
              <w:rPr>
                <w:rFonts w:ascii="Times New Roman" w:hAnsi="Times New Roman" w:cs="Times New Roman"/>
              </w:rPr>
            </w:pPr>
          </w:p>
        </w:tc>
      </w:tr>
      <w:tr w:rsidR="00310AC0" w:rsidRPr="00310AC0" w14:paraId="538060AB" w14:textId="77777777" w:rsidTr="00310AC0">
        <w:trPr>
          <w:cantSplit/>
          <w:jc w:val="center"/>
        </w:trPr>
        <w:tc>
          <w:tcPr>
            <w:tcW w:w="798" w:type="dxa"/>
            <w:vMerge/>
            <w:vAlign w:val="center"/>
          </w:tcPr>
          <w:p w14:paraId="01CD6423" w14:textId="77777777" w:rsidR="00310AC0" w:rsidRPr="00310AC0" w:rsidRDefault="00310AC0" w:rsidP="00310AC0">
            <w:pPr>
              <w:pStyle w:val="aff"/>
              <w:rPr>
                <w:rFonts w:ascii="Times New Roman" w:hAnsi="Times New Roman" w:cs="Times New Roman"/>
              </w:rPr>
            </w:pPr>
          </w:p>
        </w:tc>
        <w:tc>
          <w:tcPr>
            <w:tcW w:w="696" w:type="dxa"/>
            <w:vMerge/>
            <w:vAlign w:val="center"/>
          </w:tcPr>
          <w:p w14:paraId="3F873C13" w14:textId="77777777" w:rsidR="00310AC0" w:rsidRPr="00310AC0" w:rsidRDefault="00310AC0" w:rsidP="00310AC0">
            <w:pPr>
              <w:pStyle w:val="aff"/>
              <w:rPr>
                <w:rFonts w:ascii="Times New Roman" w:hAnsi="Times New Roman" w:cs="Times New Roman"/>
              </w:rPr>
            </w:pPr>
          </w:p>
        </w:tc>
        <w:tc>
          <w:tcPr>
            <w:tcW w:w="1450" w:type="dxa"/>
            <w:vAlign w:val="center"/>
          </w:tcPr>
          <w:p w14:paraId="421888EF"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凿岩机</w:t>
            </w:r>
          </w:p>
        </w:tc>
        <w:tc>
          <w:tcPr>
            <w:tcW w:w="850" w:type="dxa"/>
            <w:vAlign w:val="center"/>
          </w:tcPr>
          <w:p w14:paraId="424A161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ign w:val="center"/>
          </w:tcPr>
          <w:p w14:paraId="2F3F0F7B" w14:textId="77777777" w:rsidR="00310AC0" w:rsidRPr="00310AC0" w:rsidRDefault="00310AC0" w:rsidP="00310AC0">
            <w:pPr>
              <w:pStyle w:val="aff"/>
              <w:rPr>
                <w:rFonts w:ascii="Times New Roman" w:hAnsi="Times New Roman" w:cs="Times New Roman"/>
              </w:rPr>
            </w:pPr>
          </w:p>
        </w:tc>
        <w:tc>
          <w:tcPr>
            <w:tcW w:w="1134" w:type="dxa"/>
            <w:vAlign w:val="center"/>
          </w:tcPr>
          <w:p w14:paraId="2141BD53"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1134" w:type="dxa"/>
            <w:vMerge/>
            <w:vAlign w:val="center"/>
          </w:tcPr>
          <w:p w14:paraId="7208D23F" w14:textId="77777777" w:rsidR="00310AC0" w:rsidRPr="00310AC0" w:rsidRDefault="00310AC0" w:rsidP="00310AC0">
            <w:pPr>
              <w:pStyle w:val="aff"/>
              <w:rPr>
                <w:rFonts w:ascii="Times New Roman" w:hAnsi="Times New Roman" w:cs="Times New Roman"/>
              </w:rPr>
            </w:pPr>
          </w:p>
        </w:tc>
        <w:tc>
          <w:tcPr>
            <w:tcW w:w="853" w:type="dxa"/>
            <w:vAlign w:val="center"/>
          </w:tcPr>
          <w:p w14:paraId="5776A476"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7D901A28" w14:textId="77777777" w:rsidR="00310AC0" w:rsidRPr="00310AC0" w:rsidRDefault="00310AC0" w:rsidP="00310AC0">
            <w:pPr>
              <w:pStyle w:val="aff"/>
              <w:rPr>
                <w:rFonts w:ascii="Times New Roman" w:hAnsi="Times New Roman" w:cs="Times New Roman"/>
              </w:rPr>
            </w:pPr>
          </w:p>
        </w:tc>
        <w:tc>
          <w:tcPr>
            <w:tcW w:w="1091" w:type="dxa"/>
            <w:vAlign w:val="center"/>
          </w:tcPr>
          <w:p w14:paraId="1C4861D3"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989" w:type="dxa"/>
            <w:vAlign w:val="center"/>
          </w:tcPr>
          <w:p w14:paraId="1FDDA7B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15</w:t>
            </w:r>
          </w:p>
        </w:tc>
        <w:tc>
          <w:tcPr>
            <w:tcW w:w="738" w:type="dxa"/>
            <w:vAlign w:val="center"/>
          </w:tcPr>
          <w:p w14:paraId="15778C3F"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1299" w:type="dxa"/>
            <w:vMerge/>
            <w:vAlign w:val="center"/>
          </w:tcPr>
          <w:p w14:paraId="264BF6EC" w14:textId="77777777" w:rsidR="00310AC0" w:rsidRPr="00310AC0" w:rsidRDefault="00310AC0" w:rsidP="00310AC0">
            <w:pPr>
              <w:pStyle w:val="aff"/>
              <w:rPr>
                <w:rFonts w:ascii="Times New Roman" w:hAnsi="Times New Roman" w:cs="Times New Roman"/>
              </w:rPr>
            </w:pPr>
          </w:p>
        </w:tc>
        <w:tc>
          <w:tcPr>
            <w:tcW w:w="644" w:type="dxa"/>
            <w:vMerge/>
            <w:vAlign w:val="center"/>
          </w:tcPr>
          <w:p w14:paraId="4B4C91C0" w14:textId="77777777" w:rsidR="00310AC0" w:rsidRPr="00310AC0" w:rsidRDefault="00310AC0" w:rsidP="00310AC0">
            <w:pPr>
              <w:pStyle w:val="aff"/>
              <w:rPr>
                <w:rFonts w:ascii="Times New Roman" w:hAnsi="Times New Roman" w:cs="Times New Roman"/>
              </w:rPr>
            </w:pPr>
          </w:p>
        </w:tc>
      </w:tr>
      <w:tr w:rsidR="00310AC0" w:rsidRPr="00310AC0" w14:paraId="068D4439" w14:textId="77777777" w:rsidTr="00310AC0">
        <w:trPr>
          <w:cantSplit/>
          <w:jc w:val="center"/>
        </w:trPr>
        <w:tc>
          <w:tcPr>
            <w:tcW w:w="798" w:type="dxa"/>
            <w:vMerge/>
            <w:vAlign w:val="center"/>
          </w:tcPr>
          <w:p w14:paraId="7F096BDD" w14:textId="77777777" w:rsidR="00310AC0" w:rsidRPr="00310AC0" w:rsidRDefault="00310AC0" w:rsidP="00310AC0">
            <w:pPr>
              <w:pStyle w:val="aff"/>
              <w:rPr>
                <w:rFonts w:ascii="Times New Roman" w:hAnsi="Times New Roman" w:cs="Times New Roman"/>
              </w:rPr>
            </w:pPr>
          </w:p>
        </w:tc>
        <w:tc>
          <w:tcPr>
            <w:tcW w:w="696" w:type="dxa"/>
            <w:vMerge/>
            <w:vAlign w:val="center"/>
          </w:tcPr>
          <w:p w14:paraId="277C0522" w14:textId="77777777" w:rsidR="00310AC0" w:rsidRPr="00310AC0" w:rsidRDefault="00310AC0" w:rsidP="00310AC0">
            <w:pPr>
              <w:pStyle w:val="aff"/>
              <w:rPr>
                <w:rFonts w:ascii="Times New Roman" w:hAnsi="Times New Roman" w:cs="Times New Roman"/>
              </w:rPr>
            </w:pPr>
          </w:p>
        </w:tc>
        <w:tc>
          <w:tcPr>
            <w:tcW w:w="1450" w:type="dxa"/>
            <w:vAlign w:val="center"/>
          </w:tcPr>
          <w:p w14:paraId="5BDDA8F7" w14:textId="50895744" w:rsidR="00310AC0" w:rsidRPr="00310AC0" w:rsidRDefault="00310AC0" w:rsidP="00310AC0">
            <w:pPr>
              <w:pStyle w:val="aff"/>
              <w:rPr>
                <w:rFonts w:ascii="Times New Roman" w:hAnsi="Times New Roman" w:cs="Times New Roman"/>
              </w:rPr>
            </w:pPr>
            <w:r w:rsidRPr="00310AC0">
              <w:rPr>
                <w:rFonts w:ascii="Times New Roman" w:hAnsi="Times New Roman" w:cs="Times New Roman" w:hint="eastAsia"/>
              </w:rPr>
              <w:t>碎石器</w:t>
            </w:r>
          </w:p>
        </w:tc>
        <w:tc>
          <w:tcPr>
            <w:tcW w:w="850" w:type="dxa"/>
            <w:vAlign w:val="center"/>
          </w:tcPr>
          <w:p w14:paraId="61A7EDB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ign w:val="center"/>
          </w:tcPr>
          <w:p w14:paraId="0258359E" w14:textId="77777777" w:rsidR="00310AC0" w:rsidRPr="00310AC0" w:rsidRDefault="00310AC0" w:rsidP="00310AC0">
            <w:pPr>
              <w:pStyle w:val="aff"/>
              <w:rPr>
                <w:rFonts w:ascii="Times New Roman" w:hAnsi="Times New Roman" w:cs="Times New Roman"/>
              </w:rPr>
            </w:pPr>
          </w:p>
        </w:tc>
        <w:tc>
          <w:tcPr>
            <w:tcW w:w="1134" w:type="dxa"/>
            <w:vAlign w:val="center"/>
          </w:tcPr>
          <w:p w14:paraId="0D0DAC98"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1134" w:type="dxa"/>
            <w:vMerge/>
            <w:vAlign w:val="center"/>
          </w:tcPr>
          <w:p w14:paraId="60A2ED8E" w14:textId="77777777" w:rsidR="00310AC0" w:rsidRPr="00310AC0" w:rsidRDefault="00310AC0" w:rsidP="00310AC0">
            <w:pPr>
              <w:pStyle w:val="aff"/>
              <w:rPr>
                <w:rFonts w:ascii="Times New Roman" w:hAnsi="Times New Roman" w:cs="Times New Roman"/>
              </w:rPr>
            </w:pPr>
          </w:p>
        </w:tc>
        <w:tc>
          <w:tcPr>
            <w:tcW w:w="853" w:type="dxa"/>
            <w:vAlign w:val="center"/>
          </w:tcPr>
          <w:p w14:paraId="6580431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049B4E42" w14:textId="77777777" w:rsidR="00310AC0" w:rsidRPr="00310AC0" w:rsidRDefault="00310AC0" w:rsidP="00310AC0">
            <w:pPr>
              <w:pStyle w:val="aff"/>
              <w:rPr>
                <w:rFonts w:ascii="Times New Roman" w:hAnsi="Times New Roman" w:cs="Times New Roman"/>
              </w:rPr>
            </w:pPr>
          </w:p>
        </w:tc>
        <w:tc>
          <w:tcPr>
            <w:tcW w:w="1091" w:type="dxa"/>
            <w:vAlign w:val="center"/>
          </w:tcPr>
          <w:p w14:paraId="5515FF96"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989" w:type="dxa"/>
            <w:vAlign w:val="center"/>
          </w:tcPr>
          <w:p w14:paraId="47FAED84"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15</w:t>
            </w:r>
          </w:p>
        </w:tc>
        <w:tc>
          <w:tcPr>
            <w:tcW w:w="738" w:type="dxa"/>
            <w:vAlign w:val="center"/>
          </w:tcPr>
          <w:p w14:paraId="0076BA7F"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1299" w:type="dxa"/>
            <w:vMerge/>
            <w:vAlign w:val="center"/>
          </w:tcPr>
          <w:p w14:paraId="65DD4FEF" w14:textId="77777777" w:rsidR="00310AC0" w:rsidRPr="00310AC0" w:rsidRDefault="00310AC0" w:rsidP="00310AC0">
            <w:pPr>
              <w:pStyle w:val="aff"/>
              <w:rPr>
                <w:rFonts w:ascii="Times New Roman" w:hAnsi="Times New Roman" w:cs="Times New Roman"/>
              </w:rPr>
            </w:pPr>
          </w:p>
        </w:tc>
        <w:tc>
          <w:tcPr>
            <w:tcW w:w="644" w:type="dxa"/>
            <w:vMerge/>
            <w:vAlign w:val="center"/>
          </w:tcPr>
          <w:p w14:paraId="76506DB2" w14:textId="77777777" w:rsidR="00310AC0" w:rsidRPr="00310AC0" w:rsidRDefault="00310AC0" w:rsidP="00310AC0">
            <w:pPr>
              <w:pStyle w:val="aff"/>
              <w:rPr>
                <w:rFonts w:ascii="Times New Roman" w:hAnsi="Times New Roman" w:cs="Times New Roman"/>
              </w:rPr>
            </w:pPr>
          </w:p>
        </w:tc>
      </w:tr>
      <w:tr w:rsidR="00310AC0" w:rsidRPr="00310AC0" w14:paraId="661C7DAC" w14:textId="77777777" w:rsidTr="00310AC0">
        <w:trPr>
          <w:cantSplit/>
          <w:jc w:val="center"/>
        </w:trPr>
        <w:tc>
          <w:tcPr>
            <w:tcW w:w="798" w:type="dxa"/>
            <w:vMerge/>
            <w:vAlign w:val="center"/>
          </w:tcPr>
          <w:p w14:paraId="747EEA3D" w14:textId="77777777" w:rsidR="00310AC0" w:rsidRPr="00310AC0" w:rsidRDefault="00310AC0" w:rsidP="00310AC0">
            <w:pPr>
              <w:pStyle w:val="aff"/>
              <w:rPr>
                <w:rFonts w:ascii="Times New Roman" w:hAnsi="Times New Roman" w:cs="Times New Roman"/>
              </w:rPr>
            </w:pPr>
          </w:p>
        </w:tc>
        <w:tc>
          <w:tcPr>
            <w:tcW w:w="696" w:type="dxa"/>
            <w:vMerge/>
            <w:vAlign w:val="center"/>
          </w:tcPr>
          <w:p w14:paraId="43ED1474" w14:textId="77777777" w:rsidR="00310AC0" w:rsidRPr="00310AC0" w:rsidRDefault="00310AC0" w:rsidP="00310AC0">
            <w:pPr>
              <w:pStyle w:val="aff"/>
              <w:rPr>
                <w:rFonts w:ascii="Times New Roman" w:hAnsi="Times New Roman" w:cs="Times New Roman"/>
              </w:rPr>
            </w:pPr>
          </w:p>
        </w:tc>
        <w:tc>
          <w:tcPr>
            <w:tcW w:w="1450" w:type="dxa"/>
            <w:vAlign w:val="center"/>
          </w:tcPr>
          <w:p w14:paraId="79368E5D" w14:textId="2EEE3363"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挖掘机</w:t>
            </w:r>
          </w:p>
        </w:tc>
        <w:tc>
          <w:tcPr>
            <w:tcW w:w="850" w:type="dxa"/>
            <w:vAlign w:val="center"/>
          </w:tcPr>
          <w:p w14:paraId="3D007906"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ign w:val="center"/>
          </w:tcPr>
          <w:p w14:paraId="562FC31B" w14:textId="77777777" w:rsidR="00310AC0" w:rsidRPr="00310AC0" w:rsidRDefault="00310AC0" w:rsidP="00310AC0">
            <w:pPr>
              <w:pStyle w:val="aff"/>
              <w:rPr>
                <w:rFonts w:ascii="Times New Roman" w:hAnsi="Times New Roman" w:cs="Times New Roman"/>
              </w:rPr>
            </w:pPr>
          </w:p>
        </w:tc>
        <w:tc>
          <w:tcPr>
            <w:tcW w:w="1134" w:type="dxa"/>
            <w:vAlign w:val="center"/>
          </w:tcPr>
          <w:p w14:paraId="015CBA2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1134" w:type="dxa"/>
            <w:vMerge/>
            <w:vAlign w:val="center"/>
          </w:tcPr>
          <w:p w14:paraId="5D5F223E" w14:textId="77777777" w:rsidR="00310AC0" w:rsidRPr="00310AC0" w:rsidRDefault="00310AC0" w:rsidP="00310AC0">
            <w:pPr>
              <w:pStyle w:val="aff"/>
              <w:rPr>
                <w:rFonts w:ascii="Times New Roman" w:hAnsi="Times New Roman" w:cs="Times New Roman"/>
              </w:rPr>
            </w:pPr>
          </w:p>
        </w:tc>
        <w:tc>
          <w:tcPr>
            <w:tcW w:w="853" w:type="dxa"/>
            <w:vAlign w:val="center"/>
          </w:tcPr>
          <w:p w14:paraId="25B192D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285A4F9E" w14:textId="77777777" w:rsidR="00310AC0" w:rsidRPr="00310AC0" w:rsidRDefault="00310AC0" w:rsidP="00310AC0">
            <w:pPr>
              <w:pStyle w:val="aff"/>
              <w:rPr>
                <w:rFonts w:ascii="Times New Roman" w:hAnsi="Times New Roman" w:cs="Times New Roman"/>
              </w:rPr>
            </w:pPr>
          </w:p>
        </w:tc>
        <w:tc>
          <w:tcPr>
            <w:tcW w:w="1091" w:type="dxa"/>
            <w:vAlign w:val="center"/>
          </w:tcPr>
          <w:p w14:paraId="2BAD254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989" w:type="dxa"/>
            <w:vAlign w:val="center"/>
          </w:tcPr>
          <w:p w14:paraId="2C7B2C0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15</w:t>
            </w:r>
          </w:p>
        </w:tc>
        <w:tc>
          <w:tcPr>
            <w:tcW w:w="738" w:type="dxa"/>
            <w:vAlign w:val="center"/>
          </w:tcPr>
          <w:p w14:paraId="0C557E63"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1299" w:type="dxa"/>
            <w:vMerge/>
            <w:vAlign w:val="center"/>
          </w:tcPr>
          <w:p w14:paraId="46DE4E04" w14:textId="77777777" w:rsidR="00310AC0" w:rsidRPr="00310AC0" w:rsidRDefault="00310AC0" w:rsidP="00310AC0">
            <w:pPr>
              <w:pStyle w:val="aff"/>
              <w:rPr>
                <w:rFonts w:ascii="Times New Roman" w:hAnsi="Times New Roman" w:cs="Times New Roman"/>
              </w:rPr>
            </w:pPr>
          </w:p>
        </w:tc>
        <w:tc>
          <w:tcPr>
            <w:tcW w:w="644" w:type="dxa"/>
            <w:vMerge/>
            <w:vAlign w:val="center"/>
          </w:tcPr>
          <w:p w14:paraId="5963D62E" w14:textId="77777777" w:rsidR="00310AC0" w:rsidRPr="00310AC0" w:rsidRDefault="00310AC0" w:rsidP="00310AC0">
            <w:pPr>
              <w:pStyle w:val="aff"/>
              <w:rPr>
                <w:rFonts w:ascii="Times New Roman" w:hAnsi="Times New Roman" w:cs="Times New Roman"/>
              </w:rPr>
            </w:pPr>
          </w:p>
        </w:tc>
      </w:tr>
      <w:tr w:rsidR="00310AC0" w:rsidRPr="00310AC0" w14:paraId="3CF64A6A" w14:textId="77777777" w:rsidTr="00310AC0">
        <w:trPr>
          <w:cantSplit/>
          <w:jc w:val="center"/>
        </w:trPr>
        <w:tc>
          <w:tcPr>
            <w:tcW w:w="798" w:type="dxa"/>
            <w:vMerge/>
            <w:vAlign w:val="center"/>
          </w:tcPr>
          <w:p w14:paraId="4F4CFAF8" w14:textId="77777777" w:rsidR="00310AC0" w:rsidRPr="00310AC0" w:rsidRDefault="00310AC0" w:rsidP="00310AC0">
            <w:pPr>
              <w:pStyle w:val="aff"/>
              <w:rPr>
                <w:rFonts w:ascii="Times New Roman" w:hAnsi="Times New Roman" w:cs="Times New Roman"/>
              </w:rPr>
            </w:pPr>
          </w:p>
        </w:tc>
        <w:tc>
          <w:tcPr>
            <w:tcW w:w="696" w:type="dxa"/>
            <w:vMerge w:val="restart"/>
            <w:vAlign w:val="center"/>
          </w:tcPr>
          <w:p w14:paraId="5744D927"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工业场地</w:t>
            </w:r>
          </w:p>
        </w:tc>
        <w:tc>
          <w:tcPr>
            <w:tcW w:w="1450" w:type="dxa"/>
            <w:vAlign w:val="center"/>
          </w:tcPr>
          <w:p w14:paraId="074B9DF0" w14:textId="047007DF" w:rsidR="00310AC0" w:rsidRPr="00310AC0" w:rsidRDefault="00310AC0" w:rsidP="00310AC0">
            <w:pPr>
              <w:pStyle w:val="aff"/>
              <w:rPr>
                <w:rFonts w:ascii="Times New Roman" w:hAnsi="Times New Roman" w:cs="Times New Roman"/>
              </w:rPr>
            </w:pPr>
            <w:r w:rsidRPr="00310AC0">
              <w:rPr>
                <w:rFonts w:ascii="Times New Roman" w:hAnsi="Times New Roman" w:cs="Times New Roman" w:hint="eastAsia"/>
              </w:rPr>
              <w:t>汽车</w:t>
            </w:r>
          </w:p>
        </w:tc>
        <w:tc>
          <w:tcPr>
            <w:tcW w:w="850" w:type="dxa"/>
            <w:vAlign w:val="center"/>
          </w:tcPr>
          <w:p w14:paraId="7AF6C1D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restart"/>
            <w:vAlign w:val="center"/>
          </w:tcPr>
          <w:p w14:paraId="677699F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134" w:type="dxa"/>
            <w:vAlign w:val="center"/>
          </w:tcPr>
          <w:p w14:paraId="4BFE4CC3"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1134" w:type="dxa"/>
            <w:vMerge w:val="restart"/>
            <w:vAlign w:val="center"/>
          </w:tcPr>
          <w:p w14:paraId="75D3A41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隔声</w:t>
            </w:r>
          </w:p>
          <w:p w14:paraId="534BCD1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消声</w:t>
            </w:r>
          </w:p>
          <w:p w14:paraId="1E08D6F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减震</w:t>
            </w:r>
          </w:p>
        </w:tc>
        <w:tc>
          <w:tcPr>
            <w:tcW w:w="853" w:type="dxa"/>
            <w:vAlign w:val="center"/>
          </w:tcPr>
          <w:p w14:paraId="542C4847"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restart"/>
            <w:vAlign w:val="center"/>
          </w:tcPr>
          <w:p w14:paraId="41DDB79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091" w:type="dxa"/>
            <w:vAlign w:val="center"/>
          </w:tcPr>
          <w:p w14:paraId="71D9EA7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989" w:type="dxa"/>
            <w:vAlign w:val="center"/>
          </w:tcPr>
          <w:p w14:paraId="500578D4"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15</w:t>
            </w:r>
          </w:p>
        </w:tc>
        <w:tc>
          <w:tcPr>
            <w:tcW w:w="738" w:type="dxa"/>
            <w:vAlign w:val="center"/>
          </w:tcPr>
          <w:p w14:paraId="7CF93880"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1299" w:type="dxa"/>
            <w:vMerge/>
            <w:vAlign w:val="center"/>
          </w:tcPr>
          <w:p w14:paraId="7FF97E62" w14:textId="77777777" w:rsidR="00310AC0" w:rsidRPr="00310AC0" w:rsidRDefault="00310AC0" w:rsidP="00310AC0">
            <w:pPr>
              <w:pStyle w:val="aff"/>
              <w:rPr>
                <w:rFonts w:ascii="Times New Roman" w:hAnsi="Times New Roman" w:cs="Times New Roman"/>
              </w:rPr>
            </w:pPr>
          </w:p>
        </w:tc>
        <w:tc>
          <w:tcPr>
            <w:tcW w:w="644" w:type="dxa"/>
            <w:vMerge/>
            <w:vAlign w:val="center"/>
          </w:tcPr>
          <w:p w14:paraId="2172676B" w14:textId="77777777" w:rsidR="00310AC0" w:rsidRPr="00310AC0" w:rsidRDefault="00310AC0" w:rsidP="00310AC0">
            <w:pPr>
              <w:pStyle w:val="aff"/>
              <w:rPr>
                <w:rFonts w:ascii="Times New Roman" w:hAnsi="Times New Roman" w:cs="Times New Roman"/>
              </w:rPr>
            </w:pPr>
          </w:p>
        </w:tc>
      </w:tr>
      <w:tr w:rsidR="00310AC0" w:rsidRPr="00310AC0" w14:paraId="1AAD4B67" w14:textId="77777777" w:rsidTr="00310AC0">
        <w:trPr>
          <w:cantSplit/>
          <w:jc w:val="center"/>
        </w:trPr>
        <w:tc>
          <w:tcPr>
            <w:tcW w:w="798" w:type="dxa"/>
            <w:vMerge/>
            <w:vAlign w:val="center"/>
          </w:tcPr>
          <w:p w14:paraId="4F91967B" w14:textId="77777777" w:rsidR="00310AC0" w:rsidRPr="00310AC0" w:rsidRDefault="00310AC0" w:rsidP="00310AC0">
            <w:pPr>
              <w:pStyle w:val="aff"/>
              <w:rPr>
                <w:rFonts w:ascii="Times New Roman" w:hAnsi="Times New Roman" w:cs="Times New Roman"/>
              </w:rPr>
            </w:pPr>
          </w:p>
        </w:tc>
        <w:tc>
          <w:tcPr>
            <w:tcW w:w="696" w:type="dxa"/>
            <w:vMerge/>
            <w:vAlign w:val="center"/>
          </w:tcPr>
          <w:p w14:paraId="1F46BB96" w14:textId="77777777" w:rsidR="00310AC0" w:rsidRPr="00310AC0" w:rsidRDefault="00310AC0" w:rsidP="00310AC0">
            <w:pPr>
              <w:pStyle w:val="aff"/>
              <w:rPr>
                <w:rFonts w:ascii="Times New Roman" w:hAnsi="Times New Roman" w:cs="Times New Roman"/>
              </w:rPr>
            </w:pPr>
          </w:p>
        </w:tc>
        <w:tc>
          <w:tcPr>
            <w:tcW w:w="1450" w:type="dxa"/>
            <w:vAlign w:val="center"/>
          </w:tcPr>
          <w:p w14:paraId="7797273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装载机</w:t>
            </w:r>
          </w:p>
        </w:tc>
        <w:tc>
          <w:tcPr>
            <w:tcW w:w="850" w:type="dxa"/>
            <w:vAlign w:val="center"/>
          </w:tcPr>
          <w:p w14:paraId="7CC8F60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ign w:val="center"/>
          </w:tcPr>
          <w:p w14:paraId="44940EB0" w14:textId="77777777" w:rsidR="00310AC0" w:rsidRPr="00310AC0" w:rsidRDefault="00310AC0" w:rsidP="00310AC0">
            <w:pPr>
              <w:pStyle w:val="aff"/>
              <w:rPr>
                <w:rFonts w:ascii="Times New Roman" w:hAnsi="Times New Roman" w:cs="Times New Roman"/>
              </w:rPr>
            </w:pPr>
          </w:p>
        </w:tc>
        <w:tc>
          <w:tcPr>
            <w:tcW w:w="1134" w:type="dxa"/>
            <w:vAlign w:val="center"/>
          </w:tcPr>
          <w:p w14:paraId="7F04582A"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1134" w:type="dxa"/>
            <w:vMerge/>
            <w:vAlign w:val="center"/>
          </w:tcPr>
          <w:p w14:paraId="64B7487A" w14:textId="77777777" w:rsidR="00310AC0" w:rsidRPr="00310AC0" w:rsidRDefault="00310AC0" w:rsidP="00310AC0">
            <w:pPr>
              <w:pStyle w:val="aff"/>
              <w:rPr>
                <w:rFonts w:ascii="Times New Roman" w:hAnsi="Times New Roman" w:cs="Times New Roman"/>
              </w:rPr>
            </w:pPr>
          </w:p>
        </w:tc>
        <w:tc>
          <w:tcPr>
            <w:tcW w:w="853" w:type="dxa"/>
            <w:vAlign w:val="center"/>
          </w:tcPr>
          <w:p w14:paraId="66646F06"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360418F0" w14:textId="77777777" w:rsidR="00310AC0" w:rsidRPr="00310AC0" w:rsidRDefault="00310AC0" w:rsidP="00310AC0">
            <w:pPr>
              <w:pStyle w:val="aff"/>
              <w:rPr>
                <w:rFonts w:ascii="Times New Roman" w:hAnsi="Times New Roman" w:cs="Times New Roman"/>
              </w:rPr>
            </w:pPr>
          </w:p>
        </w:tc>
        <w:tc>
          <w:tcPr>
            <w:tcW w:w="1091" w:type="dxa"/>
            <w:vAlign w:val="center"/>
          </w:tcPr>
          <w:p w14:paraId="563D8E4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989" w:type="dxa"/>
            <w:vAlign w:val="center"/>
          </w:tcPr>
          <w:p w14:paraId="1287DA2A"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30</w:t>
            </w:r>
          </w:p>
        </w:tc>
        <w:tc>
          <w:tcPr>
            <w:tcW w:w="738" w:type="dxa"/>
            <w:vAlign w:val="center"/>
          </w:tcPr>
          <w:p w14:paraId="00C942B8"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1299" w:type="dxa"/>
            <w:vMerge/>
            <w:vAlign w:val="center"/>
          </w:tcPr>
          <w:p w14:paraId="44114EEE" w14:textId="77777777" w:rsidR="00310AC0" w:rsidRPr="00310AC0" w:rsidRDefault="00310AC0" w:rsidP="00310AC0">
            <w:pPr>
              <w:pStyle w:val="aff"/>
              <w:rPr>
                <w:rFonts w:ascii="Times New Roman" w:hAnsi="Times New Roman" w:cs="Times New Roman"/>
              </w:rPr>
            </w:pPr>
          </w:p>
        </w:tc>
        <w:tc>
          <w:tcPr>
            <w:tcW w:w="644" w:type="dxa"/>
            <w:vMerge/>
            <w:vAlign w:val="center"/>
          </w:tcPr>
          <w:p w14:paraId="670DE23E" w14:textId="77777777" w:rsidR="00310AC0" w:rsidRPr="00310AC0" w:rsidRDefault="00310AC0" w:rsidP="00310AC0">
            <w:pPr>
              <w:pStyle w:val="aff"/>
              <w:rPr>
                <w:rFonts w:ascii="Times New Roman" w:hAnsi="Times New Roman" w:cs="Times New Roman"/>
              </w:rPr>
            </w:pPr>
          </w:p>
        </w:tc>
      </w:tr>
      <w:tr w:rsidR="00310AC0" w:rsidRPr="00310AC0" w14:paraId="6E3DAD91" w14:textId="77777777" w:rsidTr="00310AC0">
        <w:trPr>
          <w:cantSplit/>
          <w:jc w:val="center"/>
        </w:trPr>
        <w:tc>
          <w:tcPr>
            <w:tcW w:w="798" w:type="dxa"/>
            <w:vMerge/>
            <w:vAlign w:val="center"/>
          </w:tcPr>
          <w:p w14:paraId="053270F5" w14:textId="77777777" w:rsidR="00310AC0" w:rsidRPr="00310AC0" w:rsidRDefault="00310AC0" w:rsidP="00310AC0">
            <w:pPr>
              <w:pStyle w:val="aff"/>
              <w:rPr>
                <w:rFonts w:ascii="Times New Roman" w:hAnsi="Times New Roman" w:cs="Times New Roman"/>
              </w:rPr>
            </w:pPr>
          </w:p>
        </w:tc>
        <w:tc>
          <w:tcPr>
            <w:tcW w:w="696" w:type="dxa"/>
            <w:vMerge w:val="restart"/>
            <w:vAlign w:val="center"/>
          </w:tcPr>
          <w:p w14:paraId="7B2425D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破碎站</w:t>
            </w:r>
          </w:p>
        </w:tc>
        <w:tc>
          <w:tcPr>
            <w:tcW w:w="1450" w:type="dxa"/>
            <w:vAlign w:val="center"/>
          </w:tcPr>
          <w:p w14:paraId="34CD9EB3" w14:textId="6D54436A"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破碎机</w:t>
            </w:r>
          </w:p>
        </w:tc>
        <w:tc>
          <w:tcPr>
            <w:tcW w:w="850" w:type="dxa"/>
            <w:vAlign w:val="center"/>
          </w:tcPr>
          <w:p w14:paraId="4F4E05FA"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频发</w:t>
            </w:r>
          </w:p>
        </w:tc>
        <w:tc>
          <w:tcPr>
            <w:tcW w:w="850" w:type="dxa"/>
            <w:vMerge w:val="restart"/>
            <w:vAlign w:val="center"/>
          </w:tcPr>
          <w:p w14:paraId="7F483690"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134" w:type="dxa"/>
            <w:vAlign w:val="center"/>
          </w:tcPr>
          <w:p w14:paraId="10621DF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90</w:t>
            </w:r>
          </w:p>
        </w:tc>
        <w:tc>
          <w:tcPr>
            <w:tcW w:w="1134" w:type="dxa"/>
            <w:vMerge/>
            <w:vAlign w:val="center"/>
          </w:tcPr>
          <w:p w14:paraId="1F252723" w14:textId="77777777" w:rsidR="00310AC0" w:rsidRPr="00310AC0" w:rsidRDefault="00310AC0" w:rsidP="00310AC0">
            <w:pPr>
              <w:pStyle w:val="aff"/>
              <w:rPr>
                <w:rFonts w:ascii="Times New Roman" w:hAnsi="Times New Roman" w:cs="Times New Roman"/>
              </w:rPr>
            </w:pPr>
          </w:p>
        </w:tc>
        <w:tc>
          <w:tcPr>
            <w:tcW w:w="853" w:type="dxa"/>
            <w:vAlign w:val="center"/>
          </w:tcPr>
          <w:p w14:paraId="6F5B3457"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restart"/>
            <w:vAlign w:val="center"/>
          </w:tcPr>
          <w:p w14:paraId="18F3EA83"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091" w:type="dxa"/>
            <w:vAlign w:val="center"/>
          </w:tcPr>
          <w:p w14:paraId="607875A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989" w:type="dxa"/>
            <w:vAlign w:val="center"/>
          </w:tcPr>
          <w:p w14:paraId="0845C416"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4800</w:t>
            </w:r>
          </w:p>
        </w:tc>
        <w:tc>
          <w:tcPr>
            <w:tcW w:w="738" w:type="dxa"/>
            <w:vAlign w:val="center"/>
          </w:tcPr>
          <w:p w14:paraId="7780399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1299" w:type="dxa"/>
            <w:vMerge/>
            <w:vAlign w:val="center"/>
          </w:tcPr>
          <w:p w14:paraId="0D2F09AA" w14:textId="77777777" w:rsidR="00310AC0" w:rsidRPr="00310AC0" w:rsidRDefault="00310AC0" w:rsidP="00310AC0">
            <w:pPr>
              <w:pStyle w:val="aff"/>
              <w:rPr>
                <w:rFonts w:ascii="Times New Roman" w:hAnsi="Times New Roman" w:cs="Times New Roman"/>
              </w:rPr>
            </w:pPr>
          </w:p>
        </w:tc>
        <w:tc>
          <w:tcPr>
            <w:tcW w:w="644" w:type="dxa"/>
            <w:vMerge/>
            <w:vAlign w:val="center"/>
          </w:tcPr>
          <w:p w14:paraId="60927920" w14:textId="77777777" w:rsidR="00310AC0" w:rsidRPr="00310AC0" w:rsidRDefault="00310AC0" w:rsidP="00310AC0">
            <w:pPr>
              <w:pStyle w:val="aff"/>
              <w:rPr>
                <w:rFonts w:ascii="Times New Roman" w:hAnsi="Times New Roman" w:cs="Times New Roman"/>
              </w:rPr>
            </w:pPr>
          </w:p>
        </w:tc>
      </w:tr>
      <w:tr w:rsidR="00310AC0" w:rsidRPr="00310AC0" w14:paraId="26DFFB03" w14:textId="77777777" w:rsidTr="00310AC0">
        <w:trPr>
          <w:cantSplit/>
          <w:jc w:val="center"/>
        </w:trPr>
        <w:tc>
          <w:tcPr>
            <w:tcW w:w="798" w:type="dxa"/>
            <w:vMerge/>
            <w:vAlign w:val="center"/>
          </w:tcPr>
          <w:p w14:paraId="4F3897EC" w14:textId="77777777" w:rsidR="00310AC0" w:rsidRPr="00310AC0" w:rsidRDefault="00310AC0" w:rsidP="00310AC0">
            <w:pPr>
              <w:pStyle w:val="aff"/>
              <w:rPr>
                <w:rFonts w:ascii="Times New Roman" w:hAnsi="Times New Roman" w:cs="Times New Roman"/>
              </w:rPr>
            </w:pPr>
          </w:p>
        </w:tc>
        <w:tc>
          <w:tcPr>
            <w:tcW w:w="696" w:type="dxa"/>
            <w:vMerge/>
            <w:vAlign w:val="center"/>
          </w:tcPr>
          <w:p w14:paraId="49292980" w14:textId="77777777" w:rsidR="00310AC0" w:rsidRPr="00310AC0" w:rsidRDefault="00310AC0" w:rsidP="00310AC0">
            <w:pPr>
              <w:pStyle w:val="aff"/>
              <w:rPr>
                <w:rFonts w:ascii="Times New Roman" w:hAnsi="Times New Roman" w:cs="Times New Roman"/>
              </w:rPr>
            </w:pPr>
          </w:p>
        </w:tc>
        <w:tc>
          <w:tcPr>
            <w:tcW w:w="1450" w:type="dxa"/>
            <w:vAlign w:val="center"/>
          </w:tcPr>
          <w:p w14:paraId="4B29FB80" w14:textId="2518F338" w:rsidR="00310AC0" w:rsidRPr="00310AC0" w:rsidRDefault="002A435B" w:rsidP="00310AC0">
            <w:pPr>
              <w:pStyle w:val="aff"/>
              <w:rPr>
                <w:rFonts w:ascii="Times New Roman" w:hAnsi="Times New Roman" w:cs="Times New Roman"/>
              </w:rPr>
            </w:pPr>
            <w:r w:rsidRPr="002A435B">
              <w:rPr>
                <w:rFonts w:ascii="Times New Roman" w:hAnsi="Times New Roman" w:cs="Times New Roman" w:hint="eastAsia"/>
              </w:rPr>
              <w:t>振动筛</w:t>
            </w:r>
          </w:p>
        </w:tc>
        <w:tc>
          <w:tcPr>
            <w:tcW w:w="850" w:type="dxa"/>
            <w:vAlign w:val="center"/>
          </w:tcPr>
          <w:p w14:paraId="24A23BD6"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频发</w:t>
            </w:r>
          </w:p>
        </w:tc>
        <w:tc>
          <w:tcPr>
            <w:tcW w:w="850" w:type="dxa"/>
            <w:vMerge/>
            <w:vAlign w:val="center"/>
          </w:tcPr>
          <w:p w14:paraId="7EDE4E84" w14:textId="77777777" w:rsidR="00310AC0" w:rsidRPr="00310AC0" w:rsidRDefault="00310AC0" w:rsidP="00310AC0">
            <w:pPr>
              <w:pStyle w:val="aff"/>
              <w:rPr>
                <w:rFonts w:ascii="Times New Roman" w:hAnsi="Times New Roman" w:cs="Times New Roman"/>
              </w:rPr>
            </w:pPr>
          </w:p>
        </w:tc>
        <w:tc>
          <w:tcPr>
            <w:tcW w:w="1134" w:type="dxa"/>
            <w:vAlign w:val="center"/>
          </w:tcPr>
          <w:p w14:paraId="31770CA0"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1134" w:type="dxa"/>
            <w:vMerge/>
            <w:vAlign w:val="center"/>
          </w:tcPr>
          <w:p w14:paraId="3F2C148A" w14:textId="77777777" w:rsidR="00310AC0" w:rsidRPr="00310AC0" w:rsidRDefault="00310AC0" w:rsidP="00310AC0">
            <w:pPr>
              <w:pStyle w:val="aff"/>
              <w:rPr>
                <w:rFonts w:ascii="Times New Roman" w:hAnsi="Times New Roman" w:cs="Times New Roman"/>
              </w:rPr>
            </w:pPr>
          </w:p>
        </w:tc>
        <w:tc>
          <w:tcPr>
            <w:tcW w:w="853" w:type="dxa"/>
            <w:vAlign w:val="center"/>
          </w:tcPr>
          <w:p w14:paraId="191CD7B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028D2CD4" w14:textId="77777777" w:rsidR="00310AC0" w:rsidRPr="00310AC0" w:rsidRDefault="00310AC0" w:rsidP="00310AC0">
            <w:pPr>
              <w:pStyle w:val="aff"/>
              <w:rPr>
                <w:rFonts w:ascii="Times New Roman" w:hAnsi="Times New Roman" w:cs="Times New Roman"/>
              </w:rPr>
            </w:pPr>
          </w:p>
        </w:tc>
        <w:tc>
          <w:tcPr>
            <w:tcW w:w="1091" w:type="dxa"/>
            <w:vAlign w:val="center"/>
          </w:tcPr>
          <w:p w14:paraId="7CFD793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70</w:t>
            </w:r>
          </w:p>
        </w:tc>
        <w:tc>
          <w:tcPr>
            <w:tcW w:w="989" w:type="dxa"/>
            <w:vAlign w:val="center"/>
          </w:tcPr>
          <w:p w14:paraId="231FEF4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4800</w:t>
            </w:r>
          </w:p>
        </w:tc>
        <w:tc>
          <w:tcPr>
            <w:tcW w:w="738" w:type="dxa"/>
            <w:vAlign w:val="center"/>
          </w:tcPr>
          <w:p w14:paraId="1B2C2FE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70</w:t>
            </w:r>
          </w:p>
        </w:tc>
        <w:tc>
          <w:tcPr>
            <w:tcW w:w="1299" w:type="dxa"/>
            <w:vMerge/>
            <w:vAlign w:val="center"/>
          </w:tcPr>
          <w:p w14:paraId="09372723" w14:textId="77777777" w:rsidR="00310AC0" w:rsidRPr="00310AC0" w:rsidRDefault="00310AC0" w:rsidP="00310AC0">
            <w:pPr>
              <w:pStyle w:val="aff"/>
              <w:rPr>
                <w:rFonts w:ascii="Times New Roman" w:hAnsi="Times New Roman" w:cs="Times New Roman"/>
              </w:rPr>
            </w:pPr>
          </w:p>
        </w:tc>
        <w:tc>
          <w:tcPr>
            <w:tcW w:w="644" w:type="dxa"/>
            <w:vMerge/>
            <w:vAlign w:val="center"/>
          </w:tcPr>
          <w:p w14:paraId="23E5183F" w14:textId="77777777" w:rsidR="00310AC0" w:rsidRPr="00310AC0" w:rsidRDefault="00310AC0" w:rsidP="00310AC0">
            <w:pPr>
              <w:pStyle w:val="aff"/>
              <w:rPr>
                <w:rFonts w:ascii="Times New Roman" w:hAnsi="Times New Roman" w:cs="Times New Roman"/>
              </w:rPr>
            </w:pPr>
          </w:p>
        </w:tc>
      </w:tr>
      <w:tr w:rsidR="00310AC0" w:rsidRPr="00310AC0" w14:paraId="49A4619D" w14:textId="77777777" w:rsidTr="00310AC0">
        <w:trPr>
          <w:cantSplit/>
          <w:jc w:val="center"/>
        </w:trPr>
        <w:tc>
          <w:tcPr>
            <w:tcW w:w="798" w:type="dxa"/>
            <w:vMerge w:val="restart"/>
            <w:vAlign w:val="center"/>
          </w:tcPr>
          <w:p w14:paraId="79AD588F" w14:textId="4F52577F" w:rsidR="00310AC0" w:rsidRPr="00310AC0" w:rsidRDefault="00310AC0" w:rsidP="00310AC0">
            <w:pPr>
              <w:pStyle w:val="aff"/>
              <w:rPr>
                <w:rFonts w:ascii="Times New Roman" w:hAnsi="Times New Roman" w:cs="Times New Roman"/>
              </w:rPr>
            </w:pPr>
            <w:bookmarkStart w:id="77" w:name="_Hlk33185324"/>
            <w:r w:rsidRPr="00310AC0">
              <w:rPr>
                <w:rFonts w:ascii="Times New Roman" w:hAnsi="Times New Roman" w:cs="Times New Roman" w:hint="eastAsia"/>
              </w:rPr>
              <w:t>驻马店市</w:t>
            </w:r>
            <w:proofErr w:type="gramStart"/>
            <w:r w:rsidRPr="00310AC0">
              <w:rPr>
                <w:rFonts w:ascii="Times New Roman" w:hAnsi="Times New Roman" w:cs="Times New Roman" w:hint="eastAsia"/>
              </w:rPr>
              <w:t>驿</w:t>
            </w:r>
            <w:proofErr w:type="gramEnd"/>
            <w:r w:rsidRPr="00310AC0">
              <w:rPr>
                <w:rFonts w:ascii="Times New Roman" w:hAnsi="Times New Roman" w:cs="Times New Roman" w:hint="eastAsia"/>
              </w:rPr>
              <w:t>城区宏运石料厂</w:t>
            </w:r>
            <w:bookmarkEnd w:id="77"/>
          </w:p>
        </w:tc>
        <w:tc>
          <w:tcPr>
            <w:tcW w:w="696" w:type="dxa"/>
            <w:vMerge w:val="restart"/>
            <w:vAlign w:val="center"/>
          </w:tcPr>
          <w:p w14:paraId="0A2B682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露采区</w:t>
            </w:r>
          </w:p>
        </w:tc>
        <w:tc>
          <w:tcPr>
            <w:tcW w:w="1450" w:type="dxa"/>
            <w:vAlign w:val="center"/>
          </w:tcPr>
          <w:p w14:paraId="3E485480"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空压机</w:t>
            </w:r>
          </w:p>
        </w:tc>
        <w:tc>
          <w:tcPr>
            <w:tcW w:w="850" w:type="dxa"/>
            <w:vAlign w:val="center"/>
          </w:tcPr>
          <w:p w14:paraId="77DE7748"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restart"/>
            <w:vAlign w:val="center"/>
          </w:tcPr>
          <w:p w14:paraId="2C92FB9F"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134" w:type="dxa"/>
            <w:vAlign w:val="center"/>
          </w:tcPr>
          <w:p w14:paraId="1DCBBCF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1134" w:type="dxa"/>
            <w:vMerge w:val="restart"/>
            <w:vAlign w:val="center"/>
          </w:tcPr>
          <w:p w14:paraId="2C1DC83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隔声</w:t>
            </w:r>
          </w:p>
          <w:p w14:paraId="0D95E5E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消声</w:t>
            </w:r>
          </w:p>
          <w:p w14:paraId="4AA2A50A"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减震</w:t>
            </w:r>
          </w:p>
        </w:tc>
        <w:tc>
          <w:tcPr>
            <w:tcW w:w="853" w:type="dxa"/>
            <w:vAlign w:val="center"/>
          </w:tcPr>
          <w:p w14:paraId="5CA258B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-10</w:t>
            </w:r>
          </w:p>
        </w:tc>
        <w:tc>
          <w:tcPr>
            <w:tcW w:w="842" w:type="dxa"/>
            <w:vMerge w:val="restart"/>
            <w:vAlign w:val="center"/>
          </w:tcPr>
          <w:p w14:paraId="5B31FD0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091" w:type="dxa"/>
            <w:vAlign w:val="center"/>
          </w:tcPr>
          <w:p w14:paraId="27C5F21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70</w:t>
            </w:r>
          </w:p>
        </w:tc>
        <w:tc>
          <w:tcPr>
            <w:tcW w:w="989" w:type="dxa"/>
            <w:vAlign w:val="center"/>
          </w:tcPr>
          <w:p w14:paraId="6FE5BE7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30</w:t>
            </w:r>
          </w:p>
        </w:tc>
        <w:tc>
          <w:tcPr>
            <w:tcW w:w="738" w:type="dxa"/>
            <w:vAlign w:val="center"/>
          </w:tcPr>
          <w:p w14:paraId="5BC9A297"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70</w:t>
            </w:r>
          </w:p>
        </w:tc>
        <w:tc>
          <w:tcPr>
            <w:tcW w:w="1299" w:type="dxa"/>
            <w:vMerge/>
            <w:vAlign w:val="center"/>
          </w:tcPr>
          <w:p w14:paraId="616F6B52" w14:textId="77777777" w:rsidR="00310AC0" w:rsidRPr="00310AC0" w:rsidRDefault="00310AC0" w:rsidP="00310AC0">
            <w:pPr>
              <w:pStyle w:val="aff"/>
              <w:rPr>
                <w:rFonts w:ascii="Times New Roman" w:hAnsi="Times New Roman" w:cs="Times New Roman"/>
              </w:rPr>
            </w:pPr>
          </w:p>
        </w:tc>
        <w:tc>
          <w:tcPr>
            <w:tcW w:w="644" w:type="dxa"/>
            <w:vMerge/>
            <w:vAlign w:val="center"/>
          </w:tcPr>
          <w:p w14:paraId="0A751B48" w14:textId="77777777" w:rsidR="00310AC0" w:rsidRPr="00310AC0" w:rsidRDefault="00310AC0" w:rsidP="00310AC0">
            <w:pPr>
              <w:pStyle w:val="aff"/>
              <w:rPr>
                <w:rFonts w:ascii="Times New Roman" w:hAnsi="Times New Roman" w:cs="Times New Roman"/>
              </w:rPr>
            </w:pPr>
          </w:p>
        </w:tc>
      </w:tr>
      <w:tr w:rsidR="00310AC0" w:rsidRPr="00310AC0" w14:paraId="0B643BF7" w14:textId="77777777" w:rsidTr="00310AC0">
        <w:trPr>
          <w:cantSplit/>
          <w:jc w:val="center"/>
        </w:trPr>
        <w:tc>
          <w:tcPr>
            <w:tcW w:w="798" w:type="dxa"/>
            <w:vMerge/>
            <w:vAlign w:val="center"/>
          </w:tcPr>
          <w:p w14:paraId="42419050" w14:textId="77777777" w:rsidR="00310AC0" w:rsidRPr="00310AC0" w:rsidRDefault="00310AC0" w:rsidP="00310AC0">
            <w:pPr>
              <w:pStyle w:val="aff"/>
              <w:rPr>
                <w:rFonts w:ascii="Times New Roman" w:hAnsi="Times New Roman" w:cs="Times New Roman"/>
              </w:rPr>
            </w:pPr>
          </w:p>
        </w:tc>
        <w:tc>
          <w:tcPr>
            <w:tcW w:w="696" w:type="dxa"/>
            <w:vMerge/>
            <w:vAlign w:val="center"/>
          </w:tcPr>
          <w:p w14:paraId="684A2374" w14:textId="77777777" w:rsidR="00310AC0" w:rsidRPr="00310AC0" w:rsidRDefault="00310AC0" w:rsidP="00310AC0">
            <w:pPr>
              <w:pStyle w:val="aff"/>
              <w:rPr>
                <w:rFonts w:ascii="Times New Roman" w:hAnsi="Times New Roman" w:cs="Times New Roman"/>
              </w:rPr>
            </w:pPr>
          </w:p>
        </w:tc>
        <w:tc>
          <w:tcPr>
            <w:tcW w:w="1450" w:type="dxa"/>
            <w:vAlign w:val="center"/>
          </w:tcPr>
          <w:p w14:paraId="7F3F0389" w14:textId="77777777" w:rsidR="00310AC0" w:rsidRPr="00310AC0" w:rsidRDefault="00310AC0" w:rsidP="00310AC0">
            <w:pPr>
              <w:pStyle w:val="aff"/>
              <w:rPr>
                <w:rFonts w:ascii="Times New Roman" w:hAnsi="Times New Roman" w:cs="Times New Roman"/>
              </w:rPr>
            </w:pPr>
            <w:proofErr w:type="gramStart"/>
            <w:r w:rsidRPr="00310AC0">
              <w:rPr>
                <w:rFonts w:ascii="Times New Roman" w:hAnsi="Times New Roman" w:cs="Times New Roman"/>
              </w:rPr>
              <w:t>潜孔钻</w:t>
            </w:r>
            <w:proofErr w:type="gramEnd"/>
          </w:p>
        </w:tc>
        <w:tc>
          <w:tcPr>
            <w:tcW w:w="850" w:type="dxa"/>
            <w:vAlign w:val="center"/>
          </w:tcPr>
          <w:p w14:paraId="2F779C47"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ign w:val="center"/>
          </w:tcPr>
          <w:p w14:paraId="1AB30CDD" w14:textId="77777777" w:rsidR="00310AC0" w:rsidRPr="00310AC0" w:rsidRDefault="00310AC0" w:rsidP="00310AC0">
            <w:pPr>
              <w:pStyle w:val="aff"/>
              <w:rPr>
                <w:rFonts w:ascii="Times New Roman" w:hAnsi="Times New Roman" w:cs="Times New Roman"/>
              </w:rPr>
            </w:pPr>
          </w:p>
        </w:tc>
        <w:tc>
          <w:tcPr>
            <w:tcW w:w="1134" w:type="dxa"/>
            <w:vAlign w:val="center"/>
          </w:tcPr>
          <w:p w14:paraId="62012F2F"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1134" w:type="dxa"/>
            <w:vMerge/>
            <w:vAlign w:val="center"/>
          </w:tcPr>
          <w:p w14:paraId="627C010D" w14:textId="77777777" w:rsidR="00310AC0" w:rsidRPr="00310AC0" w:rsidRDefault="00310AC0" w:rsidP="00310AC0">
            <w:pPr>
              <w:pStyle w:val="aff"/>
              <w:rPr>
                <w:rFonts w:ascii="Times New Roman" w:hAnsi="Times New Roman" w:cs="Times New Roman"/>
              </w:rPr>
            </w:pPr>
          </w:p>
        </w:tc>
        <w:tc>
          <w:tcPr>
            <w:tcW w:w="853" w:type="dxa"/>
            <w:vAlign w:val="center"/>
          </w:tcPr>
          <w:p w14:paraId="4A414DE7"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46566C43" w14:textId="77777777" w:rsidR="00310AC0" w:rsidRPr="00310AC0" w:rsidRDefault="00310AC0" w:rsidP="00310AC0">
            <w:pPr>
              <w:pStyle w:val="aff"/>
              <w:rPr>
                <w:rFonts w:ascii="Times New Roman" w:hAnsi="Times New Roman" w:cs="Times New Roman"/>
              </w:rPr>
            </w:pPr>
          </w:p>
        </w:tc>
        <w:tc>
          <w:tcPr>
            <w:tcW w:w="1091" w:type="dxa"/>
            <w:vAlign w:val="center"/>
          </w:tcPr>
          <w:p w14:paraId="7C841BE8"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989" w:type="dxa"/>
            <w:vAlign w:val="center"/>
          </w:tcPr>
          <w:p w14:paraId="732F7DC0"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30</w:t>
            </w:r>
          </w:p>
        </w:tc>
        <w:tc>
          <w:tcPr>
            <w:tcW w:w="738" w:type="dxa"/>
            <w:vAlign w:val="center"/>
          </w:tcPr>
          <w:p w14:paraId="7FF8334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1299" w:type="dxa"/>
            <w:vMerge/>
            <w:vAlign w:val="center"/>
          </w:tcPr>
          <w:p w14:paraId="6FD4D0E2" w14:textId="77777777" w:rsidR="00310AC0" w:rsidRPr="00310AC0" w:rsidRDefault="00310AC0" w:rsidP="00310AC0">
            <w:pPr>
              <w:pStyle w:val="aff"/>
              <w:rPr>
                <w:rFonts w:ascii="Times New Roman" w:hAnsi="Times New Roman" w:cs="Times New Roman"/>
              </w:rPr>
            </w:pPr>
          </w:p>
        </w:tc>
        <w:tc>
          <w:tcPr>
            <w:tcW w:w="644" w:type="dxa"/>
            <w:vMerge/>
            <w:vAlign w:val="center"/>
          </w:tcPr>
          <w:p w14:paraId="525E6C0E" w14:textId="77777777" w:rsidR="00310AC0" w:rsidRPr="00310AC0" w:rsidRDefault="00310AC0" w:rsidP="00310AC0">
            <w:pPr>
              <w:pStyle w:val="aff"/>
              <w:rPr>
                <w:rFonts w:ascii="Times New Roman" w:hAnsi="Times New Roman" w:cs="Times New Roman"/>
              </w:rPr>
            </w:pPr>
          </w:p>
        </w:tc>
      </w:tr>
      <w:tr w:rsidR="00310AC0" w:rsidRPr="00310AC0" w14:paraId="3466D9F0" w14:textId="77777777" w:rsidTr="00310AC0">
        <w:trPr>
          <w:cantSplit/>
          <w:jc w:val="center"/>
        </w:trPr>
        <w:tc>
          <w:tcPr>
            <w:tcW w:w="798" w:type="dxa"/>
            <w:vMerge/>
            <w:vAlign w:val="center"/>
          </w:tcPr>
          <w:p w14:paraId="1F5D3545" w14:textId="77777777" w:rsidR="00310AC0" w:rsidRPr="00310AC0" w:rsidRDefault="00310AC0" w:rsidP="00310AC0">
            <w:pPr>
              <w:pStyle w:val="aff"/>
              <w:rPr>
                <w:rFonts w:ascii="Times New Roman" w:hAnsi="Times New Roman" w:cs="Times New Roman"/>
              </w:rPr>
            </w:pPr>
          </w:p>
        </w:tc>
        <w:tc>
          <w:tcPr>
            <w:tcW w:w="696" w:type="dxa"/>
            <w:vMerge/>
            <w:vAlign w:val="center"/>
          </w:tcPr>
          <w:p w14:paraId="55D156EE" w14:textId="77777777" w:rsidR="00310AC0" w:rsidRPr="00310AC0" w:rsidRDefault="00310AC0" w:rsidP="00310AC0">
            <w:pPr>
              <w:pStyle w:val="aff"/>
              <w:rPr>
                <w:rFonts w:ascii="Times New Roman" w:hAnsi="Times New Roman" w:cs="Times New Roman"/>
              </w:rPr>
            </w:pPr>
          </w:p>
        </w:tc>
        <w:tc>
          <w:tcPr>
            <w:tcW w:w="1450" w:type="dxa"/>
            <w:vAlign w:val="center"/>
          </w:tcPr>
          <w:p w14:paraId="5B00D18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凿岩机</w:t>
            </w:r>
          </w:p>
        </w:tc>
        <w:tc>
          <w:tcPr>
            <w:tcW w:w="850" w:type="dxa"/>
            <w:vAlign w:val="center"/>
          </w:tcPr>
          <w:p w14:paraId="49725B64"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ign w:val="center"/>
          </w:tcPr>
          <w:p w14:paraId="4328EC23" w14:textId="77777777" w:rsidR="00310AC0" w:rsidRPr="00310AC0" w:rsidRDefault="00310AC0" w:rsidP="00310AC0">
            <w:pPr>
              <w:pStyle w:val="aff"/>
              <w:rPr>
                <w:rFonts w:ascii="Times New Roman" w:hAnsi="Times New Roman" w:cs="Times New Roman"/>
              </w:rPr>
            </w:pPr>
          </w:p>
        </w:tc>
        <w:tc>
          <w:tcPr>
            <w:tcW w:w="1134" w:type="dxa"/>
            <w:vAlign w:val="center"/>
          </w:tcPr>
          <w:p w14:paraId="13F7C84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1134" w:type="dxa"/>
            <w:vMerge/>
            <w:vAlign w:val="center"/>
          </w:tcPr>
          <w:p w14:paraId="23CAB278" w14:textId="77777777" w:rsidR="00310AC0" w:rsidRPr="00310AC0" w:rsidRDefault="00310AC0" w:rsidP="00310AC0">
            <w:pPr>
              <w:pStyle w:val="aff"/>
              <w:rPr>
                <w:rFonts w:ascii="Times New Roman" w:hAnsi="Times New Roman" w:cs="Times New Roman"/>
              </w:rPr>
            </w:pPr>
          </w:p>
        </w:tc>
        <w:tc>
          <w:tcPr>
            <w:tcW w:w="853" w:type="dxa"/>
            <w:vAlign w:val="center"/>
          </w:tcPr>
          <w:p w14:paraId="322D704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1439F11F" w14:textId="77777777" w:rsidR="00310AC0" w:rsidRPr="00310AC0" w:rsidRDefault="00310AC0" w:rsidP="00310AC0">
            <w:pPr>
              <w:pStyle w:val="aff"/>
              <w:rPr>
                <w:rFonts w:ascii="Times New Roman" w:hAnsi="Times New Roman" w:cs="Times New Roman"/>
              </w:rPr>
            </w:pPr>
          </w:p>
        </w:tc>
        <w:tc>
          <w:tcPr>
            <w:tcW w:w="1091" w:type="dxa"/>
            <w:vAlign w:val="center"/>
          </w:tcPr>
          <w:p w14:paraId="0DE4001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989" w:type="dxa"/>
            <w:vAlign w:val="center"/>
          </w:tcPr>
          <w:p w14:paraId="7EE527C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15</w:t>
            </w:r>
          </w:p>
        </w:tc>
        <w:tc>
          <w:tcPr>
            <w:tcW w:w="738" w:type="dxa"/>
            <w:vAlign w:val="center"/>
          </w:tcPr>
          <w:p w14:paraId="383510C8"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1299" w:type="dxa"/>
            <w:vMerge/>
            <w:vAlign w:val="center"/>
          </w:tcPr>
          <w:p w14:paraId="66D1A7BD" w14:textId="77777777" w:rsidR="00310AC0" w:rsidRPr="00310AC0" w:rsidRDefault="00310AC0" w:rsidP="00310AC0">
            <w:pPr>
              <w:pStyle w:val="aff"/>
              <w:rPr>
                <w:rFonts w:ascii="Times New Roman" w:hAnsi="Times New Roman" w:cs="Times New Roman"/>
              </w:rPr>
            </w:pPr>
          </w:p>
        </w:tc>
        <w:tc>
          <w:tcPr>
            <w:tcW w:w="644" w:type="dxa"/>
            <w:vMerge/>
            <w:vAlign w:val="center"/>
          </w:tcPr>
          <w:p w14:paraId="141CEAC2" w14:textId="77777777" w:rsidR="00310AC0" w:rsidRPr="00310AC0" w:rsidRDefault="00310AC0" w:rsidP="00310AC0">
            <w:pPr>
              <w:pStyle w:val="aff"/>
              <w:rPr>
                <w:rFonts w:ascii="Times New Roman" w:hAnsi="Times New Roman" w:cs="Times New Roman"/>
              </w:rPr>
            </w:pPr>
          </w:p>
        </w:tc>
      </w:tr>
      <w:tr w:rsidR="00310AC0" w:rsidRPr="00310AC0" w14:paraId="6BEA49A1" w14:textId="77777777" w:rsidTr="00310AC0">
        <w:trPr>
          <w:cantSplit/>
          <w:jc w:val="center"/>
        </w:trPr>
        <w:tc>
          <w:tcPr>
            <w:tcW w:w="798" w:type="dxa"/>
            <w:vMerge/>
            <w:vAlign w:val="center"/>
          </w:tcPr>
          <w:p w14:paraId="68C38E46" w14:textId="77777777" w:rsidR="00310AC0" w:rsidRPr="00310AC0" w:rsidRDefault="00310AC0" w:rsidP="00310AC0">
            <w:pPr>
              <w:pStyle w:val="aff"/>
              <w:rPr>
                <w:rFonts w:ascii="Times New Roman" w:hAnsi="Times New Roman" w:cs="Times New Roman"/>
              </w:rPr>
            </w:pPr>
          </w:p>
        </w:tc>
        <w:tc>
          <w:tcPr>
            <w:tcW w:w="696" w:type="dxa"/>
            <w:vMerge/>
            <w:vAlign w:val="center"/>
          </w:tcPr>
          <w:p w14:paraId="3135F536" w14:textId="77777777" w:rsidR="00310AC0" w:rsidRPr="00310AC0" w:rsidRDefault="00310AC0" w:rsidP="00310AC0">
            <w:pPr>
              <w:pStyle w:val="aff"/>
              <w:rPr>
                <w:rFonts w:ascii="Times New Roman" w:hAnsi="Times New Roman" w:cs="Times New Roman"/>
              </w:rPr>
            </w:pPr>
          </w:p>
        </w:tc>
        <w:tc>
          <w:tcPr>
            <w:tcW w:w="1450" w:type="dxa"/>
            <w:vAlign w:val="center"/>
          </w:tcPr>
          <w:p w14:paraId="7E0CF407"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破碎锤</w:t>
            </w:r>
          </w:p>
        </w:tc>
        <w:tc>
          <w:tcPr>
            <w:tcW w:w="850" w:type="dxa"/>
            <w:vAlign w:val="center"/>
          </w:tcPr>
          <w:p w14:paraId="51FAA176"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ign w:val="center"/>
          </w:tcPr>
          <w:p w14:paraId="1710FB85" w14:textId="77777777" w:rsidR="00310AC0" w:rsidRPr="00310AC0" w:rsidRDefault="00310AC0" w:rsidP="00310AC0">
            <w:pPr>
              <w:pStyle w:val="aff"/>
              <w:rPr>
                <w:rFonts w:ascii="Times New Roman" w:hAnsi="Times New Roman" w:cs="Times New Roman"/>
              </w:rPr>
            </w:pPr>
          </w:p>
        </w:tc>
        <w:tc>
          <w:tcPr>
            <w:tcW w:w="1134" w:type="dxa"/>
            <w:vAlign w:val="center"/>
          </w:tcPr>
          <w:p w14:paraId="018DD40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1134" w:type="dxa"/>
            <w:vMerge/>
            <w:vAlign w:val="center"/>
          </w:tcPr>
          <w:p w14:paraId="390B67DC" w14:textId="77777777" w:rsidR="00310AC0" w:rsidRPr="00310AC0" w:rsidRDefault="00310AC0" w:rsidP="00310AC0">
            <w:pPr>
              <w:pStyle w:val="aff"/>
              <w:rPr>
                <w:rFonts w:ascii="Times New Roman" w:hAnsi="Times New Roman" w:cs="Times New Roman"/>
              </w:rPr>
            </w:pPr>
          </w:p>
        </w:tc>
        <w:tc>
          <w:tcPr>
            <w:tcW w:w="853" w:type="dxa"/>
            <w:vAlign w:val="center"/>
          </w:tcPr>
          <w:p w14:paraId="059C2490"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52336BBF" w14:textId="77777777" w:rsidR="00310AC0" w:rsidRPr="00310AC0" w:rsidRDefault="00310AC0" w:rsidP="00310AC0">
            <w:pPr>
              <w:pStyle w:val="aff"/>
              <w:rPr>
                <w:rFonts w:ascii="Times New Roman" w:hAnsi="Times New Roman" w:cs="Times New Roman"/>
              </w:rPr>
            </w:pPr>
          </w:p>
        </w:tc>
        <w:tc>
          <w:tcPr>
            <w:tcW w:w="1091" w:type="dxa"/>
            <w:vAlign w:val="center"/>
          </w:tcPr>
          <w:p w14:paraId="19B96A83"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989" w:type="dxa"/>
            <w:vAlign w:val="center"/>
          </w:tcPr>
          <w:p w14:paraId="7937DB2F"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15</w:t>
            </w:r>
          </w:p>
        </w:tc>
        <w:tc>
          <w:tcPr>
            <w:tcW w:w="738" w:type="dxa"/>
            <w:vAlign w:val="center"/>
          </w:tcPr>
          <w:p w14:paraId="6EE091B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1299" w:type="dxa"/>
            <w:vMerge/>
            <w:vAlign w:val="center"/>
          </w:tcPr>
          <w:p w14:paraId="3843B649" w14:textId="77777777" w:rsidR="00310AC0" w:rsidRPr="00310AC0" w:rsidRDefault="00310AC0" w:rsidP="00310AC0">
            <w:pPr>
              <w:pStyle w:val="aff"/>
              <w:rPr>
                <w:rFonts w:ascii="Times New Roman" w:hAnsi="Times New Roman" w:cs="Times New Roman"/>
              </w:rPr>
            </w:pPr>
          </w:p>
        </w:tc>
        <w:tc>
          <w:tcPr>
            <w:tcW w:w="644" w:type="dxa"/>
            <w:vMerge/>
            <w:vAlign w:val="center"/>
          </w:tcPr>
          <w:p w14:paraId="18B4D208" w14:textId="77777777" w:rsidR="00310AC0" w:rsidRPr="00310AC0" w:rsidRDefault="00310AC0" w:rsidP="00310AC0">
            <w:pPr>
              <w:pStyle w:val="aff"/>
              <w:rPr>
                <w:rFonts w:ascii="Times New Roman" w:hAnsi="Times New Roman" w:cs="Times New Roman"/>
              </w:rPr>
            </w:pPr>
          </w:p>
        </w:tc>
      </w:tr>
      <w:tr w:rsidR="00310AC0" w:rsidRPr="00310AC0" w14:paraId="364CC22C" w14:textId="77777777" w:rsidTr="00310AC0">
        <w:trPr>
          <w:cantSplit/>
          <w:jc w:val="center"/>
        </w:trPr>
        <w:tc>
          <w:tcPr>
            <w:tcW w:w="798" w:type="dxa"/>
            <w:vMerge/>
            <w:vAlign w:val="center"/>
          </w:tcPr>
          <w:p w14:paraId="1617A5B2" w14:textId="77777777" w:rsidR="00310AC0" w:rsidRPr="00310AC0" w:rsidRDefault="00310AC0" w:rsidP="00310AC0">
            <w:pPr>
              <w:pStyle w:val="aff"/>
              <w:rPr>
                <w:rFonts w:ascii="Times New Roman" w:hAnsi="Times New Roman" w:cs="Times New Roman"/>
              </w:rPr>
            </w:pPr>
          </w:p>
        </w:tc>
        <w:tc>
          <w:tcPr>
            <w:tcW w:w="696" w:type="dxa"/>
            <w:vMerge/>
            <w:vAlign w:val="center"/>
          </w:tcPr>
          <w:p w14:paraId="243C490D" w14:textId="77777777" w:rsidR="00310AC0" w:rsidRPr="00310AC0" w:rsidRDefault="00310AC0" w:rsidP="00310AC0">
            <w:pPr>
              <w:pStyle w:val="aff"/>
              <w:rPr>
                <w:rFonts w:ascii="Times New Roman" w:hAnsi="Times New Roman" w:cs="Times New Roman"/>
              </w:rPr>
            </w:pPr>
          </w:p>
        </w:tc>
        <w:tc>
          <w:tcPr>
            <w:tcW w:w="1450" w:type="dxa"/>
            <w:vAlign w:val="center"/>
          </w:tcPr>
          <w:p w14:paraId="37CB31B8"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液压挖掘机</w:t>
            </w:r>
          </w:p>
        </w:tc>
        <w:tc>
          <w:tcPr>
            <w:tcW w:w="850" w:type="dxa"/>
            <w:vAlign w:val="center"/>
          </w:tcPr>
          <w:p w14:paraId="093F29F4"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ign w:val="center"/>
          </w:tcPr>
          <w:p w14:paraId="57391B67" w14:textId="77777777" w:rsidR="00310AC0" w:rsidRPr="00310AC0" w:rsidRDefault="00310AC0" w:rsidP="00310AC0">
            <w:pPr>
              <w:pStyle w:val="aff"/>
              <w:rPr>
                <w:rFonts w:ascii="Times New Roman" w:hAnsi="Times New Roman" w:cs="Times New Roman"/>
              </w:rPr>
            </w:pPr>
          </w:p>
        </w:tc>
        <w:tc>
          <w:tcPr>
            <w:tcW w:w="1134" w:type="dxa"/>
            <w:vAlign w:val="center"/>
          </w:tcPr>
          <w:p w14:paraId="44DD2D3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1134" w:type="dxa"/>
            <w:vMerge/>
            <w:vAlign w:val="center"/>
          </w:tcPr>
          <w:p w14:paraId="741D496F" w14:textId="77777777" w:rsidR="00310AC0" w:rsidRPr="00310AC0" w:rsidRDefault="00310AC0" w:rsidP="00310AC0">
            <w:pPr>
              <w:pStyle w:val="aff"/>
              <w:rPr>
                <w:rFonts w:ascii="Times New Roman" w:hAnsi="Times New Roman" w:cs="Times New Roman"/>
              </w:rPr>
            </w:pPr>
          </w:p>
        </w:tc>
        <w:tc>
          <w:tcPr>
            <w:tcW w:w="853" w:type="dxa"/>
            <w:vAlign w:val="center"/>
          </w:tcPr>
          <w:p w14:paraId="2297241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1B4FFDBE" w14:textId="77777777" w:rsidR="00310AC0" w:rsidRPr="00310AC0" w:rsidRDefault="00310AC0" w:rsidP="00310AC0">
            <w:pPr>
              <w:pStyle w:val="aff"/>
              <w:rPr>
                <w:rFonts w:ascii="Times New Roman" w:hAnsi="Times New Roman" w:cs="Times New Roman"/>
              </w:rPr>
            </w:pPr>
          </w:p>
        </w:tc>
        <w:tc>
          <w:tcPr>
            <w:tcW w:w="1091" w:type="dxa"/>
            <w:vAlign w:val="center"/>
          </w:tcPr>
          <w:p w14:paraId="66C619C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989" w:type="dxa"/>
            <w:vAlign w:val="center"/>
          </w:tcPr>
          <w:p w14:paraId="58D779C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15</w:t>
            </w:r>
          </w:p>
        </w:tc>
        <w:tc>
          <w:tcPr>
            <w:tcW w:w="738" w:type="dxa"/>
            <w:vAlign w:val="center"/>
          </w:tcPr>
          <w:p w14:paraId="5D688224"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80</w:t>
            </w:r>
          </w:p>
        </w:tc>
        <w:tc>
          <w:tcPr>
            <w:tcW w:w="1299" w:type="dxa"/>
            <w:vMerge/>
            <w:vAlign w:val="center"/>
          </w:tcPr>
          <w:p w14:paraId="0D5582A9" w14:textId="77777777" w:rsidR="00310AC0" w:rsidRPr="00310AC0" w:rsidRDefault="00310AC0" w:rsidP="00310AC0">
            <w:pPr>
              <w:pStyle w:val="aff"/>
              <w:rPr>
                <w:rFonts w:ascii="Times New Roman" w:hAnsi="Times New Roman" w:cs="Times New Roman"/>
              </w:rPr>
            </w:pPr>
          </w:p>
        </w:tc>
        <w:tc>
          <w:tcPr>
            <w:tcW w:w="644" w:type="dxa"/>
            <w:vMerge/>
            <w:vAlign w:val="center"/>
          </w:tcPr>
          <w:p w14:paraId="2482503C" w14:textId="77777777" w:rsidR="00310AC0" w:rsidRPr="00310AC0" w:rsidRDefault="00310AC0" w:rsidP="00310AC0">
            <w:pPr>
              <w:pStyle w:val="aff"/>
              <w:rPr>
                <w:rFonts w:ascii="Times New Roman" w:hAnsi="Times New Roman" w:cs="Times New Roman"/>
              </w:rPr>
            </w:pPr>
          </w:p>
        </w:tc>
      </w:tr>
      <w:tr w:rsidR="00310AC0" w:rsidRPr="00310AC0" w14:paraId="2A7C9E3A" w14:textId="77777777" w:rsidTr="00310AC0">
        <w:trPr>
          <w:cantSplit/>
          <w:jc w:val="center"/>
        </w:trPr>
        <w:tc>
          <w:tcPr>
            <w:tcW w:w="798" w:type="dxa"/>
            <w:vMerge/>
            <w:vAlign w:val="center"/>
          </w:tcPr>
          <w:p w14:paraId="2D6F8096" w14:textId="77777777" w:rsidR="00310AC0" w:rsidRPr="00310AC0" w:rsidRDefault="00310AC0" w:rsidP="00310AC0">
            <w:pPr>
              <w:pStyle w:val="aff"/>
              <w:rPr>
                <w:rFonts w:ascii="Times New Roman" w:hAnsi="Times New Roman" w:cs="Times New Roman"/>
              </w:rPr>
            </w:pPr>
          </w:p>
        </w:tc>
        <w:tc>
          <w:tcPr>
            <w:tcW w:w="696" w:type="dxa"/>
            <w:vMerge w:val="restart"/>
            <w:vAlign w:val="center"/>
          </w:tcPr>
          <w:p w14:paraId="29A4BBD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工业场地</w:t>
            </w:r>
          </w:p>
        </w:tc>
        <w:tc>
          <w:tcPr>
            <w:tcW w:w="1450" w:type="dxa"/>
            <w:vAlign w:val="center"/>
          </w:tcPr>
          <w:p w14:paraId="2FC69CD7"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自卸车</w:t>
            </w:r>
          </w:p>
        </w:tc>
        <w:tc>
          <w:tcPr>
            <w:tcW w:w="850" w:type="dxa"/>
            <w:vAlign w:val="center"/>
          </w:tcPr>
          <w:p w14:paraId="717BC25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restart"/>
            <w:vAlign w:val="center"/>
          </w:tcPr>
          <w:p w14:paraId="33DC56F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134" w:type="dxa"/>
            <w:vAlign w:val="center"/>
          </w:tcPr>
          <w:p w14:paraId="2700C18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1134" w:type="dxa"/>
            <w:vMerge w:val="restart"/>
            <w:vAlign w:val="center"/>
          </w:tcPr>
          <w:p w14:paraId="630C5D29"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隔声</w:t>
            </w:r>
          </w:p>
          <w:p w14:paraId="6C5ECBE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消声</w:t>
            </w:r>
          </w:p>
          <w:p w14:paraId="0BC241B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减震</w:t>
            </w:r>
          </w:p>
        </w:tc>
        <w:tc>
          <w:tcPr>
            <w:tcW w:w="853" w:type="dxa"/>
            <w:vAlign w:val="center"/>
          </w:tcPr>
          <w:p w14:paraId="36605583"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restart"/>
            <w:vAlign w:val="center"/>
          </w:tcPr>
          <w:p w14:paraId="28BD4D5F"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091" w:type="dxa"/>
            <w:vAlign w:val="center"/>
          </w:tcPr>
          <w:p w14:paraId="014DF3A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989" w:type="dxa"/>
            <w:vAlign w:val="center"/>
          </w:tcPr>
          <w:p w14:paraId="26883138"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15</w:t>
            </w:r>
          </w:p>
        </w:tc>
        <w:tc>
          <w:tcPr>
            <w:tcW w:w="738" w:type="dxa"/>
            <w:vAlign w:val="center"/>
          </w:tcPr>
          <w:p w14:paraId="51D500F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1299" w:type="dxa"/>
            <w:vMerge/>
            <w:vAlign w:val="center"/>
          </w:tcPr>
          <w:p w14:paraId="7393F8D5" w14:textId="77777777" w:rsidR="00310AC0" w:rsidRPr="00310AC0" w:rsidRDefault="00310AC0" w:rsidP="00310AC0">
            <w:pPr>
              <w:pStyle w:val="aff"/>
              <w:rPr>
                <w:rFonts w:ascii="Times New Roman" w:hAnsi="Times New Roman" w:cs="Times New Roman"/>
              </w:rPr>
            </w:pPr>
          </w:p>
        </w:tc>
        <w:tc>
          <w:tcPr>
            <w:tcW w:w="644" w:type="dxa"/>
            <w:vMerge/>
            <w:vAlign w:val="center"/>
          </w:tcPr>
          <w:p w14:paraId="0EBE02C3" w14:textId="77777777" w:rsidR="00310AC0" w:rsidRPr="00310AC0" w:rsidRDefault="00310AC0" w:rsidP="00310AC0">
            <w:pPr>
              <w:pStyle w:val="aff"/>
              <w:rPr>
                <w:rFonts w:ascii="Times New Roman" w:hAnsi="Times New Roman" w:cs="Times New Roman"/>
              </w:rPr>
            </w:pPr>
          </w:p>
        </w:tc>
      </w:tr>
      <w:tr w:rsidR="00310AC0" w:rsidRPr="00310AC0" w14:paraId="3235120B" w14:textId="77777777" w:rsidTr="00310AC0">
        <w:trPr>
          <w:cantSplit/>
          <w:jc w:val="center"/>
        </w:trPr>
        <w:tc>
          <w:tcPr>
            <w:tcW w:w="798" w:type="dxa"/>
            <w:vMerge/>
            <w:vAlign w:val="center"/>
          </w:tcPr>
          <w:p w14:paraId="09CED112" w14:textId="77777777" w:rsidR="00310AC0" w:rsidRPr="00310AC0" w:rsidRDefault="00310AC0" w:rsidP="00310AC0">
            <w:pPr>
              <w:pStyle w:val="aff"/>
              <w:rPr>
                <w:rFonts w:ascii="Times New Roman" w:hAnsi="Times New Roman" w:cs="Times New Roman"/>
              </w:rPr>
            </w:pPr>
          </w:p>
        </w:tc>
        <w:tc>
          <w:tcPr>
            <w:tcW w:w="696" w:type="dxa"/>
            <w:vMerge/>
            <w:vAlign w:val="center"/>
          </w:tcPr>
          <w:p w14:paraId="5E374347" w14:textId="77777777" w:rsidR="00310AC0" w:rsidRPr="00310AC0" w:rsidRDefault="00310AC0" w:rsidP="00310AC0">
            <w:pPr>
              <w:pStyle w:val="aff"/>
              <w:rPr>
                <w:rFonts w:ascii="Times New Roman" w:hAnsi="Times New Roman" w:cs="Times New Roman"/>
              </w:rPr>
            </w:pPr>
          </w:p>
        </w:tc>
        <w:tc>
          <w:tcPr>
            <w:tcW w:w="1450" w:type="dxa"/>
            <w:vAlign w:val="center"/>
          </w:tcPr>
          <w:p w14:paraId="091CED49"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装载机</w:t>
            </w:r>
          </w:p>
        </w:tc>
        <w:tc>
          <w:tcPr>
            <w:tcW w:w="850" w:type="dxa"/>
            <w:vAlign w:val="center"/>
          </w:tcPr>
          <w:p w14:paraId="35C7D1FA"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偶发</w:t>
            </w:r>
          </w:p>
        </w:tc>
        <w:tc>
          <w:tcPr>
            <w:tcW w:w="850" w:type="dxa"/>
            <w:vMerge/>
            <w:vAlign w:val="center"/>
          </w:tcPr>
          <w:p w14:paraId="4DCF3019" w14:textId="77777777" w:rsidR="00310AC0" w:rsidRPr="00310AC0" w:rsidRDefault="00310AC0" w:rsidP="00310AC0">
            <w:pPr>
              <w:pStyle w:val="aff"/>
              <w:rPr>
                <w:rFonts w:ascii="Times New Roman" w:hAnsi="Times New Roman" w:cs="Times New Roman"/>
              </w:rPr>
            </w:pPr>
          </w:p>
        </w:tc>
        <w:tc>
          <w:tcPr>
            <w:tcW w:w="1134" w:type="dxa"/>
            <w:vAlign w:val="center"/>
          </w:tcPr>
          <w:p w14:paraId="2075057A"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1134" w:type="dxa"/>
            <w:vMerge/>
            <w:vAlign w:val="center"/>
          </w:tcPr>
          <w:p w14:paraId="445FDD5B" w14:textId="77777777" w:rsidR="00310AC0" w:rsidRPr="00310AC0" w:rsidRDefault="00310AC0" w:rsidP="00310AC0">
            <w:pPr>
              <w:pStyle w:val="aff"/>
              <w:rPr>
                <w:rFonts w:ascii="Times New Roman" w:hAnsi="Times New Roman" w:cs="Times New Roman"/>
              </w:rPr>
            </w:pPr>
          </w:p>
        </w:tc>
        <w:tc>
          <w:tcPr>
            <w:tcW w:w="853" w:type="dxa"/>
            <w:vAlign w:val="center"/>
          </w:tcPr>
          <w:p w14:paraId="2CBBC334"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3A3C5EE2" w14:textId="77777777" w:rsidR="00310AC0" w:rsidRPr="00310AC0" w:rsidRDefault="00310AC0" w:rsidP="00310AC0">
            <w:pPr>
              <w:pStyle w:val="aff"/>
              <w:rPr>
                <w:rFonts w:ascii="Times New Roman" w:hAnsi="Times New Roman" w:cs="Times New Roman"/>
              </w:rPr>
            </w:pPr>
          </w:p>
        </w:tc>
        <w:tc>
          <w:tcPr>
            <w:tcW w:w="1091" w:type="dxa"/>
            <w:vAlign w:val="center"/>
          </w:tcPr>
          <w:p w14:paraId="3910D866"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989" w:type="dxa"/>
            <w:vAlign w:val="center"/>
          </w:tcPr>
          <w:p w14:paraId="564A81CB"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30</w:t>
            </w:r>
          </w:p>
        </w:tc>
        <w:tc>
          <w:tcPr>
            <w:tcW w:w="738" w:type="dxa"/>
            <w:vAlign w:val="center"/>
          </w:tcPr>
          <w:p w14:paraId="03622031"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1299" w:type="dxa"/>
            <w:vMerge/>
            <w:vAlign w:val="center"/>
          </w:tcPr>
          <w:p w14:paraId="6679AA4D" w14:textId="77777777" w:rsidR="00310AC0" w:rsidRPr="00310AC0" w:rsidRDefault="00310AC0" w:rsidP="00310AC0">
            <w:pPr>
              <w:pStyle w:val="aff"/>
              <w:rPr>
                <w:rFonts w:ascii="Times New Roman" w:hAnsi="Times New Roman" w:cs="Times New Roman"/>
              </w:rPr>
            </w:pPr>
          </w:p>
        </w:tc>
        <w:tc>
          <w:tcPr>
            <w:tcW w:w="644" w:type="dxa"/>
            <w:vMerge/>
            <w:vAlign w:val="center"/>
          </w:tcPr>
          <w:p w14:paraId="64873625" w14:textId="77777777" w:rsidR="00310AC0" w:rsidRPr="00310AC0" w:rsidRDefault="00310AC0" w:rsidP="00310AC0">
            <w:pPr>
              <w:pStyle w:val="aff"/>
              <w:rPr>
                <w:rFonts w:ascii="Times New Roman" w:hAnsi="Times New Roman" w:cs="Times New Roman"/>
              </w:rPr>
            </w:pPr>
          </w:p>
        </w:tc>
      </w:tr>
      <w:tr w:rsidR="00310AC0" w:rsidRPr="00310AC0" w14:paraId="1CCFCDED" w14:textId="77777777" w:rsidTr="00310AC0">
        <w:trPr>
          <w:cantSplit/>
          <w:jc w:val="center"/>
        </w:trPr>
        <w:tc>
          <w:tcPr>
            <w:tcW w:w="798" w:type="dxa"/>
            <w:vMerge/>
            <w:vAlign w:val="center"/>
          </w:tcPr>
          <w:p w14:paraId="3901F95A" w14:textId="77777777" w:rsidR="00310AC0" w:rsidRPr="00310AC0" w:rsidRDefault="00310AC0" w:rsidP="00310AC0">
            <w:pPr>
              <w:pStyle w:val="aff"/>
              <w:rPr>
                <w:rFonts w:ascii="Times New Roman" w:hAnsi="Times New Roman" w:cs="Times New Roman"/>
              </w:rPr>
            </w:pPr>
          </w:p>
        </w:tc>
        <w:tc>
          <w:tcPr>
            <w:tcW w:w="696" w:type="dxa"/>
            <w:vMerge w:val="restart"/>
            <w:vAlign w:val="center"/>
          </w:tcPr>
          <w:p w14:paraId="1BC7C4D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破碎站</w:t>
            </w:r>
          </w:p>
        </w:tc>
        <w:tc>
          <w:tcPr>
            <w:tcW w:w="1450" w:type="dxa"/>
            <w:vAlign w:val="center"/>
          </w:tcPr>
          <w:p w14:paraId="59D843F3"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锤式破碎机</w:t>
            </w:r>
          </w:p>
        </w:tc>
        <w:tc>
          <w:tcPr>
            <w:tcW w:w="850" w:type="dxa"/>
            <w:vAlign w:val="center"/>
          </w:tcPr>
          <w:p w14:paraId="58B3B02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频发</w:t>
            </w:r>
          </w:p>
        </w:tc>
        <w:tc>
          <w:tcPr>
            <w:tcW w:w="850" w:type="dxa"/>
            <w:vMerge w:val="restart"/>
            <w:vAlign w:val="center"/>
          </w:tcPr>
          <w:p w14:paraId="007A5B3C"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134" w:type="dxa"/>
            <w:vAlign w:val="center"/>
          </w:tcPr>
          <w:p w14:paraId="710AB8B4"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90</w:t>
            </w:r>
          </w:p>
        </w:tc>
        <w:tc>
          <w:tcPr>
            <w:tcW w:w="1134" w:type="dxa"/>
            <w:vMerge/>
            <w:vAlign w:val="center"/>
          </w:tcPr>
          <w:p w14:paraId="435CBC2A" w14:textId="77777777" w:rsidR="00310AC0" w:rsidRPr="00310AC0" w:rsidRDefault="00310AC0" w:rsidP="00310AC0">
            <w:pPr>
              <w:pStyle w:val="aff"/>
              <w:rPr>
                <w:rFonts w:ascii="Times New Roman" w:hAnsi="Times New Roman" w:cs="Times New Roman"/>
              </w:rPr>
            </w:pPr>
          </w:p>
        </w:tc>
        <w:tc>
          <w:tcPr>
            <w:tcW w:w="853" w:type="dxa"/>
            <w:vAlign w:val="center"/>
          </w:tcPr>
          <w:p w14:paraId="57AB767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restart"/>
            <w:vAlign w:val="center"/>
          </w:tcPr>
          <w:p w14:paraId="67ED9471"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类比法</w:t>
            </w:r>
          </w:p>
        </w:tc>
        <w:tc>
          <w:tcPr>
            <w:tcW w:w="1091" w:type="dxa"/>
            <w:vAlign w:val="center"/>
          </w:tcPr>
          <w:p w14:paraId="206496A2"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989" w:type="dxa"/>
            <w:vAlign w:val="center"/>
          </w:tcPr>
          <w:p w14:paraId="4DF387B0"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4800</w:t>
            </w:r>
          </w:p>
        </w:tc>
        <w:tc>
          <w:tcPr>
            <w:tcW w:w="738" w:type="dxa"/>
            <w:vAlign w:val="center"/>
          </w:tcPr>
          <w:p w14:paraId="12A945AE"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75</w:t>
            </w:r>
          </w:p>
        </w:tc>
        <w:tc>
          <w:tcPr>
            <w:tcW w:w="1299" w:type="dxa"/>
            <w:vMerge/>
            <w:vAlign w:val="center"/>
          </w:tcPr>
          <w:p w14:paraId="02E2D66B" w14:textId="77777777" w:rsidR="00310AC0" w:rsidRPr="00310AC0" w:rsidRDefault="00310AC0" w:rsidP="00310AC0">
            <w:pPr>
              <w:pStyle w:val="aff"/>
              <w:rPr>
                <w:rFonts w:ascii="Times New Roman" w:hAnsi="Times New Roman" w:cs="Times New Roman"/>
              </w:rPr>
            </w:pPr>
          </w:p>
        </w:tc>
        <w:tc>
          <w:tcPr>
            <w:tcW w:w="644" w:type="dxa"/>
            <w:vMerge/>
            <w:vAlign w:val="center"/>
          </w:tcPr>
          <w:p w14:paraId="53486ECF" w14:textId="77777777" w:rsidR="00310AC0" w:rsidRPr="00310AC0" w:rsidRDefault="00310AC0" w:rsidP="00310AC0">
            <w:pPr>
              <w:pStyle w:val="aff"/>
              <w:rPr>
                <w:rFonts w:ascii="Times New Roman" w:hAnsi="Times New Roman" w:cs="Times New Roman"/>
              </w:rPr>
            </w:pPr>
          </w:p>
        </w:tc>
      </w:tr>
      <w:tr w:rsidR="00310AC0" w:rsidRPr="00310AC0" w14:paraId="312FF55C" w14:textId="77777777" w:rsidTr="00310AC0">
        <w:trPr>
          <w:cantSplit/>
          <w:jc w:val="center"/>
        </w:trPr>
        <w:tc>
          <w:tcPr>
            <w:tcW w:w="798" w:type="dxa"/>
            <w:vMerge/>
            <w:vAlign w:val="center"/>
          </w:tcPr>
          <w:p w14:paraId="6B1BB597" w14:textId="77777777" w:rsidR="00310AC0" w:rsidRPr="00310AC0" w:rsidRDefault="00310AC0" w:rsidP="00310AC0">
            <w:pPr>
              <w:pStyle w:val="aff"/>
              <w:rPr>
                <w:rFonts w:ascii="Times New Roman" w:hAnsi="Times New Roman" w:cs="Times New Roman"/>
              </w:rPr>
            </w:pPr>
          </w:p>
        </w:tc>
        <w:tc>
          <w:tcPr>
            <w:tcW w:w="696" w:type="dxa"/>
            <w:vMerge/>
            <w:vAlign w:val="center"/>
          </w:tcPr>
          <w:p w14:paraId="21126069" w14:textId="77777777" w:rsidR="00310AC0" w:rsidRPr="00310AC0" w:rsidRDefault="00310AC0" w:rsidP="00310AC0">
            <w:pPr>
              <w:pStyle w:val="aff"/>
              <w:rPr>
                <w:rFonts w:ascii="Times New Roman" w:hAnsi="Times New Roman" w:cs="Times New Roman"/>
              </w:rPr>
            </w:pPr>
          </w:p>
        </w:tc>
        <w:tc>
          <w:tcPr>
            <w:tcW w:w="1450" w:type="dxa"/>
            <w:vAlign w:val="center"/>
          </w:tcPr>
          <w:p w14:paraId="59096E0A"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筛分机</w:t>
            </w:r>
          </w:p>
        </w:tc>
        <w:tc>
          <w:tcPr>
            <w:tcW w:w="850" w:type="dxa"/>
            <w:vAlign w:val="center"/>
          </w:tcPr>
          <w:p w14:paraId="59CF63E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频发</w:t>
            </w:r>
          </w:p>
        </w:tc>
        <w:tc>
          <w:tcPr>
            <w:tcW w:w="850" w:type="dxa"/>
            <w:vMerge/>
            <w:vAlign w:val="center"/>
          </w:tcPr>
          <w:p w14:paraId="04396354" w14:textId="77777777" w:rsidR="00310AC0" w:rsidRPr="00310AC0" w:rsidRDefault="00310AC0" w:rsidP="00310AC0">
            <w:pPr>
              <w:pStyle w:val="aff"/>
              <w:rPr>
                <w:rFonts w:ascii="Times New Roman" w:hAnsi="Times New Roman" w:cs="Times New Roman"/>
              </w:rPr>
            </w:pPr>
          </w:p>
        </w:tc>
        <w:tc>
          <w:tcPr>
            <w:tcW w:w="1134" w:type="dxa"/>
            <w:vAlign w:val="center"/>
          </w:tcPr>
          <w:p w14:paraId="28A43408"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85</w:t>
            </w:r>
          </w:p>
        </w:tc>
        <w:tc>
          <w:tcPr>
            <w:tcW w:w="1134" w:type="dxa"/>
            <w:vMerge/>
            <w:vAlign w:val="center"/>
          </w:tcPr>
          <w:p w14:paraId="3E6CD852" w14:textId="77777777" w:rsidR="00310AC0" w:rsidRPr="00310AC0" w:rsidRDefault="00310AC0" w:rsidP="00310AC0">
            <w:pPr>
              <w:pStyle w:val="aff"/>
              <w:rPr>
                <w:rFonts w:ascii="Times New Roman" w:hAnsi="Times New Roman" w:cs="Times New Roman"/>
              </w:rPr>
            </w:pPr>
          </w:p>
        </w:tc>
        <w:tc>
          <w:tcPr>
            <w:tcW w:w="853" w:type="dxa"/>
            <w:vAlign w:val="center"/>
          </w:tcPr>
          <w:p w14:paraId="70B38B37"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w:t>
            </w:r>
          </w:p>
        </w:tc>
        <w:tc>
          <w:tcPr>
            <w:tcW w:w="842" w:type="dxa"/>
            <w:vMerge/>
            <w:vAlign w:val="center"/>
          </w:tcPr>
          <w:p w14:paraId="32F0BD7C" w14:textId="77777777" w:rsidR="00310AC0" w:rsidRPr="00310AC0" w:rsidRDefault="00310AC0" w:rsidP="00310AC0">
            <w:pPr>
              <w:pStyle w:val="aff"/>
              <w:rPr>
                <w:rFonts w:ascii="Times New Roman" w:hAnsi="Times New Roman" w:cs="Times New Roman"/>
              </w:rPr>
            </w:pPr>
          </w:p>
        </w:tc>
        <w:tc>
          <w:tcPr>
            <w:tcW w:w="1091" w:type="dxa"/>
            <w:vAlign w:val="center"/>
          </w:tcPr>
          <w:p w14:paraId="58A2054D"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70</w:t>
            </w:r>
          </w:p>
        </w:tc>
        <w:tc>
          <w:tcPr>
            <w:tcW w:w="989" w:type="dxa"/>
            <w:vAlign w:val="center"/>
          </w:tcPr>
          <w:p w14:paraId="5AB25135"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4800</w:t>
            </w:r>
          </w:p>
        </w:tc>
        <w:tc>
          <w:tcPr>
            <w:tcW w:w="738" w:type="dxa"/>
            <w:vAlign w:val="center"/>
          </w:tcPr>
          <w:p w14:paraId="05E25039" w14:textId="77777777" w:rsidR="00310AC0" w:rsidRPr="00310AC0" w:rsidRDefault="00310AC0" w:rsidP="00310AC0">
            <w:pPr>
              <w:pStyle w:val="aff"/>
              <w:rPr>
                <w:rFonts w:ascii="Times New Roman" w:hAnsi="Times New Roman" w:cs="Times New Roman"/>
              </w:rPr>
            </w:pPr>
            <w:r w:rsidRPr="00310AC0">
              <w:rPr>
                <w:rFonts w:ascii="Times New Roman" w:hAnsi="Times New Roman" w:cs="Times New Roman"/>
              </w:rPr>
              <w:t>70</w:t>
            </w:r>
          </w:p>
        </w:tc>
        <w:tc>
          <w:tcPr>
            <w:tcW w:w="1299" w:type="dxa"/>
            <w:vMerge/>
            <w:vAlign w:val="center"/>
          </w:tcPr>
          <w:p w14:paraId="562C58BF" w14:textId="77777777" w:rsidR="00310AC0" w:rsidRPr="00310AC0" w:rsidRDefault="00310AC0" w:rsidP="00310AC0">
            <w:pPr>
              <w:pStyle w:val="aff"/>
              <w:rPr>
                <w:rFonts w:ascii="Times New Roman" w:hAnsi="Times New Roman" w:cs="Times New Roman"/>
              </w:rPr>
            </w:pPr>
          </w:p>
        </w:tc>
        <w:tc>
          <w:tcPr>
            <w:tcW w:w="644" w:type="dxa"/>
            <w:vMerge/>
            <w:vAlign w:val="center"/>
          </w:tcPr>
          <w:p w14:paraId="7E558082" w14:textId="77777777" w:rsidR="00310AC0" w:rsidRPr="00310AC0" w:rsidRDefault="00310AC0" w:rsidP="00310AC0">
            <w:pPr>
              <w:pStyle w:val="aff"/>
              <w:rPr>
                <w:rFonts w:ascii="Times New Roman" w:hAnsi="Times New Roman" w:cs="Times New Roman"/>
              </w:rPr>
            </w:pPr>
          </w:p>
        </w:tc>
      </w:tr>
    </w:tbl>
    <w:p w14:paraId="49A7DE61" w14:textId="77777777" w:rsidR="00310AC0" w:rsidRDefault="00310AC0" w:rsidP="003F631A">
      <w:pPr>
        <w:spacing w:line="480" w:lineRule="exact"/>
        <w:sectPr w:rsidR="00310AC0" w:rsidSect="00310AC0">
          <w:pgSz w:w="16838" w:h="11906" w:orient="landscape"/>
          <w:pgMar w:top="1588" w:right="1701" w:bottom="1588" w:left="1985" w:header="851" w:footer="992" w:gutter="0"/>
          <w:cols w:space="720"/>
          <w:docGrid w:linePitch="326"/>
        </w:sectPr>
      </w:pPr>
    </w:p>
    <w:p w14:paraId="1970F3B6" w14:textId="6E7B2DBB" w:rsidR="003F631A" w:rsidRPr="00C938AD" w:rsidRDefault="003F631A" w:rsidP="003F631A">
      <w:pPr>
        <w:spacing w:line="480" w:lineRule="exact"/>
      </w:pPr>
      <w:r w:rsidRPr="00C938AD">
        <w:lastRenderedPageBreak/>
        <w:t>（</w:t>
      </w:r>
      <w:r w:rsidRPr="00C938AD">
        <w:rPr>
          <w:rFonts w:hint="eastAsia"/>
        </w:rPr>
        <w:t>2</w:t>
      </w:r>
      <w:r w:rsidRPr="00C938AD">
        <w:t>）运输噪声</w:t>
      </w:r>
    </w:p>
    <w:p w14:paraId="1D425247" w14:textId="0321F26B" w:rsidR="003F631A" w:rsidRPr="00C938AD" w:rsidRDefault="003F631A" w:rsidP="003F631A">
      <w:pPr>
        <w:spacing w:line="480" w:lineRule="exact"/>
      </w:pPr>
      <w:r w:rsidRPr="00C938AD">
        <w:rPr>
          <w:rFonts w:hint="eastAsia"/>
        </w:rPr>
        <w:t>现有工程</w:t>
      </w:r>
      <w:r w:rsidRPr="00C938AD">
        <w:t>产品运输车辆噪声按车型、车流量及行车速度确定，其辐射声级一般在</w:t>
      </w:r>
      <w:r w:rsidRPr="00C938AD">
        <w:t>80~90dB</w:t>
      </w:r>
      <w:r w:rsidRPr="00C938AD">
        <w:t>（</w:t>
      </w:r>
      <w:r w:rsidRPr="00C938AD">
        <w:t>A</w:t>
      </w:r>
      <w:r w:rsidRPr="00C938AD">
        <w:t>）之间。</w:t>
      </w:r>
      <w:r w:rsidRPr="00C938AD">
        <w:rPr>
          <w:rFonts w:hint="eastAsia"/>
        </w:rPr>
        <w:t>现有工程采用减速、禁鸣措施，降低运输噪声影响</w:t>
      </w:r>
      <w:r w:rsidR="00310AC0">
        <w:rPr>
          <w:rFonts w:hint="eastAsia"/>
        </w:rPr>
        <w:t>，周围敏感</w:t>
      </w:r>
      <w:proofErr w:type="gramStart"/>
      <w:r w:rsidR="00310AC0">
        <w:rPr>
          <w:rFonts w:hint="eastAsia"/>
        </w:rPr>
        <w:t>点处声环境</w:t>
      </w:r>
      <w:proofErr w:type="gramEnd"/>
      <w:r w:rsidR="00310AC0">
        <w:rPr>
          <w:rFonts w:hint="eastAsia"/>
        </w:rPr>
        <w:t>能满足</w:t>
      </w:r>
      <w:r w:rsidR="00310AC0">
        <w:t>《声环境质量标准》（</w:t>
      </w:r>
      <w:r w:rsidR="00310AC0">
        <w:t>GB3096-2008</w:t>
      </w:r>
      <w:r w:rsidR="00310AC0">
        <w:rPr>
          <w:rFonts w:ascii="宋体" w:hAnsi="宋体"/>
        </w:rPr>
        <w:t>）</w:t>
      </w:r>
      <w:r w:rsidR="00310AC0">
        <w:t>2</w:t>
      </w:r>
      <w:r w:rsidR="00310AC0">
        <w:rPr>
          <w:rFonts w:ascii="宋体" w:hAnsi="宋体"/>
        </w:rPr>
        <w:t>类区标准</w:t>
      </w:r>
      <w:r w:rsidR="00310AC0">
        <w:rPr>
          <w:rFonts w:ascii="宋体" w:hAnsi="宋体" w:hint="eastAsia"/>
        </w:rPr>
        <w:t>。</w:t>
      </w:r>
    </w:p>
    <w:p w14:paraId="145B3A5F" w14:textId="47F7CB42" w:rsidR="003F631A" w:rsidRPr="00B94DD9" w:rsidRDefault="003F631A" w:rsidP="003F631A">
      <w:pPr>
        <w:spacing w:line="480" w:lineRule="exact"/>
        <w:rPr>
          <w:rFonts w:ascii="楷体" w:eastAsia="楷体" w:hAnsi="楷体"/>
        </w:rPr>
      </w:pPr>
      <w:r w:rsidRPr="00B94DD9">
        <w:rPr>
          <w:rFonts w:ascii="楷体" w:eastAsia="楷体" w:hAnsi="楷体" w:hint="eastAsia"/>
        </w:rPr>
        <w:t>3.</w:t>
      </w:r>
      <w:r w:rsidRPr="00B94DD9">
        <w:rPr>
          <w:rFonts w:ascii="楷体" w:eastAsia="楷体" w:hAnsi="楷体"/>
        </w:rPr>
        <w:t>1.</w:t>
      </w:r>
      <w:r w:rsidRPr="00B94DD9">
        <w:rPr>
          <w:rFonts w:ascii="楷体" w:eastAsia="楷体" w:hAnsi="楷体" w:hint="eastAsia"/>
        </w:rPr>
        <w:t>3</w:t>
      </w:r>
      <w:r w:rsidRPr="00B94DD9">
        <w:rPr>
          <w:rFonts w:ascii="楷体" w:eastAsia="楷体" w:hAnsi="楷体"/>
        </w:rPr>
        <w:t>.4</w:t>
      </w:r>
      <w:r w:rsidR="00A21D5F" w:rsidRPr="00B94DD9">
        <w:rPr>
          <w:rFonts w:ascii="楷体" w:eastAsia="楷体" w:hAnsi="楷体" w:hint="eastAsia"/>
        </w:rPr>
        <w:t>资源整合</w:t>
      </w:r>
      <w:proofErr w:type="gramStart"/>
      <w:r w:rsidR="00A21D5F" w:rsidRPr="00B94DD9">
        <w:rPr>
          <w:rFonts w:ascii="楷体" w:eastAsia="楷体" w:hAnsi="楷体" w:hint="eastAsia"/>
        </w:rPr>
        <w:t>前现有</w:t>
      </w:r>
      <w:proofErr w:type="gramEnd"/>
      <w:r w:rsidR="00A21D5F" w:rsidRPr="00B94DD9">
        <w:rPr>
          <w:rFonts w:ascii="楷体" w:eastAsia="楷体" w:hAnsi="楷体" w:hint="eastAsia"/>
        </w:rPr>
        <w:t>工程</w:t>
      </w:r>
      <w:r w:rsidRPr="00B94DD9">
        <w:rPr>
          <w:rFonts w:ascii="楷体" w:eastAsia="楷体" w:hAnsi="楷体"/>
        </w:rPr>
        <w:t>固体废物环境影响及防治措施</w:t>
      </w:r>
    </w:p>
    <w:p w14:paraId="0ADB1A6B" w14:textId="21684CD1" w:rsidR="003F631A" w:rsidRPr="00C938AD" w:rsidRDefault="00A21D5F" w:rsidP="00560CFA">
      <w:pPr>
        <w:pStyle w:val="af6"/>
        <w:ind w:firstLine="480"/>
      </w:pPr>
      <w:r w:rsidRPr="00B94DD9">
        <w:rPr>
          <w:rFonts w:hint="eastAsia"/>
        </w:rPr>
        <w:t>资源整合</w:t>
      </w:r>
      <w:proofErr w:type="gramStart"/>
      <w:r w:rsidRPr="00B94DD9">
        <w:rPr>
          <w:rFonts w:hint="eastAsia"/>
        </w:rPr>
        <w:t>前</w:t>
      </w:r>
      <w:r w:rsidR="003F631A" w:rsidRPr="00B94DD9">
        <w:rPr>
          <w:rFonts w:hint="eastAsia"/>
        </w:rPr>
        <w:t>现有</w:t>
      </w:r>
      <w:proofErr w:type="gramEnd"/>
      <w:r w:rsidR="003F631A" w:rsidRPr="00B94DD9">
        <w:rPr>
          <w:rFonts w:hint="eastAsia"/>
        </w:rPr>
        <w:t>工程</w:t>
      </w:r>
      <w:r w:rsidR="003F631A" w:rsidRPr="00B94DD9">
        <w:t>固体废物主</w:t>
      </w:r>
      <w:r w:rsidR="003F631A" w:rsidRPr="00C938AD">
        <w:t>要为剥离表土</w:t>
      </w:r>
      <w:r w:rsidR="003F631A" w:rsidRPr="00C938AD">
        <w:rPr>
          <w:rFonts w:hint="eastAsia"/>
        </w:rPr>
        <w:t>和</w:t>
      </w:r>
      <w:r w:rsidR="003F631A" w:rsidRPr="00C938AD">
        <w:t>职工的生活垃圾</w:t>
      </w:r>
      <w:r w:rsidR="00297DDF">
        <w:rPr>
          <w:rFonts w:hint="eastAsia"/>
        </w:rPr>
        <w:t>、袋式除尘器收集粉尘</w:t>
      </w:r>
      <w:r w:rsidR="003F631A" w:rsidRPr="00C938AD">
        <w:t>。</w:t>
      </w:r>
    </w:p>
    <w:p w14:paraId="12912E6D" w14:textId="77777777" w:rsidR="003F631A" w:rsidRPr="00C938AD" w:rsidRDefault="003F631A" w:rsidP="00560CFA">
      <w:pPr>
        <w:pStyle w:val="af6"/>
        <w:ind w:firstLine="480"/>
      </w:pPr>
      <w:r w:rsidRPr="00C938AD">
        <w:t>（</w:t>
      </w:r>
      <w:r w:rsidRPr="00C938AD">
        <w:t>1</w:t>
      </w:r>
      <w:r w:rsidRPr="00C938AD">
        <w:t>）剥离表土</w:t>
      </w:r>
    </w:p>
    <w:p w14:paraId="09E36F76" w14:textId="53955627" w:rsidR="00CE1E6F" w:rsidRDefault="003F631A" w:rsidP="00CE1E6F">
      <w:pPr>
        <w:spacing w:line="480" w:lineRule="exact"/>
      </w:pPr>
      <w:r w:rsidRPr="00C938AD">
        <w:rPr>
          <w:rFonts w:hint="eastAsia"/>
        </w:rPr>
        <w:t>根据调查，现有</w:t>
      </w:r>
      <w:proofErr w:type="gramStart"/>
      <w:r w:rsidRPr="00C938AD">
        <w:rPr>
          <w:rFonts w:hint="eastAsia"/>
        </w:rPr>
        <w:t>工程</w:t>
      </w:r>
      <w:r w:rsidR="00CE1E6F" w:rsidRPr="00310AC0">
        <w:rPr>
          <w:rFonts w:cs="Times New Roman" w:hint="eastAsia"/>
        </w:rPr>
        <w:t>驻</w:t>
      </w:r>
      <w:proofErr w:type="gramEnd"/>
      <w:r w:rsidR="00CE1E6F" w:rsidRPr="00310AC0">
        <w:rPr>
          <w:rFonts w:cs="Times New Roman" w:hint="eastAsia"/>
        </w:rPr>
        <w:t>马店市</w:t>
      </w:r>
      <w:proofErr w:type="gramStart"/>
      <w:r w:rsidR="00CE1E6F" w:rsidRPr="00310AC0">
        <w:rPr>
          <w:rFonts w:cs="Times New Roman" w:hint="eastAsia"/>
        </w:rPr>
        <w:t>驿</w:t>
      </w:r>
      <w:proofErr w:type="gramEnd"/>
      <w:r w:rsidR="00CE1E6F" w:rsidRPr="00310AC0">
        <w:rPr>
          <w:rFonts w:cs="Times New Roman" w:hint="eastAsia"/>
        </w:rPr>
        <w:t>城区丰鑫矿业有限公司</w:t>
      </w:r>
      <w:r w:rsidR="00CE1E6F" w:rsidRPr="00C938AD">
        <w:rPr>
          <w:rFonts w:hint="eastAsia"/>
        </w:rPr>
        <w:t>剥离表土</w:t>
      </w:r>
      <w:r w:rsidR="0000008B">
        <w:rPr>
          <w:rFonts w:hint="eastAsia"/>
        </w:rPr>
        <w:t>8</w:t>
      </w:r>
      <w:r w:rsidR="00CE1E6F" w:rsidRPr="00C938AD">
        <w:t>000</w:t>
      </w:r>
      <w:r w:rsidR="00CE1E6F" w:rsidRPr="00C938AD">
        <w:rPr>
          <w:rFonts w:hint="eastAsia"/>
        </w:rPr>
        <w:t>m</w:t>
      </w:r>
      <w:r w:rsidR="00CE1E6F" w:rsidRPr="00C938AD">
        <w:rPr>
          <w:rFonts w:hint="eastAsia"/>
          <w:vertAlign w:val="superscript"/>
        </w:rPr>
        <w:t>3</w:t>
      </w:r>
      <w:r w:rsidR="00CE1E6F">
        <w:rPr>
          <w:rFonts w:hint="eastAsia"/>
        </w:rPr>
        <w:t>，</w:t>
      </w:r>
      <w:r w:rsidR="00CE1E6F" w:rsidRPr="00C938AD">
        <w:rPr>
          <w:rFonts w:hint="eastAsia"/>
        </w:rPr>
        <w:t>现有</w:t>
      </w:r>
      <w:proofErr w:type="gramStart"/>
      <w:r w:rsidR="00CE1E6F" w:rsidRPr="00C938AD">
        <w:rPr>
          <w:rFonts w:hint="eastAsia"/>
        </w:rPr>
        <w:t>工程</w:t>
      </w:r>
      <w:r w:rsidR="00CE1E6F" w:rsidRPr="00CE1E6F">
        <w:rPr>
          <w:rFonts w:cs="Times New Roman" w:hint="eastAsia"/>
        </w:rPr>
        <w:t>驻</w:t>
      </w:r>
      <w:proofErr w:type="gramEnd"/>
      <w:r w:rsidR="00CE1E6F" w:rsidRPr="00CE1E6F">
        <w:rPr>
          <w:rFonts w:cs="Times New Roman" w:hint="eastAsia"/>
        </w:rPr>
        <w:t>马店市</w:t>
      </w:r>
      <w:proofErr w:type="gramStart"/>
      <w:r w:rsidR="00CE1E6F" w:rsidRPr="00CE1E6F">
        <w:rPr>
          <w:rFonts w:cs="Times New Roman" w:hint="eastAsia"/>
        </w:rPr>
        <w:t>驿</w:t>
      </w:r>
      <w:proofErr w:type="gramEnd"/>
      <w:r w:rsidR="00CE1E6F" w:rsidRPr="00CE1E6F">
        <w:rPr>
          <w:rFonts w:cs="Times New Roman" w:hint="eastAsia"/>
        </w:rPr>
        <w:t>城区宏运石料厂</w:t>
      </w:r>
      <w:r w:rsidR="00CE1E6F" w:rsidRPr="00C938AD">
        <w:rPr>
          <w:rFonts w:hint="eastAsia"/>
        </w:rPr>
        <w:t>剥离表土</w:t>
      </w:r>
      <w:r w:rsidR="0000008B">
        <w:rPr>
          <w:rFonts w:hint="eastAsia"/>
        </w:rPr>
        <w:t>5</w:t>
      </w:r>
      <w:r w:rsidR="00CE1E6F" w:rsidRPr="00C938AD">
        <w:t>000</w:t>
      </w:r>
      <w:r w:rsidR="00CE1E6F" w:rsidRPr="00C938AD">
        <w:rPr>
          <w:rFonts w:hint="eastAsia"/>
        </w:rPr>
        <w:t>m</w:t>
      </w:r>
      <w:r w:rsidR="00CE1E6F" w:rsidRPr="00C938AD">
        <w:rPr>
          <w:rFonts w:hint="eastAsia"/>
          <w:vertAlign w:val="superscript"/>
        </w:rPr>
        <w:t>3</w:t>
      </w:r>
      <w:r w:rsidRPr="00C938AD">
        <w:rPr>
          <w:rFonts w:hint="eastAsia"/>
        </w:rPr>
        <w:t>，共计剥离表土</w:t>
      </w:r>
      <w:r w:rsidR="0000008B">
        <w:rPr>
          <w:rFonts w:hint="eastAsia"/>
        </w:rPr>
        <w:t>13</w:t>
      </w:r>
      <w:r w:rsidRPr="00C938AD">
        <w:t>000</w:t>
      </w:r>
      <w:r w:rsidRPr="00C938AD">
        <w:rPr>
          <w:rFonts w:hint="eastAsia"/>
        </w:rPr>
        <w:t>m</w:t>
      </w:r>
      <w:r w:rsidRPr="00C938AD">
        <w:rPr>
          <w:rFonts w:hint="eastAsia"/>
          <w:vertAlign w:val="superscript"/>
        </w:rPr>
        <w:t>3</w:t>
      </w:r>
      <w:r w:rsidRPr="00C938AD">
        <w:rPr>
          <w:rFonts w:hint="eastAsia"/>
        </w:rPr>
        <w:t>，</w:t>
      </w:r>
      <w:r w:rsidR="002B7CF6">
        <w:rPr>
          <w:rFonts w:hint="eastAsia"/>
        </w:rPr>
        <w:t>项目产生的剥离表土，全部暂存于废土石堆场，用于闭矿期矿区的生态恢复。</w:t>
      </w:r>
    </w:p>
    <w:p w14:paraId="66AEBDDF" w14:textId="41D0FF6A" w:rsidR="003F631A" w:rsidRPr="002B7CF6" w:rsidRDefault="002B7CF6" w:rsidP="002B7CF6">
      <w:pPr>
        <w:spacing w:line="480" w:lineRule="exact"/>
      </w:pPr>
      <w:r>
        <w:rPr>
          <w:rFonts w:hint="eastAsia"/>
        </w:rPr>
        <w:t>剥离表土为一般固废，不含重金属等有毒有害元素，堆场雨水下渗不会污染地下水水质；剥离表土用于闭矿期矿区的生态恢复，生态恢复完成后，区域内生态景观会得到改善。</w:t>
      </w:r>
    </w:p>
    <w:p w14:paraId="58B70FA4" w14:textId="77777777" w:rsidR="003F631A" w:rsidRPr="00C938AD" w:rsidRDefault="003F631A" w:rsidP="00560CFA">
      <w:pPr>
        <w:pStyle w:val="af6"/>
        <w:ind w:firstLine="480"/>
      </w:pPr>
      <w:r w:rsidRPr="00C938AD">
        <w:t>（</w:t>
      </w:r>
      <w:r w:rsidRPr="00C938AD">
        <w:rPr>
          <w:rFonts w:hint="eastAsia"/>
        </w:rPr>
        <w:t>2</w:t>
      </w:r>
      <w:r w:rsidRPr="00C938AD">
        <w:t>）员工生活垃圾</w:t>
      </w:r>
    </w:p>
    <w:p w14:paraId="0AAFAB60" w14:textId="3957AAB2" w:rsidR="002B7CF6" w:rsidRDefault="003F631A" w:rsidP="0000008B">
      <w:pPr>
        <w:pStyle w:val="af6"/>
        <w:ind w:firstLine="480"/>
      </w:pPr>
      <w:r w:rsidRPr="00C938AD">
        <w:rPr>
          <w:rFonts w:hint="eastAsia"/>
        </w:rPr>
        <w:t>现有工程</w:t>
      </w:r>
      <w:r w:rsidRPr="00C938AD">
        <w:t>劳动定员</w:t>
      </w:r>
      <w:r w:rsidR="004829D5" w:rsidRPr="00C938AD">
        <w:rPr>
          <w:rFonts w:hint="eastAsia"/>
        </w:rPr>
        <w:t>25</w:t>
      </w:r>
      <w:r w:rsidRPr="00C938AD">
        <w:t>人，</w:t>
      </w:r>
      <w:r w:rsidRPr="00C938AD">
        <w:rPr>
          <w:rFonts w:hint="eastAsia"/>
        </w:rPr>
        <w:t>一天一班，</w:t>
      </w:r>
      <w:r w:rsidRPr="00C938AD">
        <w:t>生活垃圾产生量按</w:t>
      </w:r>
      <w:r w:rsidRPr="00C938AD">
        <w:rPr>
          <w:rFonts w:hint="eastAsia"/>
        </w:rPr>
        <w:t>0.5</w:t>
      </w:r>
      <w:r w:rsidRPr="00C938AD">
        <w:t>kg/d·</w:t>
      </w:r>
      <w:r w:rsidRPr="00C938AD">
        <w:rPr>
          <w:rFonts w:hint="eastAsia"/>
        </w:rPr>
        <w:t>人</w:t>
      </w:r>
      <w:r w:rsidRPr="00C938AD">
        <w:t>计，生活垃圾产生量为</w:t>
      </w:r>
      <w:r w:rsidR="004829D5" w:rsidRPr="00C938AD">
        <w:rPr>
          <w:rFonts w:hint="eastAsia"/>
        </w:rPr>
        <w:t>12.5</w:t>
      </w:r>
      <w:r w:rsidRPr="00C938AD">
        <w:t>kg/d</w:t>
      </w:r>
      <w:r w:rsidRPr="00C938AD">
        <w:t>，</w:t>
      </w:r>
      <w:r w:rsidR="004829D5" w:rsidRPr="00C938AD">
        <w:rPr>
          <w:rFonts w:hint="eastAsia"/>
        </w:rPr>
        <w:t>3.75</w:t>
      </w:r>
      <w:r w:rsidRPr="00C938AD">
        <w:t>t/a</w:t>
      </w:r>
      <w:r w:rsidRPr="00C938AD">
        <w:t>。</w:t>
      </w:r>
      <w:r w:rsidRPr="00C938AD">
        <w:rPr>
          <w:rFonts w:hint="eastAsia"/>
        </w:rPr>
        <w:t>租用民房内设垃圾桶</w:t>
      </w:r>
      <w:r w:rsidRPr="00C938AD">
        <w:t>，生活垃圾经收集后定期运</w:t>
      </w:r>
      <w:r w:rsidRPr="00C938AD">
        <w:rPr>
          <w:rFonts w:hint="eastAsia"/>
        </w:rPr>
        <w:t>至任店镇</w:t>
      </w:r>
      <w:r w:rsidRPr="00C938AD">
        <w:t>垃圾中转站集中处理，不外排。</w:t>
      </w:r>
    </w:p>
    <w:p w14:paraId="733C2E0D" w14:textId="42304A8E" w:rsidR="00297DDF" w:rsidRDefault="00297DDF" w:rsidP="0000008B">
      <w:pPr>
        <w:pStyle w:val="af6"/>
        <w:ind w:firstLine="480"/>
      </w:pPr>
      <w:r>
        <w:rPr>
          <w:rFonts w:hint="eastAsia"/>
        </w:rPr>
        <w:t>（</w:t>
      </w:r>
      <w:r>
        <w:rPr>
          <w:rFonts w:hint="eastAsia"/>
        </w:rPr>
        <w:t>3</w:t>
      </w:r>
      <w:r>
        <w:rPr>
          <w:rFonts w:hint="eastAsia"/>
        </w:rPr>
        <w:t>）袋式除尘器收集粉尘</w:t>
      </w:r>
    </w:p>
    <w:p w14:paraId="51A8F629" w14:textId="32E71ED4" w:rsidR="00297DDF" w:rsidRPr="00297DDF" w:rsidRDefault="00297DDF" w:rsidP="0000008B">
      <w:pPr>
        <w:pStyle w:val="af6"/>
        <w:ind w:firstLine="480"/>
        <w:rPr>
          <w:color w:val="FF0000"/>
        </w:rPr>
      </w:pPr>
      <w:r w:rsidRPr="00193521">
        <w:rPr>
          <w:rFonts w:hint="eastAsia"/>
        </w:rPr>
        <w:t>根据建设单位提供，现有工程袋式除尘器收集粉尘量合计为</w:t>
      </w:r>
      <w:r w:rsidR="00193521" w:rsidRPr="00193521">
        <w:rPr>
          <w:rFonts w:hint="eastAsia"/>
        </w:rPr>
        <w:t>1.5</w:t>
      </w:r>
      <w:r w:rsidRPr="00193521">
        <w:rPr>
          <w:rFonts w:hint="eastAsia"/>
        </w:rPr>
        <w:t>t</w:t>
      </w:r>
      <w:r w:rsidRPr="00193521">
        <w:t>/a</w:t>
      </w:r>
      <w:r w:rsidRPr="00193521">
        <w:rPr>
          <w:rFonts w:ascii="宋体" w:hAnsi="宋体" w:hint="eastAsia"/>
        </w:rPr>
        <w:t>，</w:t>
      </w:r>
      <w:r>
        <w:rPr>
          <w:rFonts w:ascii="宋体" w:hAnsi="宋体" w:hint="eastAsia"/>
        </w:rPr>
        <w:t>收集粉尘作为产品出售。</w:t>
      </w:r>
    </w:p>
    <w:p w14:paraId="08C1CBBB" w14:textId="083D85BD" w:rsidR="003F631A" w:rsidRPr="00C938AD" w:rsidRDefault="003F631A" w:rsidP="003F631A">
      <w:pPr>
        <w:spacing w:line="480" w:lineRule="exact"/>
        <w:rPr>
          <w:rFonts w:ascii="楷体" w:eastAsia="楷体" w:hAnsi="楷体"/>
        </w:rPr>
      </w:pPr>
      <w:r w:rsidRPr="00C938AD">
        <w:rPr>
          <w:rFonts w:ascii="楷体" w:eastAsia="楷体" w:hAnsi="楷体" w:hint="eastAsia"/>
        </w:rPr>
        <w:t>3.</w:t>
      </w:r>
      <w:r w:rsidR="00426912" w:rsidRPr="00B94DD9">
        <w:rPr>
          <w:rFonts w:ascii="楷体" w:eastAsia="楷体" w:hAnsi="楷体" w:hint="eastAsia"/>
        </w:rPr>
        <w:t>1.</w:t>
      </w:r>
      <w:r w:rsidRPr="00B94DD9">
        <w:rPr>
          <w:rFonts w:ascii="楷体" w:eastAsia="楷体" w:hAnsi="楷体" w:hint="eastAsia"/>
        </w:rPr>
        <w:t>3</w:t>
      </w:r>
      <w:r w:rsidRPr="00B94DD9">
        <w:rPr>
          <w:rFonts w:ascii="楷体" w:eastAsia="楷体" w:hAnsi="楷体"/>
        </w:rPr>
        <w:t>.5</w:t>
      </w:r>
      <w:r w:rsidR="00A21D5F" w:rsidRPr="00B94DD9">
        <w:rPr>
          <w:rFonts w:ascii="楷体" w:eastAsia="楷体" w:hAnsi="楷体" w:hint="eastAsia"/>
        </w:rPr>
        <w:t>资源整合</w:t>
      </w:r>
      <w:proofErr w:type="gramStart"/>
      <w:r w:rsidR="00A21D5F" w:rsidRPr="00B94DD9">
        <w:rPr>
          <w:rFonts w:ascii="楷体" w:eastAsia="楷体" w:hAnsi="楷体" w:hint="eastAsia"/>
        </w:rPr>
        <w:t>前现有</w:t>
      </w:r>
      <w:proofErr w:type="gramEnd"/>
      <w:r w:rsidR="00A21D5F" w:rsidRPr="00B94DD9">
        <w:rPr>
          <w:rFonts w:ascii="楷体" w:eastAsia="楷体" w:hAnsi="楷体" w:hint="eastAsia"/>
        </w:rPr>
        <w:t>工程</w:t>
      </w:r>
      <w:r w:rsidRPr="00B94DD9">
        <w:rPr>
          <w:rFonts w:ascii="楷体" w:eastAsia="楷体" w:hAnsi="楷体"/>
        </w:rPr>
        <w:t>生态环境影响及防治措施</w:t>
      </w:r>
    </w:p>
    <w:p w14:paraId="6D12B5ED" w14:textId="1C57CDF7" w:rsidR="0000008B" w:rsidRDefault="0000008B" w:rsidP="0000008B">
      <w:pPr>
        <w:spacing w:line="480" w:lineRule="exact"/>
      </w:pPr>
      <w:r>
        <w:rPr>
          <w:rFonts w:hint="eastAsia"/>
        </w:rPr>
        <w:t>根据现场调查，现有企业未进行生态恢复工程，评价建议制定完善的生态恢复方案，严格按照生态恢复方案和水土保持方案提出的措施，恢复区域生态环境。项目整合两个矿山具体开采范围见表</w:t>
      </w:r>
      <w:r>
        <w:t>3</w:t>
      </w:r>
      <w:r>
        <w:rPr>
          <w:rFonts w:hint="eastAsia"/>
        </w:rPr>
        <w:t>.</w:t>
      </w:r>
      <w:r w:rsidR="00AA5145">
        <w:rPr>
          <w:rFonts w:hint="eastAsia"/>
        </w:rPr>
        <w:t>1-9</w:t>
      </w:r>
      <w:r>
        <w:rPr>
          <w:rFonts w:hint="eastAsia"/>
        </w:rPr>
        <w:t>、</w:t>
      </w:r>
      <w:r>
        <w:rPr>
          <w:rFonts w:hint="eastAsia"/>
        </w:rPr>
        <w:t>3</w:t>
      </w:r>
      <w:r>
        <w:t>.</w:t>
      </w:r>
      <w:r w:rsidR="00AA5145">
        <w:rPr>
          <w:rFonts w:hint="eastAsia"/>
        </w:rPr>
        <w:t>1-10</w:t>
      </w:r>
      <w:r>
        <w:rPr>
          <w:rFonts w:hint="eastAsia"/>
        </w:rPr>
        <w:t>。</w:t>
      </w:r>
    </w:p>
    <w:p w14:paraId="0F6C94FE" w14:textId="77777777" w:rsidR="00DD22FF" w:rsidRDefault="00DD22FF" w:rsidP="0000008B">
      <w:pPr>
        <w:spacing w:line="480" w:lineRule="exact"/>
      </w:pPr>
    </w:p>
    <w:p w14:paraId="01DA412F" w14:textId="66E4BEC0" w:rsidR="0000008B" w:rsidRPr="002236D6" w:rsidRDefault="0000008B" w:rsidP="0000008B">
      <w:pPr>
        <w:spacing w:line="480" w:lineRule="exact"/>
        <w:rPr>
          <w:rFonts w:ascii="黑体" w:eastAsia="黑体" w:hAnsi="黑体" w:cs="Times New Roman"/>
          <w:szCs w:val="24"/>
        </w:rPr>
      </w:pPr>
      <w:r w:rsidRPr="002236D6">
        <w:rPr>
          <w:rFonts w:eastAsia="黑体" w:cs="Times New Roman"/>
          <w:szCs w:val="24"/>
        </w:rPr>
        <w:lastRenderedPageBreak/>
        <w:t>表</w:t>
      </w:r>
      <w:r w:rsidRPr="002236D6">
        <w:rPr>
          <w:rFonts w:eastAsia="黑体" w:cs="Times New Roman"/>
          <w:szCs w:val="24"/>
        </w:rPr>
        <w:t>3.</w:t>
      </w:r>
      <w:r w:rsidR="00AA5145">
        <w:rPr>
          <w:rFonts w:eastAsia="黑体" w:cs="Times New Roman" w:hint="eastAsia"/>
          <w:szCs w:val="24"/>
        </w:rPr>
        <w:t>1-9</w:t>
      </w:r>
      <w:r w:rsidR="00AA5145">
        <w:rPr>
          <w:rFonts w:eastAsia="黑体" w:cs="Times New Roman"/>
          <w:szCs w:val="24"/>
        </w:rPr>
        <w:t xml:space="preserve">   </w:t>
      </w:r>
      <w:r w:rsidRPr="0000008B">
        <w:rPr>
          <w:rFonts w:eastAsia="黑体" w:cs="Times New Roman" w:hint="eastAsia"/>
          <w:szCs w:val="24"/>
        </w:rPr>
        <w:t>驻马店市</w:t>
      </w:r>
      <w:proofErr w:type="gramStart"/>
      <w:r w:rsidRPr="0000008B">
        <w:rPr>
          <w:rFonts w:eastAsia="黑体" w:cs="Times New Roman" w:hint="eastAsia"/>
          <w:szCs w:val="24"/>
        </w:rPr>
        <w:t>驿</w:t>
      </w:r>
      <w:proofErr w:type="gramEnd"/>
      <w:r w:rsidRPr="0000008B">
        <w:rPr>
          <w:rFonts w:eastAsia="黑体" w:cs="Times New Roman" w:hint="eastAsia"/>
          <w:szCs w:val="24"/>
        </w:rPr>
        <w:t>城区丰鑫矿业有限公司</w:t>
      </w:r>
      <w:r w:rsidRPr="002236D6">
        <w:rPr>
          <w:rFonts w:eastAsia="黑体" w:cs="Times New Roman" w:hint="eastAsia"/>
          <w:szCs w:val="24"/>
        </w:rPr>
        <w:t>开采范围情况</w:t>
      </w:r>
      <w:r w:rsidRPr="002236D6">
        <w:rPr>
          <w:rFonts w:eastAsia="黑体" w:cs="Times New Roman"/>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12"/>
        <w:gridCol w:w="1277"/>
        <w:gridCol w:w="6031"/>
      </w:tblGrid>
      <w:tr w:rsidR="0000008B" w:rsidRPr="0000008B" w14:paraId="12824286" w14:textId="77777777" w:rsidTr="0000008B">
        <w:trPr>
          <w:cantSplit/>
          <w:jc w:val="center"/>
        </w:trPr>
        <w:tc>
          <w:tcPr>
            <w:tcW w:w="810" w:type="pct"/>
            <w:vAlign w:val="center"/>
          </w:tcPr>
          <w:p w14:paraId="2D0353C2" w14:textId="77777777" w:rsidR="0000008B" w:rsidRPr="0000008B" w:rsidRDefault="0000008B" w:rsidP="0000008B">
            <w:pPr>
              <w:pStyle w:val="aff"/>
              <w:rPr>
                <w:rFonts w:ascii="Times New Roman" w:hAnsi="Times New Roman" w:cs="Times New Roman"/>
              </w:rPr>
            </w:pPr>
            <w:r w:rsidRPr="0000008B">
              <w:rPr>
                <w:rFonts w:ascii="Times New Roman" w:hAnsi="Times New Roman" w:cs="Times New Roman"/>
              </w:rPr>
              <w:t>项目</w:t>
            </w:r>
          </w:p>
        </w:tc>
        <w:tc>
          <w:tcPr>
            <w:tcW w:w="732" w:type="pct"/>
            <w:vAlign w:val="center"/>
          </w:tcPr>
          <w:p w14:paraId="73B10F58" w14:textId="77777777" w:rsidR="0000008B" w:rsidRPr="0000008B" w:rsidRDefault="0000008B" w:rsidP="0000008B">
            <w:pPr>
              <w:pStyle w:val="aff"/>
              <w:rPr>
                <w:rFonts w:ascii="Times New Roman" w:hAnsi="Times New Roman" w:cs="Times New Roman"/>
              </w:rPr>
            </w:pPr>
            <w:r w:rsidRPr="0000008B">
              <w:rPr>
                <w:rFonts w:ascii="Times New Roman" w:hAnsi="Times New Roman" w:cs="Times New Roman"/>
              </w:rPr>
              <w:t>占地情况</w:t>
            </w:r>
          </w:p>
          <w:p w14:paraId="6AA699F4" w14:textId="77777777" w:rsidR="0000008B" w:rsidRPr="0000008B" w:rsidRDefault="0000008B" w:rsidP="0000008B">
            <w:pPr>
              <w:pStyle w:val="aff"/>
              <w:rPr>
                <w:rFonts w:ascii="Times New Roman" w:hAnsi="Times New Roman" w:cs="Times New Roman"/>
              </w:rPr>
            </w:pPr>
            <w:r w:rsidRPr="0000008B">
              <w:rPr>
                <w:rFonts w:ascii="Times New Roman" w:hAnsi="Times New Roman" w:cs="Times New Roman"/>
              </w:rPr>
              <w:t>（</w:t>
            </w:r>
            <w:r w:rsidRPr="0000008B">
              <w:rPr>
                <w:rFonts w:ascii="Times New Roman" w:hAnsi="Times New Roman" w:cs="Times New Roman"/>
              </w:rPr>
              <w:t>m</w:t>
            </w:r>
            <w:r w:rsidRPr="0000008B">
              <w:rPr>
                <w:rFonts w:ascii="Times New Roman" w:hAnsi="Times New Roman" w:cs="Times New Roman"/>
                <w:vertAlign w:val="superscript"/>
              </w:rPr>
              <w:t>2</w:t>
            </w:r>
            <w:r w:rsidRPr="0000008B">
              <w:rPr>
                <w:rFonts w:ascii="Times New Roman" w:hAnsi="Times New Roman" w:cs="Times New Roman"/>
              </w:rPr>
              <w:t>）</w:t>
            </w:r>
          </w:p>
        </w:tc>
        <w:tc>
          <w:tcPr>
            <w:tcW w:w="3458" w:type="pct"/>
            <w:vAlign w:val="center"/>
          </w:tcPr>
          <w:p w14:paraId="146D1091" w14:textId="77777777" w:rsidR="0000008B" w:rsidRPr="0000008B" w:rsidRDefault="0000008B" w:rsidP="0000008B">
            <w:pPr>
              <w:pStyle w:val="aff"/>
              <w:rPr>
                <w:rFonts w:ascii="Times New Roman" w:hAnsi="Times New Roman" w:cs="Times New Roman"/>
              </w:rPr>
            </w:pPr>
            <w:r w:rsidRPr="0000008B">
              <w:rPr>
                <w:rFonts w:ascii="Times New Roman" w:hAnsi="Times New Roman" w:cs="Times New Roman"/>
              </w:rPr>
              <w:t>与本项目关系及本项目拟采取生态保护措施</w:t>
            </w:r>
          </w:p>
        </w:tc>
      </w:tr>
      <w:tr w:rsidR="00AA5145" w:rsidRPr="0000008B" w14:paraId="742E19F6" w14:textId="77777777" w:rsidTr="0000008B">
        <w:trPr>
          <w:cantSplit/>
          <w:jc w:val="center"/>
        </w:trPr>
        <w:tc>
          <w:tcPr>
            <w:tcW w:w="810" w:type="pct"/>
            <w:vAlign w:val="center"/>
          </w:tcPr>
          <w:p w14:paraId="2A3EBF3C" w14:textId="77777777" w:rsidR="00AA5145" w:rsidRPr="0000008B" w:rsidRDefault="00AA5145" w:rsidP="0000008B">
            <w:pPr>
              <w:pStyle w:val="aff"/>
              <w:rPr>
                <w:rFonts w:ascii="Times New Roman" w:hAnsi="Times New Roman" w:cs="Times New Roman"/>
              </w:rPr>
            </w:pPr>
            <w:r w:rsidRPr="0000008B">
              <w:rPr>
                <w:rFonts w:ascii="Times New Roman" w:hAnsi="Times New Roman" w:cs="Times New Roman"/>
              </w:rPr>
              <w:t>开采区</w:t>
            </w:r>
          </w:p>
        </w:tc>
        <w:tc>
          <w:tcPr>
            <w:tcW w:w="732" w:type="pct"/>
            <w:vAlign w:val="center"/>
          </w:tcPr>
          <w:p w14:paraId="443B2F3F" w14:textId="1AFA3F06" w:rsidR="00AA5145" w:rsidRPr="0000008B" w:rsidRDefault="00AA5145" w:rsidP="0000008B">
            <w:pPr>
              <w:pStyle w:val="aff"/>
              <w:rPr>
                <w:rFonts w:ascii="Times New Roman" w:hAnsi="Times New Roman" w:cs="Times New Roman"/>
              </w:rPr>
            </w:pPr>
            <w:r>
              <w:rPr>
                <w:rFonts w:ascii="Times New Roman" w:hAnsi="Times New Roman" w:cs="Times New Roman" w:hint="eastAsia"/>
              </w:rPr>
              <w:t>189200</w:t>
            </w:r>
          </w:p>
        </w:tc>
        <w:tc>
          <w:tcPr>
            <w:tcW w:w="3458" w:type="pct"/>
            <w:vMerge w:val="restart"/>
            <w:vAlign w:val="center"/>
          </w:tcPr>
          <w:p w14:paraId="616521DE" w14:textId="77777777" w:rsidR="00AA5145" w:rsidRPr="0000008B" w:rsidRDefault="00AA5145" w:rsidP="00DD22FF">
            <w:pPr>
              <w:pStyle w:val="aff"/>
              <w:rPr>
                <w:rFonts w:ascii="Times New Roman" w:hAnsi="Times New Roman" w:cs="Times New Roman"/>
              </w:rPr>
            </w:pPr>
            <w:r w:rsidRPr="0000008B">
              <w:rPr>
                <w:rFonts w:ascii="Times New Roman" w:hAnsi="Times New Roman" w:cs="Times New Roman"/>
              </w:rPr>
              <w:t>纳入本项目生态恢复规划，应严格按照生态恢复方案提出的措施，恢复区域生态环境。</w:t>
            </w:r>
          </w:p>
          <w:p w14:paraId="2D90648C" w14:textId="04F5D990" w:rsidR="00AA5145" w:rsidRPr="0000008B" w:rsidRDefault="00AA5145" w:rsidP="0000008B">
            <w:pPr>
              <w:pStyle w:val="aff"/>
              <w:rPr>
                <w:rFonts w:ascii="Times New Roman" w:hAnsi="Times New Roman" w:cs="Times New Roman"/>
              </w:rPr>
            </w:pPr>
          </w:p>
        </w:tc>
      </w:tr>
      <w:tr w:rsidR="00AA5145" w:rsidRPr="0000008B" w14:paraId="7013572D" w14:textId="77777777" w:rsidTr="0000008B">
        <w:trPr>
          <w:cantSplit/>
          <w:jc w:val="center"/>
        </w:trPr>
        <w:tc>
          <w:tcPr>
            <w:tcW w:w="810" w:type="pct"/>
            <w:vAlign w:val="center"/>
          </w:tcPr>
          <w:p w14:paraId="303B2D60" w14:textId="77777777" w:rsidR="00AA5145" w:rsidRPr="0000008B" w:rsidRDefault="00AA5145" w:rsidP="0000008B">
            <w:pPr>
              <w:pStyle w:val="aff"/>
              <w:rPr>
                <w:rFonts w:ascii="Times New Roman" w:hAnsi="Times New Roman" w:cs="Times New Roman"/>
              </w:rPr>
            </w:pPr>
            <w:r w:rsidRPr="0000008B">
              <w:rPr>
                <w:rFonts w:ascii="Times New Roman" w:hAnsi="Times New Roman" w:cs="Times New Roman"/>
              </w:rPr>
              <w:t>排土场</w:t>
            </w:r>
          </w:p>
        </w:tc>
        <w:tc>
          <w:tcPr>
            <w:tcW w:w="732" w:type="pct"/>
            <w:vAlign w:val="center"/>
          </w:tcPr>
          <w:p w14:paraId="69487ABD" w14:textId="63A4186A" w:rsidR="00AA5145" w:rsidRPr="0000008B" w:rsidRDefault="00AA5145" w:rsidP="0000008B">
            <w:pPr>
              <w:pStyle w:val="aff"/>
              <w:rPr>
                <w:rFonts w:ascii="Times New Roman" w:hAnsi="Times New Roman" w:cs="Times New Roman"/>
              </w:rPr>
            </w:pPr>
            <w:r>
              <w:rPr>
                <w:rFonts w:ascii="Times New Roman" w:hAnsi="Times New Roman" w:cs="Times New Roman" w:hint="eastAsia"/>
              </w:rPr>
              <w:t>5000</w:t>
            </w:r>
          </w:p>
        </w:tc>
        <w:tc>
          <w:tcPr>
            <w:tcW w:w="3458" w:type="pct"/>
            <w:vMerge/>
            <w:vAlign w:val="center"/>
          </w:tcPr>
          <w:p w14:paraId="1C998DB6" w14:textId="38EC6ED8" w:rsidR="00AA5145" w:rsidRPr="0000008B" w:rsidRDefault="00AA5145" w:rsidP="0000008B">
            <w:pPr>
              <w:pStyle w:val="aff"/>
              <w:rPr>
                <w:rFonts w:ascii="Times New Roman" w:hAnsi="Times New Roman" w:cs="Times New Roman"/>
              </w:rPr>
            </w:pPr>
          </w:p>
        </w:tc>
      </w:tr>
      <w:tr w:rsidR="00AA5145" w:rsidRPr="0000008B" w14:paraId="594B7D93" w14:textId="77777777" w:rsidTr="0000008B">
        <w:trPr>
          <w:cantSplit/>
          <w:jc w:val="center"/>
        </w:trPr>
        <w:tc>
          <w:tcPr>
            <w:tcW w:w="810" w:type="pct"/>
            <w:vAlign w:val="center"/>
          </w:tcPr>
          <w:p w14:paraId="31044D43" w14:textId="77777777" w:rsidR="00AA5145" w:rsidRPr="0000008B" w:rsidRDefault="00AA5145" w:rsidP="0000008B">
            <w:pPr>
              <w:pStyle w:val="aff"/>
              <w:rPr>
                <w:rFonts w:ascii="Times New Roman" w:hAnsi="Times New Roman" w:cs="Times New Roman"/>
              </w:rPr>
            </w:pPr>
            <w:r w:rsidRPr="0000008B">
              <w:rPr>
                <w:rFonts w:ascii="Times New Roman" w:hAnsi="Times New Roman" w:cs="Times New Roman"/>
              </w:rPr>
              <w:t>破碎加工</w:t>
            </w:r>
          </w:p>
        </w:tc>
        <w:tc>
          <w:tcPr>
            <w:tcW w:w="732" w:type="pct"/>
            <w:vAlign w:val="center"/>
          </w:tcPr>
          <w:p w14:paraId="0D14DD2F" w14:textId="6335AFBA" w:rsidR="00AA5145" w:rsidRPr="0000008B" w:rsidRDefault="00AA5145" w:rsidP="0000008B">
            <w:pPr>
              <w:pStyle w:val="aff"/>
              <w:rPr>
                <w:rFonts w:ascii="Times New Roman" w:hAnsi="Times New Roman" w:cs="Times New Roman"/>
              </w:rPr>
            </w:pPr>
            <w:r>
              <w:rPr>
                <w:rFonts w:ascii="Times New Roman" w:hAnsi="Times New Roman" w:cs="Times New Roman" w:hint="eastAsia"/>
              </w:rPr>
              <w:t>4000</w:t>
            </w:r>
          </w:p>
        </w:tc>
        <w:tc>
          <w:tcPr>
            <w:tcW w:w="3458" w:type="pct"/>
            <w:vMerge/>
            <w:vAlign w:val="center"/>
          </w:tcPr>
          <w:p w14:paraId="7475FF61" w14:textId="6A427B98" w:rsidR="00AA5145" w:rsidRPr="0000008B" w:rsidRDefault="00AA5145" w:rsidP="0000008B">
            <w:pPr>
              <w:pStyle w:val="aff"/>
              <w:rPr>
                <w:rFonts w:ascii="Times New Roman" w:hAnsi="Times New Roman" w:cs="Times New Roman"/>
              </w:rPr>
            </w:pPr>
          </w:p>
        </w:tc>
      </w:tr>
      <w:tr w:rsidR="00AA5145" w:rsidRPr="0000008B" w14:paraId="08CDC8A2" w14:textId="77777777" w:rsidTr="0000008B">
        <w:trPr>
          <w:cantSplit/>
          <w:jc w:val="center"/>
        </w:trPr>
        <w:tc>
          <w:tcPr>
            <w:tcW w:w="810" w:type="pct"/>
            <w:vAlign w:val="center"/>
          </w:tcPr>
          <w:p w14:paraId="401D4333" w14:textId="77777777" w:rsidR="00AA5145" w:rsidRPr="0000008B" w:rsidRDefault="00AA5145" w:rsidP="0000008B">
            <w:pPr>
              <w:pStyle w:val="aff"/>
              <w:rPr>
                <w:rFonts w:ascii="Times New Roman" w:hAnsi="Times New Roman" w:cs="Times New Roman"/>
              </w:rPr>
            </w:pPr>
            <w:r w:rsidRPr="0000008B">
              <w:rPr>
                <w:rFonts w:ascii="Times New Roman" w:hAnsi="Times New Roman" w:cs="Times New Roman"/>
              </w:rPr>
              <w:t>合计</w:t>
            </w:r>
          </w:p>
        </w:tc>
        <w:tc>
          <w:tcPr>
            <w:tcW w:w="732" w:type="pct"/>
            <w:vAlign w:val="center"/>
          </w:tcPr>
          <w:p w14:paraId="3DA7CA5A" w14:textId="134AC3B8" w:rsidR="00AA5145" w:rsidRPr="0000008B" w:rsidRDefault="00AA5145" w:rsidP="0000008B">
            <w:pPr>
              <w:pStyle w:val="aff"/>
              <w:rPr>
                <w:rFonts w:ascii="Times New Roman" w:hAnsi="Times New Roman" w:cs="Times New Roman"/>
              </w:rPr>
            </w:pPr>
            <w:r>
              <w:rPr>
                <w:rFonts w:ascii="Times New Roman" w:hAnsi="Times New Roman" w:cs="Times New Roman" w:hint="eastAsia"/>
              </w:rPr>
              <w:t>21300</w:t>
            </w:r>
          </w:p>
        </w:tc>
        <w:tc>
          <w:tcPr>
            <w:tcW w:w="3458" w:type="pct"/>
            <w:vMerge/>
            <w:vAlign w:val="center"/>
          </w:tcPr>
          <w:p w14:paraId="690ABBD4" w14:textId="3A73193B" w:rsidR="00AA5145" w:rsidRPr="0000008B" w:rsidRDefault="00AA5145" w:rsidP="0000008B">
            <w:pPr>
              <w:pStyle w:val="aff"/>
              <w:rPr>
                <w:rFonts w:ascii="Times New Roman" w:hAnsi="Times New Roman" w:cs="Times New Roman"/>
              </w:rPr>
            </w:pPr>
          </w:p>
        </w:tc>
      </w:tr>
    </w:tbl>
    <w:p w14:paraId="5996A732" w14:textId="3F9E143E" w:rsidR="0000008B" w:rsidRPr="002236D6" w:rsidRDefault="0000008B" w:rsidP="00AA5145">
      <w:pPr>
        <w:spacing w:line="480" w:lineRule="exact"/>
        <w:ind w:firstLineChars="500" w:firstLine="1200"/>
        <w:rPr>
          <w:rFonts w:ascii="黑体" w:eastAsia="黑体" w:hAnsi="黑体" w:cs="Times New Roman"/>
          <w:szCs w:val="24"/>
        </w:rPr>
      </w:pPr>
      <w:r w:rsidRPr="002236D6">
        <w:rPr>
          <w:rFonts w:eastAsia="黑体" w:cs="Times New Roman"/>
          <w:szCs w:val="24"/>
        </w:rPr>
        <w:t>表</w:t>
      </w:r>
      <w:r w:rsidRPr="002236D6">
        <w:rPr>
          <w:rFonts w:eastAsia="黑体" w:cs="Times New Roman"/>
          <w:szCs w:val="24"/>
        </w:rPr>
        <w:t>3</w:t>
      </w:r>
      <w:r w:rsidR="00AA5145">
        <w:rPr>
          <w:rFonts w:eastAsia="黑体" w:cs="Times New Roman" w:hint="eastAsia"/>
          <w:szCs w:val="24"/>
        </w:rPr>
        <w:t>.1-10</w:t>
      </w:r>
      <w:r w:rsidR="00AA5145">
        <w:rPr>
          <w:rFonts w:eastAsia="黑体" w:cs="Times New Roman"/>
          <w:szCs w:val="24"/>
        </w:rPr>
        <w:t xml:space="preserve">  </w:t>
      </w:r>
      <w:r w:rsidRPr="0000008B">
        <w:rPr>
          <w:rFonts w:eastAsia="黑体" w:cs="Times New Roman" w:hint="eastAsia"/>
          <w:szCs w:val="24"/>
        </w:rPr>
        <w:t>驻马店市</w:t>
      </w:r>
      <w:proofErr w:type="gramStart"/>
      <w:r w:rsidRPr="0000008B">
        <w:rPr>
          <w:rFonts w:eastAsia="黑体" w:cs="Times New Roman" w:hint="eastAsia"/>
          <w:szCs w:val="24"/>
        </w:rPr>
        <w:t>驿</w:t>
      </w:r>
      <w:proofErr w:type="gramEnd"/>
      <w:r w:rsidRPr="0000008B">
        <w:rPr>
          <w:rFonts w:eastAsia="黑体" w:cs="Times New Roman" w:hint="eastAsia"/>
          <w:szCs w:val="24"/>
        </w:rPr>
        <w:t>城区宏运石料厂</w:t>
      </w:r>
      <w:r w:rsidRPr="002236D6">
        <w:rPr>
          <w:rFonts w:eastAsia="黑体" w:cs="Times New Roman" w:hint="eastAsia"/>
          <w:szCs w:val="24"/>
        </w:rPr>
        <w:t>开采范围情况</w:t>
      </w:r>
      <w:r w:rsidRPr="002236D6">
        <w:rPr>
          <w:rFonts w:eastAsia="黑体" w:cs="Times New Roman"/>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924"/>
        <w:gridCol w:w="2862"/>
        <w:gridCol w:w="3934"/>
      </w:tblGrid>
      <w:tr w:rsidR="00BD1C8B" w:rsidRPr="00BD1C8B" w14:paraId="5555EC7D" w14:textId="77777777" w:rsidTr="00DD22FF">
        <w:trPr>
          <w:tblHeader/>
          <w:jc w:val="center"/>
        </w:trPr>
        <w:tc>
          <w:tcPr>
            <w:tcW w:w="1103" w:type="pct"/>
            <w:tcBorders>
              <w:top w:val="single" w:sz="4" w:space="0" w:color="auto"/>
              <w:left w:val="single" w:sz="4" w:space="0" w:color="auto"/>
              <w:bottom w:val="single" w:sz="4" w:space="0" w:color="auto"/>
              <w:right w:val="single" w:sz="4" w:space="0" w:color="auto"/>
            </w:tcBorders>
            <w:vAlign w:val="center"/>
          </w:tcPr>
          <w:p w14:paraId="039919C9" w14:textId="77777777" w:rsidR="00DD22FF" w:rsidRPr="00BD1C8B" w:rsidRDefault="00DD22FF" w:rsidP="0000008B">
            <w:pPr>
              <w:pStyle w:val="aff"/>
              <w:rPr>
                <w:rFonts w:ascii="Times New Roman" w:hAnsi="Times New Roman" w:cs="Times New Roman"/>
              </w:rPr>
            </w:pPr>
            <w:r w:rsidRPr="00BD1C8B">
              <w:rPr>
                <w:rFonts w:ascii="Times New Roman" w:hAnsi="Times New Roman" w:cs="Times New Roman"/>
              </w:rPr>
              <w:t>项目</w:t>
            </w:r>
          </w:p>
        </w:tc>
        <w:tc>
          <w:tcPr>
            <w:tcW w:w="1641" w:type="pct"/>
            <w:tcBorders>
              <w:top w:val="single" w:sz="4" w:space="0" w:color="auto"/>
              <w:left w:val="single" w:sz="4" w:space="0" w:color="auto"/>
              <w:bottom w:val="single" w:sz="4" w:space="0" w:color="auto"/>
              <w:right w:val="single" w:sz="4" w:space="0" w:color="auto"/>
            </w:tcBorders>
            <w:vAlign w:val="center"/>
          </w:tcPr>
          <w:p w14:paraId="237EE7B9" w14:textId="77777777" w:rsidR="00DD22FF" w:rsidRPr="00BD1C8B" w:rsidRDefault="00DD22FF" w:rsidP="0000008B">
            <w:pPr>
              <w:pStyle w:val="aff"/>
              <w:rPr>
                <w:rFonts w:ascii="Times New Roman" w:hAnsi="Times New Roman" w:cs="Times New Roman"/>
              </w:rPr>
            </w:pPr>
            <w:r w:rsidRPr="00BD1C8B">
              <w:rPr>
                <w:rFonts w:ascii="Times New Roman" w:hAnsi="Times New Roman" w:cs="Times New Roman"/>
              </w:rPr>
              <w:t>占地情况</w:t>
            </w:r>
          </w:p>
          <w:p w14:paraId="568C646B" w14:textId="77777777" w:rsidR="00DD22FF" w:rsidRPr="00BD1C8B" w:rsidRDefault="00DD22FF" w:rsidP="0000008B">
            <w:pPr>
              <w:pStyle w:val="aff"/>
              <w:rPr>
                <w:rFonts w:ascii="Times New Roman" w:hAnsi="Times New Roman" w:cs="Times New Roman"/>
              </w:rPr>
            </w:pPr>
            <w:r w:rsidRPr="00BD1C8B">
              <w:rPr>
                <w:rFonts w:ascii="Times New Roman" w:hAnsi="Times New Roman" w:cs="Times New Roman"/>
              </w:rPr>
              <w:t>（</w:t>
            </w:r>
            <w:r w:rsidRPr="00BD1C8B">
              <w:rPr>
                <w:rFonts w:ascii="Times New Roman" w:hAnsi="Times New Roman" w:cs="Times New Roman"/>
              </w:rPr>
              <w:t>m</w:t>
            </w:r>
            <w:r w:rsidRPr="00BD1C8B">
              <w:rPr>
                <w:rFonts w:ascii="Times New Roman" w:hAnsi="Times New Roman" w:cs="Times New Roman"/>
                <w:vertAlign w:val="superscript"/>
              </w:rPr>
              <w:t>2</w:t>
            </w:r>
            <w:r w:rsidRPr="00BD1C8B">
              <w:rPr>
                <w:rFonts w:ascii="Times New Roman" w:hAnsi="Times New Roman" w:cs="Times New Roman"/>
              </w:rPr>
              <w:t>）</w:t>
            </w:r>
          </w:p>
        </w:tc>
        <w:tc>
          <w:tcPr>
            <w:tcW w:w="2256" w:type="pct"/>
            <w:tcBorders>
              <w:top w:val="single" w:sz="4" w:space="0" w:color="auto"/>
              <w:left w:val="single" w:sz="4" w:space="0" w:color="auto"/>
              <w:bottom w:val="single" w:sz="4" w:space="0" w:color="auto"/>
              <w:right w:val="single" w:sz="4" w:space="0" w:color="auto"/>
            </w:tcBorders>
            <w:vAlign w:val="center"/>
          </w:tcPr>
          <w:p w14:paraId="62F55042" w14:textId="77777777" w:rsidR="00DD22FF" w:rsidRPr="00BD1C8B" w:rsidRDefault="00DD22FF" w:rsidP="0000008B">
            <w:pPr>
              <w:pStyle w:val="aff"/>
              <w:rPr>
                <w:rFonts w:ascii="Times New Roman" w:hAnsi="Times New Roman" w:cs="Times New Roman"/>
              </w:rPr>
            </w:pPr>
            <w:r w:rsidRPr="00BD1C8B">
              <w:rPr>
                <w:rFonts w:ascii="Times New Roman" w:hAnsi="Times New Roman" w:cs="Times New Roman"/>
              </w:rPr>
              <w:t>与本项目关系及本项目拟采取生态保护措施</w:t>
            </w:r>
          </w:p>
        </w:tc>
      </w:tr>
      <w:tr w:rsidR="00BD1C8B" w:rsidRPr="00BD1C8B" w14:paraId="2E12D9DA" w14:textId="77777777" w:rsidTr="00DD22FF">
        <w:trPr>
          <w:tblHeader/>
          <w:jc w:val="center"/>
        </w:trPr>
        <w:tc>
          <w:tcPr>
            <w:tcW w:w="1103" w:type="pct"/>
            <w:vAlign w:val="center"/>
          </w:tcPr>
          <w:p w14:paraId="5C5E5272" w14:textId="77777777" w:rsidR="00AA5145" w:rsidRPr="00BD1C8B" w:rsidRDefault="00AA5145" w:rsidP="0000008B">
            <w:pPr>
              <w:pStyle w:val="aff"/>
              <w:rPr>
                <w:rFonts w:ascii="Times New Roman" w:hAnsi="Times New Roman" w:cs="Times New Roman"/>
              </w:rPr>
            </w:pPr>
            <w:r w:rsidRPr="00BD1C8B">
              <w:rPr>
                <w:rFonts w:ascii="Times New Roman" w:hAnsi="Times New Roman" w:cs="Times New Roman"/>
              </w:rPr>
              <w:t>开采区</w:t>
            </w:r>
          </w:p>
        </w:tc>
        <w:tc>
          <w:tcPr>
            <w:tcW w:w="1641" w:type="pct"/>
            <w:vAlign w:val="center"/>
          </w:tcPr>
          <w:p w14:paraId="298DD3DB" w14:textId="0FB092B3" w:rsidR="00AA5145" w:rsidRPr="00BD1C8B" w:rsidRDefault="00BD1C8B" w:rsidP="0000008B">
            <w:pPr>
              <w:pStyle w:val="aff"/>
              <w:rPr>
                <w:rFonts w:ascii="Times New Roman" w:hAnsi="Times New Roman" w:cs="Times New Roman"/>
              </w:rPr>
            </w:pPr>
            <w:r w:rsidRPr="00BD1C8B">
              <w:rPr>
                <w:rFonts w:ascii="Times New Roman" w:hAnsi="Times New Roman" w:cs="Times New Roman" w:hint="eastAsia"/>
              </w:rPr>
              <w:t>224200</w:t>
            </w:r>
          </w:p>
        </w:tc>
        <w:tc>
          <w:tcPr>
            <w:tcW w:w="2256" w:type="pct"/>
            <w:vMerge w:val="restart"/>
            <w:vAlign w:val="center"/>
          </w:tcPr>
          <w:p w14:paraId="41053660" w14:textId="2E8F6476" w:rsidR="00AA5145" w:rsidRPr="00BD1C8B" w:rsidRDefault="00AA5145" w:rsidP="00AA5145">
            <w:pPr>
              <w:pStyle w:val="aff"/>
              <w:rPr>
                <w:rFonts w:ascii="Times New Roman" w:hAnsi="Times New Roman" w:cs="Times New Roman"/>
              </w:rPr>
            </w:pPr>
            <w:r w:rsidRPr="00BD1C8B">
              <w:rPr>
                <w:rFonts w:ascii="Times New Roman" w:hAnsi="Times New Roman" w:cs="Times New Roman"/>
              </w:rPr>
              <w:t>纳入本项目生态恢复规划，应严格按照生态恢复方案提出的措施，恢复区域生态环境。</w:t>
            </w:r>
          </w:p>
        </w:tc>
      </w:tr>
      <w:tr w:rsidR="00BD1C8B" w:rsidRPr="00BD1C8B" w14:paraId="206BFFC9" w14:textId="77777777" w:rsidTr="00DD22FF">
        <w:trPr>
          <w:tblHeader/>
          <w:jc w:val="center"/>
        </w:trPr>
        <w:tc>
          <w:tcPr>
            <w:tcW w:w="1103" w:type="pct"/>
            <w:vAlign w:val="center"/>
          </w:tcPr>
          <w:p w14:paraId="35B65AB6" w14:textId="77777777" w:rsidR="00AA5145" w:rsidRPr="00BD1C8B" w:rsidRDefault="00AA5145" w:rsidP="0000008B">
            <w:pPr>
              <w:pStyle w:val="aff"/>
              <w:rPr>
                <w:rFonts w:ascii="Times New Roman" w:hAnsi="Times New Roman" w:cs="Times New Roman"/>
              </w:rPr>
            </w:pPr>
            <w:r w:rsidRPr="00BD1C8B">
              <w:rPr>
                <w:rFonts w:ascii="Times New Roman" w:hAnsi="Times New Roman" w:cs="Times New Roman"/>
              </w:rPr>
              <w:t>排土场</w:t>
            </w:r>
          </w:p>
        </w:tc>
        <w:tc>
          <w:tcPr>
            <w:tcW w:w="1641" w:type="pct"/>
            <w:vAlign w:val="center"/>
          </w:tcPr>
          <w:p w14:paraId="2FC2C705" w14:textId="3FD87BBA" w:rsidR="00AA5145" w:rsidRPr="00BD1C8B" w:rsidRDefault="00BD1C8B" w:rsidP="0000008B">
            <w:pPr>
              <w:pStyle w:val="aff"/>
              <w:rPr>
                <w:rFonts w:ascii="Times New Roman" w:hAnsi="Times New Roman" w:cs="Times New Roman"/>
              </w:rPr>
            </w:pPr>
            <w:r w:rsidRPr="00BD1C8B">
              <w:rPr>
                <w:rFonts w:ascii="Times New Roman" w:hAnsi="Times New Roman" w:cs="Times New Roman" w:hint="eastAsia"/>
              </w:rPr>
              <w:t>2000</w:t>
            </w:r>
          </w:p>
        </w:tc>
        <w:tc>
          <w:tcPr>
            <w:tcW w:w="2256" w:type="pct"/>
            <w:vMerge/>
            <w:vAlign w:val="center"/>
          </w:tcPr>
          <w:p w14:paraId="5E59C88E" w14:textId="1EE22E44" w:rsidR="00AA5145" w:rsidRPr="00BD1C8B" w:rsidRDefault="00AA5145" w:rsidP="0000008B">
            <w:pPr>
              <w:pStyle w:val="aff"/>
              <w:rPr>
                <w:rFonts w:ascii="Times New Roman" w:hAnsi="Times New Roman" w:cs="Times New Roman"/>
              </w:rPr>
            </w:pPr>
          </w:p>
        </w:tc>
      </w:tr>
      <w:tr w:rsidR="00BD1C8B" w:rsidRPr="00BD1C8B" w14:paraId="1CE97907" w14:textId="77777777" w:rsidTr="00DD22FF">
        <w:trPr>
          <w:tblHeader/>
          <w:jc w:val="center"/>
        </w:trPr>
        <w:tc>
          <w:tcPr>
            <w:tcW w:w="1103" w:type="pct"/>
            <w:vAlign w:val="center"/>
          </w:tcPr>
          <w:p w14:paraId="6A4076D7" w14:textId="77777777" w:rsidR="00AA5145" w:rsidRPr="00BD1C8B" w:rsidRDefault="00AA5145" w:rsidP="0000008B">
            <w:pPr>
              <w:pStyle w:val="aff"/>
              <w:rPr>
                <w:rFonts w:ascii="Times New Roman" w:hAnsi="Times New Roman" w:cs="Times New Roman"/>
              </w:rPr>
            </w:pPr>
            <w:r w:rsidRPr="00BD1C8B">
              <w:rPr>
                <w:rFonts w:ascii="Times New Roman" w:hAnsi="Times New Roman" w:cs="Times New Roman"/>
              </w:rPr>
              <w:t>破碎加工</w:t>
            </w:r>
          </w:p>
        </w:tc>
        <w:tc>
          <w:tcPr>
            <w:tcW w:w="1641" w:type="pct"/>
            <w:vAlign w:val="center"/>
          </w:tcPr>
          <w:p w14:paraId="461C187B" w14:textId="7604D970" w:rsidR="00AA5145" w:rsidRPr="00BD1C8B" w:rsidRDefault="00BD1C8B" w:rsidP="0000008B">
            <w:pPr>
              <w:pStyle w:val="aff"/>
              <w:rPr>
                <w:rFonts w:ascii="Times New Roman" w:hAnsi="Times New Roman" w:cs="Times New Roman"/>
              </w:rPr>
            </w:pPr>
            <w:r w:rsidRPr="00BD1C8B">
              <w:rPr>
                <w:rFonts w:ascii="Times New Roman" w:hAnsi="Times New Roman" w:cs="Times New Roman" w:hint="eastAsia"/>
              </w:rPr>
              <w:t>1800</w:t>
            </w:r>
          </w:p>
        </w:tc>
        <w:tc>
          <w:tcPr>
            <w:tcW w:w="2256" w:type="pct"/>
            <w:vMerge/>
            <w:vAlign w:val="center"/>
          </w:tcPr>
          <w:p w14:paraId="3EE4029F" w14:textId="35A8E425" w:rsidR="00AA5145" w:rsidRPr="00BD1C8B" w:rsidRDefault="00AA5145" w:rsidP="0000008B">
            <w:pPr>
              <w:pStyle w:val="aff"/>
              <w:rPr>
                <w:rFonts w:ascii="Times New Roman" w:hAnsi="Times New Roman" w:cs="Times New Roman"/>
              </w:rPr>
            </w:pPr>
          </w:p>
        </w:tc>
      </w:tr>
      <w:tr w:rsidR="00BD1C8B" w:rsidRPr="00BD1C8B" w14:paraId="4D847C3F" w14:textId="77777777" w:rsidTr="00DD22FF">
        <w:trPr>
          <w:tblHeader/>
          <w:jc w:val="center"/>
        </w:trPr>
        <w:tc>
          <w:tcPr>
            <w:tcW w:w="1103" w:type="pct"/>
            <w:vAlign w:val="center"/>
          </w:tcPr>
          <w:p w14:paraId="43D4B3E5" w14:textId="77777777" w:rsidR="00AA5145" w:rsidRPr="00BD1C8B" w:rsidRDefault="00AA5145" w:rsidP="0000008B">
            <w:pPr>
              <w:pStyle w:val="aff"/>
              <w:rPr>
                <w:rFonts w:ascii="Times New Roman" w:hAnsi="Times New Roman" w:cs="Times New Roman"/>
              </w:rPr>
            </w:pPr>
            <w:r w:rsidRPr="00BD1C8B">
              <w:rPr>
                <w:rFonts w:ascii="Times New Roman" w:hAnsi="Times New Roman" w:cs="Times New Roman"/>
              </w:rPr>
              <w:t>合计</w:t>
            </w:r>
          </w:p>
        </w:tc>
        <w:tc>
          <w:tcPr>
            <w:tcW w:w="1641" w:type="pct"/>
            <w:vAlign w:val="center"/>
          </w:tcPr>
          <w:p w14:paraId="5206346D" w14:textId="7790F0E0" w:rsidR="00AA5145" w:rsidRPr="00BD1C8B" w:rsidRDefault="00BD1C8B" w:rsidP="0000008B">
            <w:pPr>
              <w:pStyle w:val="aff"/>
              <w:rPr>
                <w:rFonts w:ascii="Times New Roman" w:hAnsi="Times New Roman" w:cs="Times New Roman"/>
              </w:rPr>
            </w:pPr>
            <w:r w:rsidRPr="00BD1C8B">
              <w:rPr>
                <w:rFonts w:ascii="Times New Roman" w:hAnsi="Times New Roman" w:cs="Times New Roman" w:hint="eastAsia"/>
              </w:rPr>
              <w:t>228000</w:t>
            </w:r>
          </w:p>
        </w:tc>
        <w:tc>
          <w:tcPr>
            <w:tcW w:w="2256" w:type="pct"/>
            <w:vMerge/>
            <w:vAlign w:val="center"/>
          </w:tcPr>
          <w:p w14:paraId="53162A70" w14:textId="5A38027C" w:rsidR="00AA5145" w:rsidRPr="00BD1C8B" w:rsidRDefault="00AA5145" w:rsidP="0000008B">
            <w:pPr>
              <w:pStyle w:val="aff"/>
              <w:rPr>
                <w:rFonts w:ascii="Times New Roman" w:hAnsi="Times New Roman" w:cs="Times New Roman"/>
              </w:rPr>
            </w:pPr>
          </w:p>
        </w:tc>
      </w:tr>
    </w:tbl>
    <w:p w14:paraId="0BD3FCE7" w14:textId="49CF2035" w:rsidR="004829D5" w:rsidRPr="00B94DD9" w:rsidRDefault="004829D5" w:rsidP="004829D5">
      <w:pPr>
        <w:spacing w:line="480" w:lineRule="exact"/>
        <w:rPr>
          <w:rFonts w:ascii="楷体" w:eastAsia="楷体" w:hAnsi="楷体"/>
        </w:rPr>
      </w:pPr>
      <w:r w:rsidRPr="00C938AD">
        <w:rPr>
          <w:rFonts w:ascii="楷体" w:eastAsia="楷体" w:hAnsi="楷体" w:hint="eastAsia"/>
        </w:rPr>
        <w:t>3.3.6</w:t>
      </w:r>
      <w:r w:rsidR="00A21D5F" w:rsidRPr="00B94DD9">
        <w:rPr>
          <w:rFonts w:ascii="楷体" w:eastAsia="楷体" w:hAnsi="楷体" w:hint="eastAsia"/>
        </w:rPr>
        <w:t>资源整合</w:t>
      </w:r>
      <w:proofErr w:type="gramStart"/>
      <w:r w:rsidR="00A21D5F" w:rsidRPr="00B94DD9">
        <w:rPr>
          <w:rFonts w:ascii="楷体" w:eastAsia="楷体" w:hAnsi="楷体" w:hint="eastAsia"/>
        </w:rPr>
        <w:t>前现有</w:t>
      </w:r>
      <w:proofErr w:type="gramEnd"/>
      <w:r w:rsidR="00A21D5F" w:rsidRPr="00B94DD9">
        <w:rPr>
          <w:rFonts w:ascii="楷体" w:eastAsia="楷体" w:hAnsi="楷体" w:hint="eastAsia"/>
        </w:rPr>
        <w:t>工程</w:t>
      </w:r>
      <w:r w:rsidRPr="00B94DD9">
        <w:rPr>
          <w:rFonts w:ascii="楷体" w:eastAsia="楷体" w:hAnsi="楷体"/>
        </w:rPr>
        <w:t>主要</w:t>
      </w:r>
      <w:r w:rsidRPr="00B94DD9">
        <w:rPr>
          <w:rFonts w:ascii="楷体" w:eastAsia="楷体" w:hAnsi="楷体" w:hint="eastAsia"/>
        </w:rPr>
        <w:t>污染源及污染防治措施</w:t>
      </w:r>
    </w:p>
    <w:p w14:paraId="5E99DF57" w14:textId="0C92E690" w:rsidR="004829D5" w:rsidRPr="00B94DD9" w:rsidRDefault="00A21D5F" w:rsidP="004829D5">
      <w:pPr>
        <w:pStyle w:val="af4"/>
        <w:ind w:firstLineChars="201" w:firstLine="482"/>
        <w:rPr>
          <w:rFonts w:eastAsia="宋体"/>
          <w:color w:val="auto"/>
          <w:sz w:val="24"/>
        </w:rPr>
      </w:pPr>
      <w:r w:rsidRPr="00B94DD9">
        <w:rPr>
          <w:rFonts w:eastAsia="宋体" w:hint="eastAsia"/>
          <w:color w:val="auto"/>
          <w:sz w:val="24"/>
        </w:rPr>
        <w:t>资源整合</w:t>
      </w:r>
      <w:proofErr w:type="gramStart"/>
      <w:r w:rsidRPr="00B94DD9">
        <w:rPr>
          <w:rFonts w:eastAsia="宋体" w:hint="eastAsia"/>
          <w:color w:val="auto"/>
          <w:sz w:val="24"/>
        </w:rPr>
        <w:t>前现有</w:t>
      </w:r>
      <w:proofErr w:type="gramEnd"/>
      <w:r w:rsidRPr="00B94DD9">
        <w:rPr>
          <w:rFonts w:eastAsia="宋体" w:hint="eastAsia"/>
          <w:color w:val="auto"/>
          <w:sz w:val="24"/>
        </w:rPr>
        <w:t>工程</w:t>
      </w:r>
      <w:r w:rsidR="004829D5" w:rsidRPr="00B94DD9">
        <w:rPr>
          <w:rFonts w:eastAsia="宋体" w:hint="eastAsia"/>
          <w:color w:val="auto"/>
          <w:sz w:val="24"/>
        </w:rPr>
        <w:t>污染源及污染防治措施情况一览表见表</w:t>
      </w:r>
      <w:r w:rsidR="004829D5" w:rsidRPr="00B94DD9">
        <w:rPr>
          <w:rFonts w:eastAsia="宋体" w:hint="eastAsia"/>
          <w:color w:val="auto"/>
          <w:sz w:val="24"/>
        </w:rPr>
        <w:t>3</w:t>
      </w:r>
      <w:r w:rsidR="00EB0895" w:rsidRPr="00B94DD9">
        <w:rPr>
          <w:rFonts w:eastAsia="宋体"/>
          <w:color w:val="auto"/>
          <w:sz w:val="24"/>
        </w:rPr>
        <w:t>.1-</w:t>
      </w:r>
      <w:r w:rsidR="00BD1C8B">
        <w:rPr>
          <w:rFonts w:eastAsia="宋体" w:hint="eastAsia"/>
          <w:color w:val="auto"/>
          <w:sz w:val="24"/>
        </w:rPr>
        <w:t>11</w:t>
      </w:r>
      <w:r w:rsidR="004829D5" w:rsidRPr="00B94DD9">
        <w:rPr>
          <w:rFonts w:eastAsia="宋体" w:hint="eastAsia"/>
          <w:color w:val="auto"/>
          <w:sz w:val="24"/>
        </w:rPr>
        <w:t>。</w:t>
      </w:r>
    </w:p>
    <w:p w14:paraId="5019FA00" w14:textId="6B15954E" w:rsidR="004829D5" w:rsidRPr="00B94DD9" w:rsidRDefault="004829D5" w:rsidP="004829D5">
      <w:pPr>
        <w:spacing w:line="480" w:lineRule="exact"/>
        <w:rPr>
          <w:rFonts w:eastAsia="黑体"/>
        </w:rPr>
      </w:pPr>
      <w:r w:rsidRPr="00B94DD9">
        <w:rPr>
          <w:rFonts w:eastAsia="黑体"/>
        </w:rPr>
        <w:t>表</w:t>
      </w:r>
      <w:r w:rsidRPr="00B94DD9">
        <w:rPr>
          <w:rFonts w:eastAsia="黑体"/>
        </w:rPr>
        <w:t>3</w:t>
      </w:r>
      <w:r w:rsidR="00EB0895" w:rsidRPr="00B94DD9">
        <w:rPr>
          <w:rFonts w:eastAsia="黑体"/>
        </w:rPr>
        <w:t>.1-</w:t>
      </w:r>
      <w:r w:rsidR="00BD1C8B">
        <w:rPr>
          <w:rFonts w:eastAsia="黑体" w:hint="eastAsia"/>
        </w:rPr>
        <w:t>11</w:t>
      </w:r>
      <w:r w:rsidR="00BD1C8B">
        <w:rPr>
          <w:rFonts w:eastAsia="黑体"/>
        </w:rPr>
        <w:t xml:space="preserve">   </w:t>
      </w:r>
      <w:r w:rsidR="00A21D5F" w:rsidRPr="00B94DD9">
        <w:rPr>
          <w:rFonts w:eastAsia="黑体" w:hint="eastAsia"/>
        </w:rPr>
        <w:t>资源整合</w:t>
      </w:r>
      <w:proofErr w:type="gramStart"/>
      <w:r w:rsidR="00A21D5F" w:rsidRPr="00B94DD9">
        <w:rPr>
          <w:rFonts w:eastAsia="黑体" w:hint="eastAsia"/>
        </w:rPr>
        <w:t>前现有</w:t>
      </w:r>
      <w:proofErr w:type="gramEnd"/>
      <w:r w:rsidR="00A21D5F" w:rsidRPr="00B94DD9">
        <w:rPr>
          <w:rFonts w:eastAsia="黑体" w:hint="eastAsia"/>
        </w:rPr>
        <w:t>工程</w:t>
      </w:r>
      <w:r w:rsidRPr="00B94DD9">
        <w:rPr>
          <w:rFonts w:eastAsia="黑体" w:hint="eastAsia"/>
        </w:rPr>
        <w:t>污染源及污染防治措施情况一览表</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963"/>
        <w:gridCol w:w="892"/>
        <w:gridCol w:w="1005"/>
        <w:gridCol w:w="1412"/>
        <w:gridCol w:w="1412"/>
        <w:gridCol w:w="2907"/>
      </w:tblGrid>
      <w:tr w:rsidR="00C938AD" w:rsidRPr="004A63AF" w14:paraId="71C0E297" w14:textId="77777777" w:rsidTr="00B70053">
        <w:trPr>
          <w:trHeight w:val="252"/>
          <w:tblHeader/>
          <w:jc w:val="center"/>
        </w:trPr>
        <w:tc>
          <w:tcPr>
            <w:tcW w:w="568" w:type="dxa"/>
            <w:vAlign w:val="center"/>
          </w:tcPr>
          <w:p w14:paraId="0F98B356" w14:textId="77777777" w:rsidR="004829D5" w:rsidRPr="004A63AF" w:rsidRDefault="004829D5" w:rsidP="004829D5">
            <w:pPr>
              <w:pStyle w:val="aff"/>
              <w:rPr>
                <w:rFonts w:ascii="Times New Roman" w:hAnsi="Times New Roman" w:cs="Times New Roman"/>
              </w:rPr>
            </w:pPr>
            <w:r w:rsidRPr="004A63AF">
              <w:rPr>
                <w:rFonts w:ascii="Times New Roman" w:hAnsi="Times New Roman" w:cs="Times New Roman"/>
              </w:rPr>
              <w:t>类别</w:t>
            </w:r>
          </w:p>
        </w:tc>
        <w:tc>
          <w:tcPr>
            <w:tcW w:w="963" w:type="dxa"/>
            <w:vAlign w:val="center"/>
          </w:tcPr>
          <w:p w14:paraId="70249BD8" w14:textId="77777777" w:rsidR="004829D5" w:rsidRPr="004A63AF" w:rsidRDefault="004829D5" w:rsidP="004829D5">
            <w:pPr>
              <w:pStyle w:val="aff"/>
              <w:rPr>
                <w:rFonts w:ascii="Times New Roman" w:hAnsi="Times New Roman" w:cs="Times New Roman"/>
              </w:rPr>
            </w:pPr>
            <w:r w:rsidRPr="004A63AF">
              <w:rPr>
                <w:rFonts w:ascii="Times New Roman" w:hAnsi="Times New Roman" w:cs="Times New Roman"/>
              </w:rPr>
              <w:t>来源</w:t>
            </w:r>
          </w:p>
        </w:tc>
        <w:tc>
          <w:tcPr>
            <w:tcW w:w="892" w:type="dxa"/>
            <w:vAlign w:val="center"/>
          </w:tcPr>
          <w:p w14:paraId="477B90C0" w14:textId="77777777" w:rsidR="004829D5" w:rsidRPr="004A63AF" w:rsidRDefault="004829D5" w:rsidP="004829D5">
            <w:pPr>
              <w:pStyle w:val="aff"/>
              <w:rPr>
                <w:rFonts w:ascii="Times New Roman" w:hAnsi="Times New Roman" w:cs="Times New Roman"/>
              </w:rPr>
            </w:pPr>
            <w:r w:rsidRPr="004A63AF">
              <w:rPr>
                <w:rFonts w:ascii="Times New Roman" w:hAnsi="Times New Roman" w:cs="Times New Roman"/>
              </w:rPr>
              <w:t>污染源</w:t>
            </w:r>
          </w:p>
        </w:tc>
        <w:tc>
          <w:tcPr>
            <w:tcW w:w="1005" w:type="dxa"/>
            <w:vAlign w:val="center"/>
          </w:tcPr>
          <w:p w14:paraId="6A6CE326" w14:textId="77777777" w:rsidR="004829D5" w:rsidRPr="004A63AF" w:rsidRDefault="004829D5" w:rsidP="004829D5">
            <w:pPr>
              <w:pStyle w:val="aff"/>
              <w:rPr>
                <w:rFonts w:ascii="Times New Roman" w:hAnsi="Times New Roman" w:cs="Times New Roman"/>
              </w:rPr>
            </w:pPr>
            <w:r w:rsidRPr="004A63AF">
              <w:rPr>
                <w:rFonts w:ascii="Times New Roman" w:hAnsi="Times New Roman" w:cs="Times New Roman"/>
              </w:rPr>
              <w:t>污染物</w:t>
            </w:r>
          </w:p>
        </w:tc>
        <w:tc>
          <w:tcPr>
            <w:tcW w:w="1412" w:type="dxa"/>
            <w:vAlign w:val="center"/>
          </w:tcPr>
          <w:p w14:paraId="6E531AFE" w14:textId="77777777" w:rsidR="004829D5" w:rsidRPr="004A63AF" w:rsidRDefault="004829D5" w:rsidP="004829D5">
            <w:pPr>
              <w:pStyle w:val="aff"/>
              <w:rPr>
                <w:rFonts w:ascii="Times New Roman" w:hAnsi="Times New Roman" w:cs="Times New Roman"/>
              </w:rPr>
            </w:pPr>
            <w:r w:rsidRPr="004A63AF">
              <w:rPr>
                <w:rFonts w:ascii="Times New Roman" w:hAnsi="Times New Roman" w:cs="Times New Roman"/>
              </w:rPr>
              <w:t>产生情况</w:t>
            </w:r>
          </w:p>
        </w:tc>
        <w:tc>
          <w:tcPr>
            <w:tcW w:w="1412" w:type="dxa"/>
            <w:vAlign w:val="center"/>
          </w:tcPr>
          <w:p w14:paraId="053F7B96" w14:textId="77777777" w:rsidR="004829D5" w:rsidRPr="004A63AF" w:rsidRDefault="004829D5" w:rsidP="004829D5">
            <w:pPr>
              <w:pStyle w:val="aff"/>
              <w:rPr>
                <w:rFonts w:ascii="Times New Roman" w:hAnsi="Times New Roman" w:cs="Times New Roman"/>
              </w:rPr>
            </w:pPr>
            <w:r w:rsidRPr="004A63AF">
              <w:rPr>
                <w:rFonts w:ascii="Times New Roman" w:hAnsi="Times New Roman" w:cs="Times New Roman"/>
              </w:rPr>
              <w:t>排放情况</w:t>
            </w:r>
          </w:p>
        </w:tc>
        <w:tc>
          <w:tcPr>
            <w:tcW w:w="2907" w:type="dxa"/>
            <w:vAlign w:val="center"/>
          </w:tcPr>
          <w:p w14:paraId="6F74DFF6" w14:textId="77777777" w:rsidR="004829D5" w:rsidRPr="004A63AF" w:rsidRDefault="004829D5" w:rsidP="004829D5">
            <w:pPr>
              <w:pStyle w:val="aff"/>
              <w:rPr>
                <w:rFonts w:ascii="Times New Roman" w:hAnsi="Times New Roman" w:cs="Times New Roman"/>
              </w:rPr>
            </w:pPr>
            <w:r w:rsidRPr="004A63AF">
              <w:rPr>
                <w:rFonts w:ascii="Times New Roman" w:hAnsi="Times New Roman" w:cs="Times New Roman"/>
              </w:rPr>
              <w:t>防治措施</w:t>
            </w:r>
          </w:p>
        </w:tc>
      </w:tr>
      <w:tr w:rsidR="003620F8" w:rsidRPr="004A63AF" w14:paraId="199586CA" w14:textId="77777777" w:rsidTr="00B70053">
        <w:trPr>
          <w:trHeight w:val="380"/>
          <w:jc w:val="center"/>
        </w:trPr>
        <w:tc>
          <w:tcPr>
            <w:tcW w:w="568" w:type="dxa"/>
            <w:vMerge w:val="restart"/>
            <w:vAlign w:val="center"/>
          </w:tcPr>
          <w:p w14:paraId="0FC1AF5F" w14:textId="77777777" w:rsidR="003620F8" w:rsidRPr="004A63AF" w:rsidRDefault="003620F8" w:rsidP="004829D5">
            <w:pPr>
              <w:pStyle w:val="aff"/>
              <w:rPr>
                <w:rFonts w:ascii="Times New Roman" w:hAnsi="Times New Roman" w:cs="Times New Roman"/>
              </w:rPr>
            </w:pPr>
            <w:r w:rsidRPr="004A63AF">
              <w:rPr>
                <w:rFonts w:ascii="Times New Roman" w:hAnsi="Times New Roman" w:cs="Times New Roman"/>
              </w:rPr>
              <w:t>大气污染物</w:t>
            </w:r>
          </w:p>
        </w:tc>
        <w:tc>
          <w:tcPr>
            <w:tcW w:w="963" w:type="dxa"/>
            <w:vMerge w:val="restart"/>
            <w:vAlign w:val="center"/>
          </w:tcPr>
          <w:p w14:paraId="14719460" w14:textId="77777777" w:rsidR="003620F8" w:rsidRPr="004A63AF" w:rsidRDefault="003620F8" w:rsidP="004829D5">
            <w:pPr>
              <w:pStyle w:val="aff"/>
              <w:rPr>
                <w:rFonts w:ascii="Times New Roman" w:hAnsi="Times New Roman" w:cs="Times New Roman"/>
              </w:rPr>
            </w:pPr>
            <w:r w:rsidRPr="004A63AF">
              <w:rPr>
                <w:rFonts w:ascii="Times New Roman" w:hAnsi="Times New Roman" w:cs="Times New Roman"/>
              </w:rPr>
              <w:t>露采场</w:t>
            </w:r>
          </w:p>
        </w:tc>
        <w:tc>
          <w:tcPr>
            <w:tcW w:w="892" w:type="dxa"/>
            <w:vAlign w:val="center"/>
          </w:tcPr>
          <w:p w14:paraId="6455D794" w14:textId="77777777" w:rsidR="003620F8" w:rsidRPr="004A63AF" w:rsidRDefault="003620F8" w:rsidP="004829D5">
            <w:pPr>
              <w:pStyle w:val="aff"/>
              <w:rPr>
                <w:rFonts w:ascii="Times New Roman" w:hAnsi="Times New Roman" w:cs="Times New Roman"/>
              </w:rPr>
            </w:pPr>
            <w:r w:rsidRPr="004A63AF">
              <w:rPr>
                <w:rFonts w:ascii="Times New Roman" w:hAnsi="Times New Roman" w:cs="Times New Roman"/>
              </w:rPr>
              <w:t>剥离、铲装</w:t>
            </w:r>
          </w:p>
        </w:tc>
        <w:tc>
          <w:tcPr>
            <w:tcW w:w="1005" w:type="dxa"/>
            <w:vAlign w:val="center"/>
          </w:tcPr>
          <w:p w14:paraId="4C3C2527" w14:textId="77777777" w:rsidR="003620F8" w:rsidRPr="004A63AF" w:rsidRDefault="003620F8" w:rsidP="004829D5">
            <w:pPr>
              <w:pStyle w:val="aff"/>
              <w:rPr>
                <w:rFonts w:ascii="Times New Roman" w:hAnsi="Times New Roman" w:cs="Times New Roman"/>
                <w:vertAlign w:val="superscript"/>
              </w:rPr>
            </w:pPr>
            <w:r w:rsidRPr="004A63AF">
              <w:rPr>
                <w:rFonts w:ascii="Times New Roman" w:hAnsi="Times New Roman" w:cs="Times New Roman"/>
              </w:rPr>
              <w:t>粉尘</w:t>
            </w:r>
          </w:p>
        </w:tc>
        <w:tc>
          <w:tcPr>
            <w:tcW w:w="1412" w:type="dxa"/>
            <w:vAlign w:val="center"/>
          </w:tcPr>
          <w:p w14:paraId="3A6A2196" w14:textId="15C94F8F" w:rsidR="003620F8" w:rsidRPr="004A63AF" w:rsidRDefault="003620F8" w:rsidP="004829D5">
            <w:pPr>
              <w:pStyle w:val="aff"/>
              <w:rPr>
                <w:rFonts w:ascii="Times New Roman" w:hAnsi="Times New Roman" w:cs="Times New Roman"/>
                <w:vertAlign w:val="superscript"/>
              </w:rPr>
            </w:pPr>
            <w:r>
              <w:rPr>
                <w:rFonts w:ascii="Times New Roman" w:hAnsi="Times New Roman" w:cs="Times New Roman" w:hint="eastAsia"/>
              </w:rPr>
              <w:t>0.6</w:t>
            </w:r>
            <w:r w:rsidRPr="004A63AF">
              <w:rPr>
                <w:rFonts w:ascii="Times New Roman" w:hAnsi="Times New Roman" w:cs="Times New Roman"/>
              </w:rPr>
              <w:t>t/a</w:t>
            </w:r>
          </w:p>
        </w:tc>
        <w:tc>
          <w:tcPr>
            <w:tcW w:w="1412" w:type="dxa"/>
            <w:vAlign w:val="center"/>
          </w:tcPr>
          <w:p w14:paraId="149737DC" w14:textId="022A2992" w:rsidR="003620F8" w:rsidRPr="004A63AF" w:rsidRDefault="003620F8" w:rsidP="004829D5">
            <w:pPr>
              <w:pStyle w:val="aff"/>
              <w:rPr>
                <w:rFonts w:ascii="Times New Roman" w:hAnsi="Times New Roman" w:cs="Times New Roman"/>
                <w:vertAlign w:val="superscript"/>
              </w:rPr>
            </w:pPr>
            <w:r w:rsidRPr="004A63AF">
              <w:rPr>
                <w:rFonts w:ascii="Times New Roman" w:hAnsi="Times New Roman" w:cs="Times New Roman"/>
              </w:rPr>
              <w:t>0.</w:t>
            </w:r>
            <w:r>
              <w:rPr>
                <w:rFonts w:ascii="Times New Roman" w:hAnsi="Times New Roman" w:cs="Times New Roman" w:hint="eastAsia"/>
              </w:rPr>
              <w:t>12</w:t>
            </w:r>
            <w:r w:rsidRPr="004A63AF">
              <w:rPr>
                <w:rFonts w:ascii="Times New Roman" w:hAnsi="Times New Roman" w:cs="Times New Roman"/>
              </w:rPr>
              <w:t>t/a</w:t>
            </w:r>
          </w:p>
        </w:tc>
        <w:tc>
          <w:tcPr>
            <w:tcW w:w="2907" w:type="dxa"/>
            <w:vAlign w:val="center"/>
          </w:tcPr>
          <w:p w14:paraId="0846A786" w14:textId="77777777" w:rsidR="003620F8" w:rsidRPr="004A63AF" w:rsidRDefault="003620F8" w:rsidP="004829D5">
            <w:pPr>
              <w:pStyle w:val="aff"/>
              <w:rPr>
                <w:rFonts w:ascii="Times New Roman" w:hAnsi="Times New Roman" w:cs="Times New Roman"/>
              </w:rPr>
            </w:pPr>
            <w:r w:rsidRPr="004A63AF">
              <w:rPr>
                <w:rFonts w:ascii="Times New Roman" w:hAnsi="Times New Roman" w:cs="Times New Roman"/>
              </w:rPr>
              <w:t>洒水车定期洒水降尘</w:t>
            </w:r>
          </w:p>
        </w:tc>
      </w:tr>
      <w:tr w:rsidR="003620F8" w:rsidRPr="004A63AF" w14:paraId="501D98AB" w14:textId="77777777" w:rsidTr="00B70053">
        <w:trPr>
          <w:trHeight w:val="380"/>
          <w:jc w:val="center"/>
        </w:trPr>
        <w:tc>
          <w:tcPr>
            <w:tcW w:w="568" w:type="dxa"/>
            <w:vMerge/>
            <w:vAlign w:val="center"/>
          </w:tcPr>
          <w:p w14:paraId="71EB558C" w14:textId="77777777" w:rsidR="003620F8" w:rsidRPr="004A63AF" w:rsidRDefault="003620F8" w:rsidP="003620F8">
            <w:pPr>
              <w:pStyle w:val="aff"/>
              <w:rPr>
                <w:rFonts w:ascii="Times New Roman" w:hAnsi="Times New Roman" w:cs="Times New Roman"/>
              </w:rPr>
            </w:pPr>
          </w:p>
        </w:tc>
        <w:tc>
          <w:tcPr>
            <w:tcW w:w="963" w:type="dxa"/>
            <w:vMerge/>
            <w:vAlign w:val="center"/>
          </w:tcPr>
          <w:p w14:paraId="6C3DD876" w14:textId="77777777" w:rsidR="003620F8" w:rsidRPr="004A63AF" w:rsidRDefault="003620F8" w:rsidP="003620F8">
            <w:pPr>
              <w:pStyle w:val="aff"/>
              <w:rPr>
                <w:rFonts w:ascii="Times New Roman" w:hAnsi="Times New Roman" w:cs="Times New Roman"/>
              </w:rPr>
            </w:pPr>
          </w:p>
        </w:tc>
        <w:tc>
          <w:tcPr>
            <w:tcW w:w="892" w:type="dxa"/>
            <w:vAlign w:val="center"/>
          </w:tcPr>
          <w:p w14:paraId="1BA629C5" w14:textId="26C2A7C0" w:rsidR="003620F8" w:rsidRPr="004A63AF" w:rsidRDefault="003620F8" w:rsidP="003620F8">
            <w:pPr>
              <w:pStyle w:val="aff"/>
              <w:rPr>
                <w:rFonts w:ascii="Times New Roman" w:hAnsi="Times New Roman" w:cs="Times New Roman"/>
              </w:rPr>
            </w:pPr>
            <w:r>
              <w:rPr>
                <w:rFonts w:ascii="Times New Roman" w:hAnsi="Times New Roman" w:cs="Times New Roman" w:hint="eastAsia"/>
              </w:rPr>
              <w:t>装卸</w:t>
            </w:r>
          </w:p>
        </w:tc>
        <w:tc>
          <w:tcPr>
            <w:tcW w:w="1005" w:type="dxa"/>
            <w:vAlign w:val="center"/>
          </w:tcPr>
          <w:p w14:paraId="509D2AA1" w14:textId="1BA39644" w:rsidR="003620F8" w:rsidRPr="004A63AF" w:rsidRDefault="003620F8" w:rsidP="003620F8">
            <w:pPr>
              <w:pStyle w:val="aff"/>
              <w:rPr>
                <w:rFonts w:ascii="Times New Roman" w:hAnsi="Times New Roman" w:cs="Times New Roman"/>
              </w:rPr>
            </w:pPr>
            <w:r w:rsidRPr="003620F8">
              <w:rPr>
                <w:rFonts w:ascii="Times New Roman" w:hAnsi="Times New Roman" w:cs="Times New Roman" w:hint="eastAsia"/>
              </w:rPr>
              <w:t>粉尘</w:t>
            </w:r>
          </w:p>
        </w:tc>
        <w:tc>
          <w:tcPr>
            <w:tcW w:w="1412" w:type="dxa"/>
            <w:vAlign w:val="center"/>
          </w:tcPr>
          <w:p w14:paraId="387947F1" w14:textId="50AFA1FB" w:rsidR="003620F8" w:rsidRDefault="003620F8" w:rsidP="003620F8">
            <w:pPr>
              <w:pStyle w:val="aff"/>
              <w:rPr>
                <w:rFonts w:ascii="Times New Roman" w:hAnsi="Times New Roman" w:cs="Times New Roman"/>
              </w:rPr>
            </w:pPr>
            <w:r>
              <w:rPr>
                <w:rFonts w:ascii="Times New Roman" w:hAnsi="Times New Roman" w:cs="Times New Roman" w:hint="eastAsia"/>
              </w:rPr>
              <w:t>2.35</w:t>
            </w:r>
            <w:r w:rsidRPr="004A63AF">
              <w:rPr>
                <w:rFonts w:ascii="Times New Roman" w:hAnsi="Times New Roman" w:cs="Times New Roman"/>
              </w:rPr>
              <w:t>t/a</w:t>
            </w:r>
          </w:p>
        </w:tc>
        <w:tc>
          <w:tcPr>
            <w:tcW w:w="1412" w:type="dxa"/>
            <w:vAlign w:val="center"/>
          </w:tcPr>
          <w:p w14:paraId="1FC9C025" w14:textId="472E5CB8" w:rsidR="003620F8" w:rsidRPr="004A63AF" w:rsidRDefault="003620F8" w:rsidP="003620F8">
            <w:pPr>
              <w:pStyle w:val="aff"/>
              <w:rPr>
                <w:rFonts w:ascii="Times New Roman" w:hAnsi="Times New Roman" w:cs="Times New Roman"/>
              </w:rPr>
            </w:pPr>
            <w:r>
              <w:rPr>
                <w:rFonts w:ascii="Times New Roman" w:hAnsi="Times New Roman" w:cs="Times New Roman" w:hint="eastAsia"/>
              </w:rPr>
              <w:t>1.17</w:t>
            </w:r>
            <w:r w:rsidRPr="004A63AF">
              <w:rPr>
                <w:rFonts w:ascii="Times New Roman" w:hAnsi="Times New Roman" w:cs="Times New Roman"/>
              </w:rPr>
              <w:t>t/a</w:t>
            </w:r>
          </w:p>
        </w:tc>
        <w:tc>
          <w:tcPr>
            <w:tcW w:w="2907" w:type="dxa"/>
            <w:vAlign w:val="center"/>
          </w:tcPr>
          <w:p w14:paraId="19DD0BE2" w14:textId="7C571CF4" w:rsidR="003620F8" w:rsidRPr="004A63AF" w:rsidRDefault="003620F8" w:rsidP="003620F8">
            <w:pPr>
              <w:pStyle w:val="aff"/>
              <w:rPr>
                <w:rFonts w:ascii="Times New Roman" w:hAnsi="Times New Roman" w:cs="Times New Roman"/>
              </w:rPr>
            </w:pPr>
            <w:r w:rsidRPr="003620F8">
              <w:rPr>
                <w:rFonts w:ascii="Times New Roman" w:hAnsi="Times New Roman" w:cs="Times New Roman" w:hint="eastAsia"/>
              </w:rPr>
              <w:t>洒水降尘</w:t>
            </w:r>
          </w:p>
        </w:tc>
      </w:tr>
      <w:tr w:rsidR="003620F8" w:rsidRPr="004A63AF" w14:paraId="6E2D1F9C" w14:textId="77777777" w:rsidTr="00B70053">
        <w:trPr>
          <w:trHeight w:val="349"/>
          <w:jc w:val="center"/>
        </w:trPr>
        <w:tc>
          <w:tcPr>
            <w:tcW w:w="568" w:type="dxa"/>
            <w:vMerge/>
            <w:vAlign w:val="center"/>
          </w:tcPr>
          <w:p w14:paraId="1860B553" w14:textId="77777777" w:rsidR="003620F8" w:rsidRPr="004A63AF" w:rsidRDefault="003620F8" w:rsidP="003620F8">
            <w:pPr>
              <w:pStyle w:val="aff"/>
              <w:rPr>
                <w:rFonts w:ascii="Times New Roman" w:hAnsi="Times New Roman" w:cs="Times New Roman"/>
              </w:rPr>
            </w:pPr>
          </w:p>
        </w:tc>
        <w:tc>
          <w:tcPr>
            <w:tcW w:w="963" w:type="dxa"/>
            <w:vAlign w:val="center"/>
          </w:tcPr>
          <w:p w14:paraId="5118DEA2"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表土堆存</w:t>
            </w:r>
          </w:p>
        </w:tc>
        <w:tc>
          <w:tcPr>
            <w:tcW w:w="892" w:type="dxa"/>
            <w:vAlign w:val="center"/>
          </w:tcPr>
          <w:p w14:paraId="4221D082"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表土堆存</w:t>
            </w:r>
          </w:p>
        </w:tc>
        <w:tc>
          <w:tcPr>
            <w:tcW w:w="1005" w:type="dxa"/>
            <w:vAlign w:val="center"/>
          </w:tcPr>
          <w:p w14:paraId="2648D508"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粉尘</w:t>
            </w:r>
          </w:p>
        </w:tc>
        <w:tc>
          <w:tcPr>
            <w:tcW w:w="1412" w:type="dxa"/>
            <w:vAlign w:val="center"/>
          </w:tcPr>
          <w:p w14:paraId="53216A86" w14:textId="4E9A69E9" w:rsidR="003620F8" w:rsidRPr="004A63AF" w:rsidRDefault="003620F8" w:rsidP="003620F8">
            <w:pPr>
              <w:pStyle w:val="aff"/>
              <w:rPr>
                <w:rFonts w:ascii="Times New Roman" w:hAnsi="Times New Roman" w:cs="Times New Roman"/>
              </w:rPr>
            </w:pPr>
            <w:r>
              <w:rPr>
                <w:rFonts w:ascii="Times New Roman" w:hAnsi="Times New Roman" w:cs="Times New Roman" w:hint="eastAsia"/>
              </w:rPr>
              <w:t>2.4</w:t>
            </w:r>
            <w:r w:rsidRPr="004A63AF">
              <w:rPr>
                <w:rFonts w:ascii="Times New Roman" w:hAnsi="Times New Roman" w:cs="Times New Roman"/>
              </w:rPr>
              <w:t>t/a</w:t>
            </w:r>
          </w:p>
        </w:tc>
        <w:tc>
          <w:tcPr>
            <w:tcW w:w="1412" w:type="dxa"/>
            <w:vAlign w:val="center"/>
          </w:tcPr>
          <w:p w14:paraId="44006F9F" w14:textId="78F72BE3" w:rsidR="003620F8" w:rsidRPr="004A63AF" w:rsidRDefault="003620F8" w:rsidP="003620F8">
            <w:pPr>
              <w:pStyle w:val="aff"/>
              <w:rPr>
                <w:rFonts w:ascii="Times New Roman" w:hAnsi="Times New Roman" w:cs="Times New Roman"/>
              </w:rPr>
            </w:pPr>
            <w:r>
              <w:rPr>
                <w:rFonts w:ascii="Times New Roman" w:hAnsi="Times New Roman" w:cs="Times New Roman" w:hint="eastAsia"/>
              </w:rPr>
              <w:t>2.4</w:t>
            </w:r>
            <w:r w:rsidRPr="004A63AF">
              <w:rPr>
                <w:rFonts w:ascii="Times New Roman" w:hAnsi="Times New Roman" w:cs="Times New Roman"/>
              </w:rPr>
              <w:t>t/a</w:t>
            </w:r>
          </w:p>
        </w:tc>
        <w:tc>
          <w:tcPr>
            <w:tcW w:w="2907" w:type="dxa"/>
            <w:vAlign w:val="center"/>
          </w:tcPr>
          <w:p w14:paraId="5FC6F18A"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w:t>
            </w:r>
          </w:p>
        </w:tc>
      </w:tr>
      <w:tr w:rsidR="003620F8" w:rsidRPr="004A63AF" w14:paraId="7DA260C1" w14:textId="77777777" w:rsidTr="00B70053">
        <w:trPr>
          <w:trHeight w:val="349"/>
          <w:jc w:val="center"/>
        </w:trPr>
        <w:tc>
          <w:tcPr>
            <w:tcW w:w="568" w:type="dxa"/>
            <w:vMerge/>
            <w:vAlign w:val="center"/>
          </w:tcPr>
          <w:p w14:paraId="62DEC9E9" w14:textId="77777777" w:rsidR="003620F8" w:rsidRPr="004A63AF" w:rsidRDefault="003620F8" w:rsidP="003620F8">
            <w:pPr>
              <w:pStyle w:val="aff"/>
              <w:rPr>
                <w:rFonts w:ascii="Times New Roman" w:hAnsi="Times New Roman" w:cs="Times New Roman"/>
              </w:rPr>
            </w:pPr>
          </w:p>
        </w:tc>
        <w:tc>
          <w:tcPr>
            <w:tcW w:w="963" w:type="dxa"/>
            <w:vMerge w:val="restart"/>
            <w:vAlign w:val="center"/>
          </w:tcPr>
          <w:p w14:paraId="17F4DE8B" w14:textId="7AA94B26"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破碎筛分</w:t>
            </w:r>
          </w:p>
        </w:tc>
        <w:tc>
          <w:tcPr>
            <w:tcW w:w="892" w:type="dxa"/>
            <w:vMerge w:val="restart"/>
            <w:vAlign w:val="center"/>
          </w:tcPr>
          <w:p w14:paraId="280A2761" w14:textId="64BF0353"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破碎筛分</w:t>
            </w:r>
          </w:p>
        </w:tc>
        <w:tc>
          <w:tcPr>
            <w:tcW w:w="1005" w:type="dxa"/>
            <w:vMerge w:val="restart"/>
            <w:vAlign w:val="center"/>
          </w:tcPr>
          <w:p w14:paraId="28958683" w14:textId="2D2F82A4"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粉尘</w:t>
            </w:r>
          </w:p>
        </w:tc>
        <w:tc>
          <w:tcPr>
            <w:tcW w:w="1412" w:type="dxa"/>
            <w:vAlign w:val="center"/>
          </w:tcPr>
          <w:p w14:paraId="0B561401" w14:textId="4773142F" w:rsidR="003620F8" w:rsidRPr="004A63AF" w:rsidRDefault="003620F8" w:rsidP="003620F8">
            <w:pPr>
              <w:pStyle w:val="aff"/>
              <w:rPr>
                <w:rFonts w:ascii="Times New Roman" w:hAnsi="Times New Roman" w:cs="Times New Roman"/>
              </w:rPr>
            </w:pPr>
            <w:r>
              <w:rPr>
                <w:rFonts w:ascii="Times New Roman" w:hAnsi="Times New Roman" w:cs="Times New Roman" w:hint="eastAsia"/>
              </w:rPr>
              <w:t>有组织</w:t>
            </w:r>
            <w:r>
              <w:rPr>
                <w:rFonts w:ascii="Times New Roman" w:hAnsi="Times New Roman" w:cs="Times New Roman" w:hint="eastAsia"/>
              </w:rPr>
              <w:t>15.219</w:t>
            </w:r>
            <w:r w:rsidRPr="004A63AF">
              <w:rPr>
                <w:rFonts w:ascii="Times New Roman" w:hAnsi="Times New Roman" w:cs="Times New Roman"/>
              </w:rPr>
              <w:t>t/a</w:t>
            </w:r>
          </w:p>
        </w:tc>
        <w:tc>
          <w:tcPr>
            <w:tcW w:w="1412" w:type="dxa"/>
            <w:vAlign w:val="center"/>
          </w:tcPr>
          <w:p w14:paraId="004A17A0" w14:textId="39A32B31" w:rsidR="003620F8" w:rsidRPr="004A63AF" w:rsidRDefault="003620F8" w:rsidP="003620F8">
            <w:pPr>
              <w:pStyle w:val="aff"/>
              <w:rPr>
                <w:rFonts w:ascii="Times New Roman" w:hAnsi="Times New Roman" w:cs="Times New Roman"/>
              </w:rPr>
            </w:pPr>
            <w:r>
              <w:rPr>
                <w:rFonts w:ascii="Times New Roman" w:hAnsi="Times New Roman" w:cs="Times New Roman" w:hint="eastAsia"/>
              </w:rPr>
              <w:t>0.0152</w:t>
            </w:r>
            <w:r>
              <w:rPr>
                <w:rFonts w:ascii="Times New Roman" w:hAnsi="Times New Roman" w:cs="Times New Roman"/>
              </w:rPr>
              <w:t>t/a</w:t>
            </w:r>
          </w:p>
        </w:tc>
        <w:tc>
          <w:tcPr>
            <w:tcW w:w="2907" w:type="dxa"/>
            <w:vAlign w:val="center"/>
          </w:tcPr>
          <w:p w14:paraId="3578FD83" w14:textId="48187A82"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袋式除尘器</w:t>
            </w:r>
          </w:p>
        </w:tc>
      </w:tr>
      <w:tr w:rsidR="003620F8" w:rsidRPr="004A63AF" w14:paraId="69A4DFC8" w14:textId="77777777" w:rsidTr="00B70053">
        <w:trPr>
          <w:trHeight w:val="349"/>
          <w:jc w:val="center"/>
        </w:trPr>
        <w:tc>
          <w:tcPr>
            <w:tcW w:w="568" w:type="dxa"/>
            <w:vMerge/>
            <w:vAlign w:val="center"/>
          </w:tcPr>
          <w:p w14:paraId="47575229" w14:textId="77777777" w:rsidR="003620F8" w:rsidRPr="004A63AF" w:rsidRDefault="003620F8" w:rsidP="003620F8">
            <w:pPr>
              <w:pStyle w:val="aff"/>
              <w:rPr>
                <w:rFonts w:ascii="Times New Roman" w:hAnsi="Times New Roman" w:cs="Times New Roman"/>
              </w:rPr>
            </w:pPr>
          </w:p>
        </w:tc>
        <w:tc>
          <w:tcPr>
            <w:tcW w:w="963" w:type="dxa"/>
            <w:vMerge/>
            <w:vAlign w:val="center"/>
          </w:tcPr>
          <w:p w14:paraId="7BF7D505" w14:textId="77777777" w:rsidR="003620F8" w:rsidRPr="004A63AF" w:rsidRDefault="003620F8" w:rsidP="003620F8">
            <w:pPr>
              <w:pStyle w:val="aff"/>
              <w:rPr>
                <w:rFonts w:ascii="Times New Roman" w:hAnsi="Times New Roman" w:cs="Times New Roman"/>
              </w:rPr>
            </w:pPr>
          </w:p>
        </w:tc>
        <w:tc>
          <w:tcPr>
            <w:tcW w:w="892" w:type="dxa"/>
            <w:vMerge/>
            <w:vAlign w:val="center"/>
          </w:tcPr>
          <w:p w14:paraId="6DB427C3" w14:textId="77777777" w:rsidR="003620F8" w:rsidRPr="004A63AF" w:rsidRDefault="003620F8" w:rsidP="003620F8">
            <w:pPr>
              <w:pStyle w:val="aff"/>
              <w:rPr>
                <w:rFonts w:ascii="Times New Roman" w:hAnsi="Times New Roman" w:cs="Times New Roman"/>
              </w:rPr>
            </w:pPr>
          </w:p>
        </w:tc>
        <w:tc>
          <w:tcPr>
            <w:tcW w:w="1005" w:type="dxa"/>
            <w:vMerge/>
            <w:vAlign w:val="center"/>
          </w:tcPr>
          <w:p w14:paraId="336642ED" w14:textId="77777777" w:rsidR="003620F8" w:rsidRPr="004A63AF" w:rsidRDefault="003620F8" w:rsidP="003620F8">
            <w:pPr>
              <w:pStyle w:val="aff"/>
              <w:rPr>
                <w:rFonts w:ascii="Times New Roman" w:hAnsi="Times New Roman" w:cs="Times New Roman"/>
              </w:rPr>
            </w:pPr>
          </w:p>
        </w:tc>
        <w:tc>
          <w:tcPr>
            <w:tcW w:w="1412" w:type="dxa"/>
            <w:vAlign w:val="center"/>
          </w:tcPr>
          <w:p w14:paraId="752244E7" w14:textId="19634E15" w:rsidR="003620F8" w:rsidRPr="004A63AF" w:rsidRDefault="003620F8" w:rsidP="003620F8">
            <w:pPr>
              <w:pStyle w:val="aff"/>
              <w:rPr>
                <w:rFonts w:ascii="Times New Roman" w:hAnsi="Times New Roman" w:cs="Times New Roman"/>
              </w:rPr>
            </w:pPr>
            <w:r>
              <w:rPr>
                <w:rFonts w:ascii="Times New Roman" w:hAnsi="Times New Roman" w:cs="Times New Roman" w:hint="eastAsia"/>
              </w:rPr>
              <w:t>无组织</w:t>
            </w:r>
            <w:r>
              <w:rPr>
                <w:rFonts w:ascii="Times New Roman" w:hAnsi="Times New Roman" w:cs="Times New Roman" w:hint="eastAsia"/>
              </w:rPr>
              <w:t>0.801</w:t>
            </w:r>
            <w:r w:rsidRPr="003620F8">
              <w:rPr>
                <w:rFonts w:ascii="Times New Roman" w:hAnsi="Times New Roman" w:cs="Times New Roman"/>
              </w:rPr>
              <w:t>t/a</w:t>
            </w:r>
          </w:p>
        </w:tc>
        <w:tc>
          <w:tcPr>
            <w:tcW w:w="1412" w:type="dxa"/>
            <w:vAlign w:val="center"/>
          </w:tcPr>
          <w:p w14:paraId="3EBA44B5" w14:textId="43878587" w:rsidR="003620F8" w:rsidRPr="004A63AF" w:rsidRDefault="003620F8" w:rsidP="003620F8">
            <w:pPr>
              <w:pStyle w:val="aff"/>
              <w:rPr>
                <w:rFonts w:ascii="Times New Roman" w:hAnsi="Times New Roman" w:cs="Times New Roman"/>
              </w:rPr>
            </w:pPr>
            <w:r>
              <w:rPr>
                <w:rFonts w:ascii="Times New Roman" w:hAnsi="Times New Roman" w:cs="Times New Roman" w:hint="eastAsia"/>
              </w:rPr>
              <w:t>0.08</w:t>
            </w:r>
            <w:r>
              <w:rPr>
                <w:rFonts w:ascii="Times New Roman" w:hAnsi="Times New Roman" w:cs="Times New Roman"/>
              </w:rPr>
              <w:t>t/a</w:t>
            </w:r>
          </w:p>
        </w:tc>
        <w:tc>
          <w:tcPr>
            <w:tcW w:w="2907" w:type="dxa"/>
            <w:vAlign w:val="center"/>
          </w:tcPr>
          <w:p w14:paraId="0AEAB816" w14:textId="76C8660B" w:rsidR="003620F8" w:rsidRPr="004A63AF" w:rsidRDefault="003620F8" w:rsidP="003620F8">
            <w:pPr>
              <w:pStyle w:val="aff"/>
              <w:rPr>
                <w:rFonts w:ascii="Times New Roman" w:hAnsi="Times New Roman" w:cs="Times New Roman"/>
              </w:rPr>
            </w:pPr>
            <w:r>
              <w:rPr>
                <w:rFonts w:ascii="Times New Roman" w:hAnsi="Times New Roman" w:cs="Times New Roman" w:hint="eastAsia"/>
              </w:rPr>
              <w:t>密闭车间</w:t>
            </w:r>
          </w:p>
        </w:tc>
      </w:tr>
      <w:tr w:rsidR="003620F8" w:rsidRPr="004A63AF" w14:paraId="3A7BD484" w14:textId="77777777" w:rsidTr="0000008B">
        <w:trPr>
          <w:trHeight w:val="513"/>
          <w:jc w:val="center"/>
        </w:trPr>
        <w:tc>
          <w:tcPr>
            <w:tcW w:w="568" w:type="dxa"/>
            <w:vMerge/>
            <w:tcBorders>
              <w:bottom w:val="single" w:sz="4" w:space="0" w:color="000000"/>
            </w:tcBorders>
            <w:vAlign w:val="center"/>
          </w:tcPr>
          <w:p w14:paraId="542293C4" w14:textId="77777777" w:rsidR="003620F8" w:rsidRPr="004A63AF" w:rsidRDefault="003620F8" w:rsidP="003620F8">
            <w:pPr>
              <w:pStyle w:val="aff"/>
              <w:rPr>
                <w:rFonts w:ascii="Times New Roman" w:hAnsi="Times New Roman" w:cs="Times New Roman"/>
              </w:rPr>
            </w:pPr>
          </w:p>
        </w:tc>
        <w:tc>
          <w:tcPr>
            <w:tcW w:w="963" w:type="dxa"/>
            <w:tcBorders>
              <w:bottom w:val="single" w:sz="4" w:space="0" w:color="000000"/>
            </w:tcBorders>
            <w:vAlign w:val="center"/>
          </w:tcPr>
          <w:p w14:paraId="4D8B95DA"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产品运输</w:t>
            </w:r>
          </w:p>
        </w:tc>
        <w:tc>
          <w:tcPr>
            <w:tcW w:w="892" w:type="dxa"/>
            <w:vAlign w:val="center"/>
          </w:tcPr>
          <w:p w14:paraId="7F00A941"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产品运输</w:t>
            </w:r>
          </w:p>
        </w:tc>
        <w:tc>
          <w:tcPr>
            <w:tcW w:w="1005" w:type="dxa"/>
            <w:vAlign w:val="center"/>
          </w:tcPr>
          <w:p w14:paraId="576A1361"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扬尘</w:t>
            </w:r>
          </w:p>
        </w:tc>
        <w:tc>
          <w:tcPr>
            <w:tcW w:w="1412" w:type="dxa"/>
            <w:vAlign w:val="center"/>
          </w:tcPr>
          <w:p w14:paraId="1B765851"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无组织</w:t>
            </w:r>
          </w:p>
        </w:tc>
        <w:tc>
          <w:tcPr>
            <w:tcW w:w="1412" w:type="dxa"/>
            <w:vAlign w:val="center"/>
          </w:tcPr>
          <w:p w14:paraId="2626DA5E"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无组织排放</w:t>
            </w:r>
          </w:p>
        </w:tc>
        <w:tc>
          <w:tcPr>
            <w:tcW w:w="2907" w:type="dxa"/>
            <w:vAlign w:val="center"/>
          </w:tcPr>
          <w:p w14:paraId="3B9411CE"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洒水车定期洒水降尘</w:t>
            </w:r>
          </w:p>
        </w:tc>
      </w:tr>
      <w:tr w:rsidR="003620F8" w:rsidRPr="004A63AF" w14:paraId="2F20771B" w14:textId="77777777" w:rsidTr="0000008B">
        <w:trPr>
          <w:trHeight w:val="435"/>
          <w:jc w:val="center"/>
        </w:trPr>
        <w:tc>
          <w:tcPr>
            <w:tcW w:w="568" w:type="dxa"/>
            <w:tcBorders>
              <w:top w:val="single" w:sz="4" w:space="0" w:color="000000"/>
            </w:tcBorders>
            <w:vAlign w:val="center"/>
          </w:tcPr>
          <w:p w14:paraId="56DAFC6C" w14:textId="02FA2814" w:rsidR="003620F8" w:rsidRPr="004A63AF" w:rsidRDefault="003620F8" w:rsidP="003620F8">
            <w:pPr>
              <w:pStyle w:val="aff"/>
              <w:rPr>
                <w:rFonts w:ascii="Times New Roman" w:hAnsi="Times New Roman" w:cs="Times New Roman"/>
              </w:rPr>
            </w:pPr>
            <w:r>
              <w:rPr>
                <w:rFonts w:ascii="Times New Roman" w:hAnsi="Times New Roman" w:cs="Times New Roman" w:hint="eastAsia"/>
              </w:rPr>
              <w:t>废水</w:t>
            </w:r>
          </w:p>
        </w:tc>
        <w:tc>
          <w:tcPr>
            <w:tcW w:w="963" w:type="dxa"/>
            <w:tcBorders>
              <w:top w:val="single" w:sz="4" w:space="0" w:color="000000"/>
            </w:tcBorders>
            <w:vAlign w:val="center"/>
          </w:tcPr>
          <w:p w14:paraId="2A1298AC"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办公生活</w:t>
            </w:r>
          </w:p>
        </w:tc>
        <w:tc>
          <w:tcPr>
            <w:tcW w:w="1897" w:type="dxa"/>
            <w:gridSpan w:val="2"/>
            <w:vAlign w:val="center"/>
          </w:tcPr>
          <w:p w14:paraId="2677C55E"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生活污水</w:t>
            </w:r>
          </w:p>
        </w:tc>
        <w:tc>
          <w:tcPr>
            <w:tcW w:w="1412" w:type="dxa"/>
            <w:vAlign w:val="center"/>
          </w:tcPr>
          <w:p w14:paraId="5BDB7A8B" w14:textId="140BDB0D"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0.8m</w:t>
            </w:r>
            <w:r w:rsidRPr="004A63AF">
              <w:rPr>
                <w:rFonts w:ascii="Times New Roman" w:hAnsi="Times New Roman" w:cs="Times New Roman"/>
                <w:vertAlign w:val="superscript"/>
              </w:rPr>
              <w:t>3</w:t>
            </w:r>
            <w:r w:rsidRPr="004A63AF">
              <w:rPr>
                <w:rFonts w:ascii="Times New Roman" w:hAnsi="Times New Roman" w:cs="Times New Roman"/>
              </w:rPr>
              <w:t>/d</w:t>
            </w:r>
          </w:p>
        </w:tc>
        <w:tc>
          <w:tcPr>
            <w:tcW w:w="1412" w:type="dxa"/>
            <w:vAlign w:val="center"/>
          </w:tcPr>
          <w:p w14:paraId="0DF906B5"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0m</w:t>
            </w:r>
            <w:r w:rsidRPr="004A63AF">
              <w:rPr>
                <w:rFonts w:ascii="Times New Roman" w:hAnsi="Times New Roman" w:cs="Times New Roman"/>
                <w:vertAlign w:val="superscript"/>
              </w:rPr>
              <w:t>3</w:t>
            </w:r>
            <w:r w:rsidRPr="004A63AF">
              <w:rPr>
                <w:rFonts w:ascii="Times New Roman" w:hAnsi="Times New Roman" w:cs="Times New Roman"/>
              </w:rPr>
              <w:t>/d</w:t>
            </w:r>
          </w:p>
        </w:tc>
        <w:tc>
          <w:tcPr>
            <w:tcW w:w="2907" w:type="dxa"/>
            <w:vAlign w:val="center"/>
          </w:tcPr>
          <w:p w14:paraId="258309EC"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利用村民旱厕，定期清掏肥田</w:t>
            </w:r>
          </w:p>
        </w:tc>
      </w:tr>
      <w:tr w:rsidR="003620F8" w:rsidRPr="004A63AF" w14:paraId="2B1652F3" w14:textId="77777777" w:rsidTr="00B70053">
        <w:trPr>
          <w:trHeight w:val="412"/>
          <w:jc w:val="center"/>
        </w:trPr>
        <w:tc>
          <w:tcPr>
            <w:tcW w:w="568" w:type="dxa"/>
            <w:vMerge w:val="restart"/>
            <w:vAlign w:val="center"/>
          </w:tcPr>
          <w:p w14:paraId="0B860E85"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噪声</w:t>
            </w:r>
          </w:p>
        </w:tc>
        <w:tc>
          <w:tcPr>
            <w:tcW w:w="963" w:type="dxa"/>
            <w:vAlign w:val="center"/>
          </w:tcPr>
          <w:p w14:paraId="30E7B146"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露采场</w:t>
            </w:r>
          </w:p>
        </w:tc>
        <w:tc>
          <w:tcPr>
            <w:tcW w:w="1897" w:type="dxa"/>
            <w:gridSpan w:val="2"/>
            <w:vAlign w:val="center"/>
          </w:tcPr>
          <w:p w14:paraId="4388A3AB"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挖掘机、装载机</w:t>
            </w:r>
          </w:p>
        </w:tc>
        <w:tc>
          <w:tcPr>
            <w:tcW w:w="1412" w:type="dxa"/>
            <w:vAlign w:val="center"/>
          </w:tcPr>
          <w:p w14:paraId="6BFBBDC5"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70</w:t>
            </w:r>
            <w:r w:rsidRPr="004A63AF">
              <w:rPr>
                <w:rFonts w:ascii="Times New Roman" w:hAnsi="Times New Roman" w:cs="Times New Roman"/>
              </w:rPr>
              <w:t>～</w:t>
            </w:r>
            <w:r w:rsidRPr="004A63AF">
              <w:rPr>
                <w:rFonts w:ascii="Times New Roman" w:hAnsi="Times New Roman" w:cs="Times New Roman"/>
              </w:rPr>
              <w:t>85dB</w:t>
            </w:r>
            <w:r w:rsidRPr="004A63AF">
              <w:rPr>
                <w:rFonts w:ascii="Times New Roman" w:hAnsi="Times New Roman" w:cs="Times New Roman"/>
              </w:rPr>
              <w:t>（</w:t>
            </w:r>
            <w:r w:rsidRPr="004A63AF">
              <w:rPr>
                <w:rFonts w:ascii="Times New Roman" w:hAnsi="Times New Roman" w:cs="Times New Roman"/>
              </w:rPr>
              <w:t>A</w:t>
            </w:r>
            <w:r w:rsidRPr="004A63AF">
              <w:rPr>
                <w:rFonts w:ascii="Times New Roman" w:hAnsi="Times New Roman" w:cs="Times New Roman"/>
              </w:rPr>
              <w:t>）</w:t>
            </w:r>
          </w:p>
        </w:tc>
        <w:tc>
          <w:tcPr>
            <w:tcW w:w="1412" w:type="dxa"/>
            <w:vAlign w:val="center"/>
          </w:tcPr>
          <w:p w14:paraId="33AC28ED"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70</w:t>
            </w:r>
            <w:r w:rsidRPr="004A63AF">
              <w:rPr>
                <w:rFonts w:ascii="Times New Roman" w:hAnsi="Times New Roman" w:cs="Times New Roman"/>
              </w:rPr>
              <w:t>～</w:t>
            </w:r>
            <w:r w:rsidRPr="004A63AF">
              <w:rPr>
                <w:rFonts w:ascii="Times New Roman" w:hAnsi="Times New Roman" w:cs="Times New Roman"/>
              </w:rPr>
              <w:t>85dB</w:t>
            </w:r>
            <w:r w:rsidRPr="004A63AF">
              <w:rPr>
                <w:rFonts w:ascii="Times New Roman" w:hAnsi="Times New Roman" w:cs="Times New Roman"/>
              </w:rPr>
              <w:t>（</w:t>
            </w:r>
            <w:r w:rsidRPr="004A63AF">
              <w:rPr>
                <w:rFonts w:ascii="Times New Roman" w:hAnsi="Times New Roman" w:cs="Times New Roman"/>
              </w:rPr>
              <w:t>A</w:t>
            </w:r>
            <w:r w:rsidRPr="004A63AF">
              <w:rPr>
                <w:rFonts w:ascii="Times New Roman" w:hAnsi="Times New Roman" w:cs="Times New Roman"/>
              </w:rPr>
              <w:t>）</w:t>
            </w:r>
          </w:p>
        </w:tc>
        <w:tc>
          <w:tcPr>
            <w:tcW w:w="2907" w:type="dxa"/>
            <w:vAlign w:val="center"/>
          </w:tcPr>
          <w:p w14:paraId="6EAAD766"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加强车辆保养</w:t>
            </w:r>
          </w:p>
        </w:tc>
      </w:tr>
      <w:tr w:rsidR="003620F8" w:rsidRPr="004A63AF" w14:paraId="4391BB95" w14:textId="77777777" w:rsidTr="00B70053">
        <w:trPr>
          <w:trHeight w:val="262"/>
          <w:jc w:val="center"/>
        </w:trPr>
        <w:tc>
          <w:tcPr>
            <w:tcW w:w="568" w:type="dxa"/>
            <w:vMerge/>
            <w:vAlign w:val="center"/>
          </w:tcPr>
          <w:p w14:paraId="12790787" w14:textId="77777777" w:rsidR="003620F8" w:rsidRPr="004A63AF" w:rsidRDefault="003620F8" w:rsidP="003620F8">
            <w:pPr>
              <w:pStyle w:val="aff"/>
              <w:rPr>
                <w:rFonts w:ascii="Times New Roman" w:hAnsi="Times New Roman" w:cs="Times New Roman"/>
              </w:rPr>
            </w:pPr>
          </w:p>
        </w:tc>
        <w:tc>
          <w:tcPr>
            <w:tcW w:w="963" w:type="dxa"/>
            <w:vAlign w:val="center"/>
          </w:tcPr>
          <w:p w14:paraId="482271F3"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运输</w:t>
            </w:r>
          </w:p>
        </w:tc>
        <w:tc>
          <w:tcPr>
            <w:tcW w:w="1897" w:type="dxa"/>
            <w:gridSpan w:val="2"/>
            <w:vAlign w:val="center"/>
          </w:tcPr>
          <w:p w14:paraId="6C7A620C"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运输噪声</w:t>
            </w:r>
          </w:p>
        </w:tc>
        <w:tc>
          <w:tcPr>
            <w:tcW w:w="1412" w:type="dxa"/>
            <w:vAlign w:val="center"/>
          </w:tcPr>
          <w:p w14:paraId="2E106058"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80</w:t>
            </w:r>
            <w:r w:rsidRPr="004A63AF">
              <w:rPr>
                <w:rFonts w:ascii="Times New Roman" w:hAnsi="Times New Roman" w:cs="Times New Roman"/>
              </w:rPr>
              <w:t>～</w:t>
            </w:r>
            <w:r w:rsidRPr="004A63AF">
              <w:rPr>
                <w:rFonts w:ascii="Times New Roman" w:hAnsi="Times New Roman" w:cs="Times New Roman"/>
              </w:rPr>
              <w:t>90dB</w:t>
            </w:r>
            <w:r w:rsidRPr="004A63AF">
              <w:rPr>
                <w:rFonts w:ascii="Times New Roman" w:hAnsi="Times New Roman" w:cs="Times New Roman"/>
              </w:rPr>
              <w:t>（</w:t>
            </w:r>
            <w:r w:rsidRPr="004A63AF">
              <w:rPr>
                <w:rFonts w:ascii="Times New Roman" w:hAnsi="Times New Roman" w:cs="Times New Roman"/>
              </w:rPr>
              <w:t>A</w:t>
            </w:r>
            <w:r w:rsidRPr="004A63AF">
              <w:rPr>
                <w:rFonts w:ascii="Times New Roman" w:hAnsi="Times New Roman" w:cs="Times New Roman"/>
              </w:rPr>
              <w:t>）</w:t>
            </w:r>
          </w:p>
        </w:tc>
        <w:tc>
          <w:tcPr>
            <w:tcW w:w="1412" w:type="dxa"/>
            <w:vAlign w:val="center"/>
          </w:tcPr>
          <w:p w14:paraId="454CDEB8"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80</w:t>
            </w:r>
            <w:r w:rsidRPr="004A63AF">
              <w:rPr>
                <w:rFonts w:ascii="Times New Roman" w:hAnsi="Times New Roman" w:cs="Times New Roman"/>
              </w:rPr>
              <w:t>～</w:t>
            </w:r>
            <w:r w:rsidRPr="004A63AF">
              <w:rPr>
                <w:rFonts w:ascii="Times New Roman" w:hAnsi="Times New Roman" w:cs="Times New Roman"/>
              </w:rPr>
              <w:t>90dB</w:t>
            </w:r>
            <w:r w:rsidRPr="004A63AF">
              <w:rPr>
                <w:rFonts w:ascii="Times New Roman" w:hAnsi="Times New Roman" w:cs="Times New Roman"/>
              </w:rPr>
              <w:t>（</w:t>
            </w:r>
            <w:r w:rsidRPr="004A63AF">
              <w:rPr>
                <w:rFonts w:ascii="Times New Roman" w:hAnsi="Times New Roman" w:cs="Times New Roman"/>
              </w:rPr>
              <w:t>A</w:t>
            </w:r>
            <w:r w:rsidRPr="004A63AF">
              <w:rPr>
                <w:rFonts w:ascii="Times New Roman" w:hAnsi="Times New Roman" w:cs="Times New Roman"/>
              </w:rPr>
              <w:t>）</w:t>
            </w:r>
          </w:p>
        </w:tc>
        <w:tc>
          <w:tcPr>
            <w:tcW w:w="2907" w:type="dxa"/>
            <w:vAlign w:val="center"/>
          </w:tcPr>
          <w:p w14:paraId="31090F03"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限速、限载、禁鸣</w:t>
            </w:r>
          </w:p>
        </w:tc>
      </w:tr>
      <w:tr w:rsidR="003620F8" w:rsidRPr="004A63AF" w14:paraId="72923076" w14:textId="77777777" w:rsidTr="00B70053">
        <w:trPr>
          <w:trHeight w:val="262"/>
          <w:jc w:val="center"/>
        </w:trPr>
        <w:tc>
          <w:tcPr>
            <w:tcW w:w="568" w:type="dxa"/>
            <w:vMerge w:val="restart"/>
            <w:vAlign w:val="center"/>
          </w:tcPr>
          <w:p w14:paraId="48D626A2"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固体废物</w:t>
            </w:r>
          </w:p>
        </w:tc>
        <w:tc>
          <w:tcPr>
            <w:tcW w:w="963" w:type="dxa"/>
            <w:vAlign w:val="center"/>
          </w:tcPr>
          <w:p w14:paraId="5A94F715"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露天采场</w:t>
            </w:r>
          </w:p>
        </w:tc>
        <w:tc>
          <w:tcPr>
            <w:tcW w:w="1897" w:type="dxa"/>
            <w:gridSpan w:val="2"/>
            <w:vAlign w:val="center"/>
          </w:tcPr>
          <w:p w14:paraId="1FD7BF7E"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剥离表土</w:t>
            </w:r>
          </w:p>
        </w:tc>
        <w:tc>
          <w:tcPr>
            <w:tcW w:w="1412" w:type="dxa"/>
            <w:vAlign w:val="center"/>
          </w:tcPr>
          <w:p w14:paraId="32D9F69A" w14:textId="1E2AC401" w:rsidR="003620F8" w:rsidRPr="004A63AF" w:rsidRDefault="003620F8" w:rsidP="003620F8">
            <w:pPr>
              <w:pStyle w:val="aff"/>
              <w:rPr>
                <w:rFonts w:ascii="Times New Roman" w:hAnsi="Times New Roman" w:cs="Times New Roman"/>
              </w:rPr>
            </w:pPr>
            <w:r>
              <w:rPr>
                <w:rFonts w:ascii="Times New Roman" w:hAnsi="Times New Roman" w:cs="Times New Roman" w:hint="eastAsia"/>
              </w:rPr>
              <w:t>13</w:t>
            </w:r>
            <w:r w:rsidRPr="004A63AF">
              <w:rPr>
                <w:rFonts w:ascii="Times New Roman" w:hAnsi="Times New Roman" w:cs="Times New Roman"/>
              </w:rPr>
              <w:t>000m</w:t>
            </w:r>
            <w:r w:rsidRPr="004A63AF">
              <w:rPr>
                <w:rFonts w:ascii="Times New Roman" w:hAnsi="Times New Roman" w:cs="Times New Roman"/>
                <w:vertAlign w:val="superscript"/>
              </w:rPr>
              <w:t>3</w:t>
            </w:r>
          </w:p>
        </w:tc>
        <w:tc>
          <w:tcPr>
            <w:tcW w:w="1412" w:type="dxa"/>
            <w:vAlign w:val="center"/>
          </w:tcPr>
          <w:p w14:paraId="6ED643C4"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0</w:t>
            </w:r>
          </w:p>
        </w:tc>
        <w:tc>
          <w:tcPr>
            <w:tcW w:w="2907" w:type="dxa"/>
            <w:vAlign w:val="center"/>
          </w:tcPr>
          <w:p w14:paraId="2CF29D88"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在露采坑暂存后由当地村民拉走填垫地基</w:t>
            </w:r>
          </w:p>
        </w:tc>
      </w:tr>
      <w:tr w:rsidR="003620F8" w:rsidRPr="004A63AF" w14:paraId="48C2410E" w14:textId="77777777" w:rsidTr="00B70053">
        <w:trPr>
          <w:trHeight w:val="581"/>
          <w:jc w:val="center"/>
        </w:trPr>
        <w:tc>
          <w:tcPr>
            <w:tcW w:w="568" w:type="dxa"/>
            <w:vMerge/>
            <w:vAlign w:val="center"/>
          </w:tcPr>
          <w:p w14:paraId="6D5A18B3" w14:textId="77777777" w:rsidR="003620F8" w:rsidRPr="004A63AF" w:rsidRDefault="003620F8" w:rsidP="003620F8">
            <w:pPr>
              <w:pStyle w:val="aff"/>
              <w:rPr>
                <w:rFonts w:ascii="Times New Roman" w:hAnsi="Times New Roman" w:cs="Times New Roman"/>
              </w:rPr>
            </w:pPr>
          </w:p>
        </w:tc>
        <w:tc>
          <w:tcPr>
            <w:tcW w:w="963" w:type="dxa"/>
            <w:vAlign w:val="center"/>
          </w:tcPr>
          <w:p w14:paraId="3472725B"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办公生活</w:t>
            </w:r>
          </w:p>
        </w:tc>
        <w:tc>
          <w:tcPr>
            <w:tcW w:w="1897" w:type="dxa"/>
            <w:gridSpan w:val="2"/>
            <w:vAlign w:val="center"/>
          </w:tcPr>
          <w:p w14:paraId="2599D31E"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生活垃圾</w:t>
            </w:r>
          </w:p>
        </w:tc>
        <w:tc>
          <w:tcPr>
            <w:tcW w:w="1412" w:type="dxa"/>
            <w:vAlign w:val="center"/>
          </w:tcPr>
          <w:p w14:paraId="1944F95F"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3.75t/a</w:t>
            </w:r>
          </w:p>
        </w:tc>
        <w:tc>
          <w:tcPr>
            <w:tcW w:w="1412" w:type="dxa"/>
            <w:vAlign w:val="center"/>
          </w:tcPr>
          <w:p w14:paraId="061F7254"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0</w:t>
            </w:r>
          </w:p>
        </w:tc>
        <w:tc>
          <w:tcPr>
            <w:tcW w:w="2907" w:type="dxa"/>
            <w:vAlign w:val="center"/>
          </w:tcPr>
          <w:p w14:paraId="7F71B88F" w14:textId="77777777" w:rsidR="003620F8" w:rsidRPr="004A63AF" w:rsidRDefault="003620F8" w:rsidP="003620F8">
            <w:pPr>
              <w:pStyle w:val="aff"/>
              <w:rPr>
                <w:rFonts w:ascii="Times New Roman" w:hAnsi="Times New Roman" w:cs="Times New Roman"/>
              </w:rPr>
            </w:pPr>
            <w:r w:rsidRPr="004A63AF">
              <w:rPr>
                <w:rFonts w:ascii="Times New Roman" w:hAnsi="Times New Roman" w:cs="Times New Roman"/>
              </w:rPr>
              <w:t>设垃圾桶，收集后运往任店镇垃圾中转站</w:t>
            </w:r>
          </w:p>
        </w:tc>
      </w:tr>
      <w:tr w:rsidR="003620F8" w:rsidRPr="004A63AF" w14:paraId="6C8318DC" w14:textId="77777777" w:rsidTr="00B70053">
        <w:trPr>
          <w:trHeight w:val="581"/>
          <w:jc w:val="center"/>
        </w:trPr>
        <w:tc>
          <w:tcPr>
            <w:tcW w:w="568" w:type="dxa"/>
            <w:vMerge/>
            <w:vAlign w:val="center"/>
          </w:tcPr>
          <w:p w14:paraId="033DFFCF" w14:textId="77777777" w:rsidR="003620F8" w:rsidRPr="004A63AF" w:rsidRDefault="003620F8" w:rsidP="003620F8">
            <w:pPr>
              <w:pStyle w:val="aff"/>
              <w:rPr>
                <w:rFonts w:ascii="Times New Roman" w:hAnsi="Times New Roman" w:cs="Times New Roman"/>
              </w:rPr>
            </w:pPr>
          </w:p>
        </w:tc>
        <w:tc>
          <w:tcPr>
            <w:tcW w:w="963" w:type="dxa"/>
            <w:vAlign w:val="center"/>
          </w:tcPr>
          <w:p w14:paraId="7C8B59E0" w14:textId="66EB230B" w:rsidR="003620F8" w:rsidRPr="004A63AF" w:rsidRDefault="003620F8" w:rsidP="003620F8">
            <w:pPr>
              <w:pStyle w:val="aff"/>
              <w:rPr>
                <w:rFonts w:ascii="Times New Roman" w:hAnsi="Times New Roman" w:cs="Times New Roman"/>
              </w:rPr>
            </w:pPr>
            <w:r>
              <w:rPr>
                <w:rFonts w:ascii="Times New Roman" w:hAnsi="Times New Roman" w:cs="Times New Roman" w:hint="eastAsia"/>
              </w:rPr>
              <w:t>袋式除尘器收集粉尘</w:t>
            </w:r>
          </w:p>
        </w:tc>
        <w:tc>
          <w:tcPr>
            <w:tcW w:w="1897" w:type="dxa"/>
            <w:gridSpan w:val="2"/>
            <w:vAlign w:val="center"/>
          </w:tcPr>
          <w:p w14:paraId="0903D0A1" w14:textId="77C84ABD" w:rsidR="003620F8" w:rsidRPr="00297DDF" w:rsidRDefault="003620F8" w:rsidP="003620F8">
            <w:pPr>
              <w:pStyle w:val="aff"/>
              <w:rPr>
                <w:rFonts w:ascii="Times New Roman" w:hAnsi="Times New Roman" w:cs="Times New Roman"/>
                <w:color w:val="FF0000"/>
              </w:rPr>
            </w:pPr>
            <w:r w:rsidRPr="00193521">
              <w:rPr>
                <w:rFonts w:ascii="Times New Roman" w:hAnsi="Times New Roman" w:cs="Times New Roman" w:hint="eastAsia"/>
              </w:rPr>
              <w:t>粉尘</w:t>
            </w:r>
          </w:p>
        </w:tc>
        <w:tc>
          <w:tcPr>
            <w:tcW w:w="1412" w:type="dxa"/>
            <w:vAlign w:val="center"/>
          </w:tcPr>
          <w:p w14:paraId="72676A68" w14:textId="1126B66F" w:rsidR="003620F8" w:rsidRPr="00297DDF" w:rsidRDefault="003620F8" w:rsidP="003620F8">
            <w:pPr>
              <w:pStyle w:val="aff"/>
              <w:rPr>
                <w:rFonts w:ascii="Times New Roman" w:hAnsi="Times New Roman" w:cs="Times New Roman"/>
                <w:color w:val="FF0000"/>
              </w:rPr>
            </w:pPr>
            <w:r>
              <w:rPr>
                <w:rFonts w:ascii="Times New Roman" w:hAnsi="Times New Roman" w:cs="Times New Roman" w:hint="eastAsia"/>
              </w:rPr>
              <w:t>1.5</w:t>
            </w:r>
            <w:r w:rsidRPr="004A63AF">
              <w:rPr>
                <w:rFonts w:ascii="Times New Roman" w:hAnsi="Times New Roman" w:cs="Times New Roman"/>
              </w:rPr>
              <w:t>t/a</w:t>
            </w:r>
          </w:p>
        </w:tc>
        <w:tc>
          <w:tcPr>
            <w:tcW w:w="1412" w:type="dxa"/>
            <w:vAlign w:val="center"/>
          </w:tcPr>
          <w:p w14:paraId="046A0149" w14:textId="59E82D98" w:rsidR="003620F8" w:rsidRPr="004A63AF" w:rsidRDefault="003620F8" w:rsidP="003620F8">
            <w:pPr>
              <w:pStyle w:val="aff"/>
              <w:rPr>
                <w:rFonts w:ascii="Times New Roman" w:hAnsi="Times New Roman" w:cs="Times New Roman"/>
              </w:rPr>
            </w:pPr>
            <w:r>
              <w:rPr>
                <w:rFonts w:ascii="Times New Roman" w:hAnsi="Times New Roman" w:cs="Times New Roman" w:hint="eastAsia"/>
              </w:rPr>
              <w:t>0</w:t>
            </w:r>
          </w:p>
        </w:tc>
        <w:tc>
          <w:tcPr>
            <w:tcW w:w="2907" w:type="dxa"/>
            <w:vAlign w:val="center"/>
          </w:tcPr>
          <w:p w14:paraId="71BFF767" w14:textId="1F7AC263" w:rsidR="003620F8" w:rsidRPr="004A63AF" w:rsidRDefault="003620F8" w:rsidP="003620F8">
            <w:pPr>
              <w:pStyle w:val="aff"/>
              <w:rPr>
                <w:rFonts w:ascii="Times New Roman" w:hAnsi="Times New Roman" w:cs="Times New Roman"/>
              </w:rPr>
            </w:pPr>
            <w:r>
              <w:rPr>
                <w:rFonts w:ascii="Times New Roman" w:hAnsi="Times New Roman" w:cs="Times New Roman" w:hint="eastAsia"/>
              </w:rPr>
              <w:t>作为产品外售</w:t>
            </w:r>
          </w:p>
        </w:tc>
      </w:tr>
    </w:tbl>
    <w:p w14:paraId="696DD9CB" w14:textId="0C78A377" w:rsidR="00782A4C" w:rsidRPr="00C938AD" w:rsidRDefault="00782A4C" w:rsidP="00782A4C">
      <w:pPr>
        <w:pStyle w:val="3"/>
        <w:ind w:firstLine="560"/>
      </w:pPr>
      <w:r w:rsidRPr="00C938AD">
        <w:rPr>
          <w:rFonts w:hint="eastAsia"/>
        </w:rPr>
        <w:t>3.1.4</w:t>
      </w:r>
      <w:r w:rsidR="00370522" w:rsidRPr="00C938AD">
        <w:rPr>
          <w:rFonts w:hint="eastAsia"/>
        </w:rPr>
        <w:t>资源整合前</w:t>
      </w:r>
      <w:r w:rsidRPr="00C938AD">
        <w:rPr>
          <w:rFonts w:hint="eastAsia"/>
        </w:rPr>
        <w:t>矿区目前开采存在问题及整改措施</w:t>
      </w:r>
    </w:p>
    <w:p w14:paraId="2A7CA23C" w14:textId="77777777" w:rsidR="0000008B" w:rsidRDefault="00782A4C" w:rsidP="0000008B">
      <w:pPr>
        <w:pStyle w:val="Af8"/>
      </w:pPr>
      <w:r w:rsidRPr="00C938AD">
        <w:rPr>
          <w:rFonts w:hint="eastAsia"/>
        </w:rPr>
        <w:t>3.1.4.1</w:t>
      </w:r>
      <w:r w:rsidR="0000008B">
        <w:rPr>
          <w:rFonts w:hint="eastAsia"/>
        </w:rPr>
        <w:t>矿山原有</w:t>
      </w:r>
      <w:r w:rsidR="0000008B">
        <w:t>主要环境问题</w:t>
      </w:r>
    </w:p>
    <w:p w14:paraId="0A68A8DF" w14:textId="22254192" w:rsidR="0000008B" w:rsidRDefault="0000008B" w:rsidP="0000008B">
      <w:pPr>
        <w:spacing w:line="480" w:lineRule="exact"/>
        <w:rPr>
          <w:rFonts w:cs="Times New Roman"/>
          <w:szCs w:val="24"/>
        </w:rPr>
      </w:pPr>
      <w:r w:rsidRPr="0000008B">
        <w:rPr>
          <w:rFonts w:cs="Times New Roman" w:hint="eastAsia"/>
          <w:szCs w:val="24"/>
        </w:rPr>
        <w:t>现有</w:t>
      </w:r>
      <w:proofErr w:type="gramStart"/>
      <w:r w:rsidRPr="0000008B">
        <w:rPr>
          <w:rFonts w:cs="Times New Roman" w:hint="eastAsia"/>
          <w:szCs w:val="24"/>
        </w:rPr>
        <w:t>工程驻</w:t>
      </w:r>
      <w:proofErr w:type="gramEnd"/>
      <w:r w:rsidRPr="0000008B">
        <w:rPr>
          <w:rFonts w:cs="Times New Roman" w:hint="eastAsia"/>
          <w:szCs w:val="24"/>
        </w:rPr>
        <w:t>马店市</w:t>
      </w:r>
      <w:proofErr w:type="gramStart"/>
      <w:r w:rsidRPr="0000008B">
        <w:rPr>
          <w:rFonts w:cs="Times New Roman" w:hint="eastAsia"/>
          <w:szCs w:val="24"/>
        </w:rPr>
        <w:t>驿</w:t>
      </w:r>
      <w:proofErr w:type="gramEnd"/>
      <w:r w:rsidRPr="0000008B">
        <w:rPr>
          <w:rFonts w:cs="Times New Roman" w:hint="eastAsia"/>
          <w:szCs w:val="24"/>
        </w:rPr>
        <w:t>城区丰鑫矿业有限公司</w:t>
      </w:r>
      <w:r>
        <w:rPr>
          <w:rFonts w:cs="Times New Roman" w:hint="eastAsia"/>
          <w:szCs w:val="24"/>
        </w:rPr>
        <w:t>和</w:t>
      </w:r>
      <w:r w:rsidRPr="0000008B">
        <w:rPr>
          <w:rFonts w:cs="Times New Roman" w:hint="eastAsia"/>
          <w:szCs w:val="24"/>
        </w:rPr>
        <w:t>驻马店市</w:t>
      </w:r>
      <w:proofErr w:type="gramStart"/>
      <w:r w:rsidRPr="0000008B">
        <w:rPr>
          <w:rFonts w:cs="Times New Roman" w:hint="eastAsia"/>
          <w:szCs w:val="24"/>
        </w:rPr>
        <w:t>驿</w:t>
      </w:r>
      <w:proofErr w:type="gramEnd"/>
      <w:r w:rsidRPr="0000008B">
        <w:rPr>
          <w:rFonts w:cs="Times New Roman" w:hint="eastAsia"/>
          <w:szCs w:val="24"/>
        </w:rPr>
        <w:t>城区宏运石料厂</w:t>
      </w:r>
      <w:r>
        <w:rPr>
          <w:rFonts w:cs="Times New Roman" w:hint="eastAsia"/>
          <w:szCs w:val="24"/>
        </w:rPr>
        <w:t>，自开采以来已形成大小不一的凹型采坑，</w:t>
      </w:r>
      <w:proofErr w:type="gramStart"/>
      <w:r>
        <w:rPr>
          <w:rFonts w:cs="Times New Roman" w:hint="eastAsia"/>
          <w:szCs w:val="24"/>
        </w:rPr>
        <w:t>整合区</w:t>
      </w:r>
      <w:proofErr w:type="gramEnd"/>
      <w:r>
        <w:rPr>
          <w:rFonts w:cs="Times New Roman" w:hint="eastAsia"/>
          <w:szCs w:val="24"/>
        </w:rPr>
        <w:t>范围已经形成多个大小不一的露天采场，矿山有部分废石随意堆放，压占、破坏地表植被，存在扬尘及生态破坏。</w:t>
      </w:r>
    </w:p>
    <w:p w14:paraId="6C233B04" w14:textId="4429F1BF" w:rsidR="0000008B" w:rsidRDefault="0000008B" w:rsidP="00297DDF">
      <w:pPr>
        <w:spacing w:line="520" w:lineRule="exact"/>
        <w:ind w:firstLineChars="500" w:firstLine="1200"/>
        <w:rPr>
          <w:rFonts w:eastAsia="黑体"/>
        </w:rPr>
      </w:pPr>
      <w:r>
        <w:rPr>
          <w:rFonts w:eastAsia="黑体" w:hAnsi="黑体"/>
        </w:rPr>
        <w:t>表</w:t>
      </w:r>
      <w:r>
        <w:rPr>
          <w:rFonts w:eastAsia="黑体" w:hint="eastAsia"/>
        </w:rPr>
        <w:t>3</w:t>
      </w:r>
      <w:r>
        <w:rPr>
          <w:rFonts w:eastAsia="黑体"/>
        </w:rPr>
        <w:t>.</w:t>
      </w:r>
      <w:r w:rsidR="00297DDF">
        <w:rPr>
          <w:rFonts w:eastAsia="黑体" w:hint="eastAsia"/>
        </w:rPr>
        <w:t>1-</w:t>
      </w:r>
      <w:r w:rsidR="00BD1C8B">
        <w:rPr>
          <w:rFonts w:eastAsia="黑体" w:hint="eastAsia"/>
        </w:rPr>
        <w:t>12</w:t>
      </w:r>
      <w:r>
        <w:rPr>
          <w:rFonts w:eastAsia="黑体" w:hAnsi="黑体"/>
        </w:rPr>
        <w:t>矿区原有工程遗留环境问题及整改措施一览表</w:t>
      </w: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3403"/>
        <w:gridCol w:w="3772"/>
      </w:tblGrid>
      <w:tr w:rsidR="0000008B" w14:paraId="6BC988DA" w14:textId="77777777" w:rsidTr="0000008B">
        <w:trPr>
          <w:jc w:val="center"/>
        </w:trPr>
        <w:tc>
          <w:tcPr>
            <w:tcW w:w="1565" w:type="dxa"/>
            <w:tcMar>
              <w:top w:w="57" w:type="dxa"/>
              <w:bottom w:w="57" w:type="dxa"/>
            </w:tcMar>
            <w:vAlign w:val="center"/>
          </w:tcPr>
          <w:p w14:paraId="1E9BF7A6" w14:textId="77777777" w:rsidR="0000008B" w:rsidRDefault="0000008B" w:rsidP="00297DDF">
            <w:pPr>
              <w:pStyle w:val="aff"/>
            </w:pPr>
            <w:r>
              <w:t>位置</w:t>
            </w:r>
          </w:p>
        </w:tc>
        <w:tc>
          <w:tcPr>
            <w:tcW w:w="3403" w:type="dxa"/>
            <w:tcMar>
              <w:top w:w="57" w:type="dxa"/>
              <w:bottom w:w="57" w:type="dxa"/>
            </w:tcMar>
            <w:vAlign w:val="center"/>
          </w:tcPr>
          <w:p w14:paraId="6078640F" w14:textId="77777777" w:rsidR="0000008B" w:rsidRDefault="0000008B" w:rsidP="00297DDF">
            <w:pPr>
              <w:pStyle w:val="aff"/>
            </w:pPr>
            <w:r>
              <w:t>现有及遗留环境问题</w:t>
            </w:r>
          </w:p>
        </w:tc>
        <w:tc>
          <w:tcPr>
            <w:tcW w:w="3772" w:type="dxa"/>
            <w:tcMar>
              <w:top w:w="57" w:type="dxa"/>
              <w:bottom w:w="57" w:type="dxa"/>
            </w:tcMar>
            <w:vAlign w:val="center"/>
          </w:tcPr>
          <w:p w14:paraId="05A37B9A" w14:textId="77777777" w:rsidR="0000008B" w:rsidRDefault="0000008B" w:rsidP="00297DDF">
            <w:pPr>
              <w:pStyle w:val="aff"/>
            </w:pPr>
            <w:r>
              <w:t>评价建议整改措施</w:t>
            </w:r>
          </w:p>
        </w:tc>
      </w:tr>
      <w:tr w:rsidR="0000008B" w14:paraId="308265A5" w14:textId="77777777" w:rsidTr="0000008B">
        <w:trPr>
          <w:jc w:val="center"/>
        </w:trPr>
        <w:tc>
          <w:tcPr>
            <w:tcW w:w="1565" w:type="dxa"/>
            <w:tcMar>
              <w:top w:w="57" w:type="dxa"/>
              <w:bottom w:w="57" w:type="dxa"/>
            </w:tcMar>
            <w:vAlign w:val="center"/>
          </w:tcPr>
          <w:p w14:paraId="2D93FF18" w14:textId="77777777" w:rsidR="0000008B" w:rsidRDefault="0000008B" w:rsidP="00297DDF">
            <w:pPr>
              <w:pStyle w:val="aff"/>
            </w:pPr>
            <w:r>
              <w:rPr>
                <w:rFonts w:hint="eastAsia"/>
              </w:rPr>
              <w:t>露采区</w:t>
            </w:r>
          </w:p>
        </w:tc>
        <w:tc>
          <w:tcPr>
            <w:tcW w:w="3403" w:type="dxa"/>
            <w:tcMar>
              <w:top w:w="57" w:type="dxa"/>
              <w:bottom w:w="57" w:type="dxa"/>
            </w:tcMar>
            <w:vAlign w:val="center"/>
          </w:tcPr>
          <w:p w14:paraId="21AE04C7" w14:textId="77777777" w:rsidR="0000008B" w:rsidRDefault="0000008B" w:rsidP="00297DDF">
            <w:pPr>
              <w:pStyle w:val="aff"/>
            </w:pPr>
            <w:r>
              <w:rPr>
                <w:rFonts w:hint="eastAsia"/>
              </w:rPr>
              <w:t>遗留采区开采台阶</w:t>
            </w:r>
            <w:proofErr w:type="gramStart"/>
            <w:r>
              <w:rPr>
                <w:rFonts w:hint="eastAsia"/>
              </w:rPr>
              <w:t>截</w:t>
            </w:r>
            <w:proofErr w:type="gramEnd"/>
            <w:r>
              <w:rPr>
                <w:rFonts w:hint="eastAsia"/>
              </w:rPr>
              <w:t>排水沟简易，采坑内集水</w:t>
            </w:r>
          </w:p>
        </w:tc>
        <w:tc>
          <w:tcPr>
            <w:tcW w:w="3772" w:type="dxa"/>
            <w:tcMar>
              <w:top w:w="57" w:type="dxa"/>
              <w:bottom w:w="57" w:type="dxa"/>
            </w:tcMar>
            <w:vAlign w:val="center"/>
          </w:tcPr>
          <w:p w14:paraId="2BF9FD97" w14:textId="77777777" w:rsidR="0000008B" w:rsidRDefault="0000008B" w:rsidP="00297DDF">
            <w:pPr>
              <w:pStyle w:val="aff"/>
            </w:pPr>
            <w:r>
              <w:rPr>
                <w:rFonts w:hint="eastAsia"/>
              </w:rPr>
              <w:t>在开采台阶设置</w:t>
            </w:r>
            <w:proofErr w:type="gramStart"/>
            <w:r>
              <w:rPr>
                <w:rFonts w:hint="eastAsia"/>
              </w:rPr>
              <w:t>截</w:t>
            </w:r>
            <w:proofErr w:type="gramEnd"/>
            <w:r>
              <w:rPr>
                <w:rFonts w:hint="eastAsia"/>
              </w:rPr>
              <w:t>排水沟，临时排土场及道路两侧设施界排水沟。</w:t>
            </w:r>
          </w:p>
        </w:tc>
      </w:tr>
      <w:tr w:rsidR="0000008B" w14:paraId="0A8A4638" w14:textId="77777777" w:rsidTr="0000008B">
        <w:trPr>
          <w:jc w:val="center"/>
        </w:trPr>
        <w:tc>
          <w:tcPr>
            <w:tcW w:w="1565" w:type="dxa"/>
            <w:tcMar>
              <w:top w:w="57" w:type="dxa"/>
              <w:bottom w:w="57" w:type="dxa"/>
            </w:tcMar>
            <w:vAlign w:val="center"/>
          </w:tcPr>
          <w:p w14:paraId="56A7C45D" w14:textId="77777777" w:rsidR="0000008B" w:rsidRDefault="0000008B" w:rsidP="00297DDF">
            <w:pPr>
              <w:pStyle w:val="aff"/>
            </w:pPr>
            <w:r>
              <w:rPr>
                <w:rFonts w:hint="eastAsia"/>
              </w:rPr>
              <w:t>运输道路</w:t>
            </w:r>
          </w:p>
        </w:tc>
        <w:tc>
          <w:tcPr>
            <w:tcW w:w="3403" w:type="dxa"/>
            <w:tcMar>
              <w:top w:w="57" w:type="dxa"/>
              <w:bottom w:w="57" w:type="dxa"/>
            </w:tcMar>
            <w:vAlign w:val="center"/>
          </w:tcPr>
          <w:p w14:paraId="7D24F647" w14:textId="77777777" w:rsidR="0000008B" w:rsidRDefault="0000008B" w:rsidP="00297DDF">
            <w:pPr>
              <w:pStyle w:val="aff"/>
            </w:pPr>
            <w:r>
              <w:rPr>
                <w:rFonts w:hint="eastAsia"/>
              </w:rPr>
              <w:t>应该设置洒水降尘设施</w:t>
            </w:r>
          </w:p>
        </w:tc>
        <w:tc>
          <w:tcPr>
            <w:tcW w:w="3772" w:type="dxa"/>
            <w:tcMar>
              <w:top w:w="57" w:type="dxa"/>
              <w:bottom w:w="57" w:type="dxa"/>
            </w:tcMar>
            <w:vAlign w:val="center"/>
          </w:tcPr>
          <w:p w14:paraId="0E090179" w14:textId="77777777" w:rsidR="0000008B" w:rsidRDefault="0000008B" w:rsidP="00297DDF">
            <w:pPr>
              <w:pStyle w:val="aff"/>
            </w:pPr>
            <w:r>
              <w:rPr>
                <w:rFonts w:hint="eastAsia"/>
              </w:rPr>
              <w:t>应按照要求设置洒水降尘设施</w:t>
            </w:r>
          </w:p>
        </w:tc>
      </w:tr>
    </w:tbl>
    <w:p w14:paraId="518131EE" w14:textId="263B77CC" w:rsidR="00782A4C" w:rsidRPr="00C938AD" w:rsidRDefault="00782A4C" w:rsidP="00782A4C">
      <w:pPr>
        <w:pStyle w:val="Af8"/>
      </w:pPr>
      <w:r w:rsidRPr="00C938AD">
        <w:rPr>
          <w:rFonts w:hint="eastAsia"/>
        </w:rPr>
        <w:t>3.1.4.2</w:t>
      </w:r>
      <w:r w:rsidRPr="00C938AD">
        <w:rPr>
          <w:rFonts w:hint="eastAsia"/>
        </w:rPr>
        <w:t>存在环境问题及整改措施</w:t>
      </w:r>
    </w:p>
    <w:p w14:paraId="64655379" w14:textId="7A85C262" w:rsidR="00782A4C" w:rsidRPr="00C938AD" w:rsidRDefault="00782A4C" w:rsidP="00782A4C">
      <w:pPr>
        <w:pStyle w:val="Af8"/>
      </w:pPr>
      <w:r w:rsidRPr="00C938AD">
        <w:rPr>
          <w:rFonts w:hint="eastAsia"/>
        </w:rPr>
        <w:t>根据调查，矿区及周边存在的环保问题主要为原有开采及取土造成的地表裸露问题。</w:t>
      </w:r>
      <w:r w:rsidRPr="00C938AD">
        <w:t>现有环境问题及整治措施详见表</w:t>
      </w:r>
      <w:r w:rsidRPr="00C938AD">
        <w:t>3</w:t>
      </w:r>
      <w:r w:rsidRPr="00C938AD">
        <w:rPr>
          <w:rFonts w:hint="eastAsia"/>
        </w:rPr>
        <w:t>.</w:t>
      </w:r>
      <w:r w:rsidR="00A049D1" w:rsidRPr="00C938AD">
        <w:rPr>
          <w:rFonts w:hint="eastAsia"/>
        </w:rPr>
        <w:t>1</w:t>
      </w:r>
      <w:r w:rsidRPr="00C938AD">
        <w:t>-</w:t>
      </w:r>
      <w:r w:rsidR="00BD1C8B">
        <w:rPr>
          <w:rFonts w:hint="eastAsia"/>
        </w:rPr>
        <w:t>13</w:t>
      </w:r>
      <w:r w:rsidRPr="00C938AD">
        <w:t>。建设单位承诺项目建设期对现有环境问题进行整改，减缓生态破坏。</w:t>
      </w:r>
    </w:p>
    <w:p w14:paraId="1E4024E5" w14:textId="12565A3F" w:rsidR="00782A4C" w:rsidRPr="00C938AD" w:rsidRDefault="00782A4C" w:rsidP="002E51A7">
      <w:pPr>
        <w:spacing w:line="480" w:lineRule="exact"/>
        <w:jc w:val="center"/>
        <w:rPr>
          <w:rFonts w:eastAsia="黑体"/>
        </w:rPr>
      </w:pPr>
      <w:r w:rsidRPr="00C938AD">
        <w:rPr>
          <w:rFonts w:eastAsia="黑体"/>
          <w:kern w:val="0"/>
        </w:rPr>
        <w:t>表</w:t>
      </w:r>
      <w:r w:rsidRPr="00C938AD">
        <w:rPr>
          <w:rFonts w:eastAsia="黑体"/>
          <w:kern w:val="0"/>
        </w:rPr>
        <w:t>3</w:t>
      </w:r>
      <w:r w:rsidRPr="00C938AD">
        <w:rPr>
          <w:rFonts w:eastAsia="黑体" w:hint="eastAsia"/>
          <w:kern w:val="0"/>
        </w:rPr>
        <w:t>.1</w:t>
      </w:r>
      <w:r w:rsidRPr="00C938AD">
        <w:rPr>
          <w:rFonts w:eastAsia="黑体"/>
          <w:kern w:val="0"/>
        </w:rPr>
        <w:t>-</w:t>
      </w:r>
      <w:r w:rsidR="00BD1C8B">
        <w:rPr>
          <w:rFonts w:eastAsia="黑体" w:hint="eastAsia"/>
          <w:kern w:val="0"/>
        </w:rPr>
        <w:t>13</w:t>
      </w:r>
      <w:r w:rsidR="00A21D5F" w:rsidRPr="00B94DD9">
        <w:rPr>
          <w:rFonts w:eastAsia="黑体" w:hint="eastAsia"/>
          <w:kern w:val="0"/>
        </w:rPr>
        <w:t>资源整合</w:t>
      </w:r>
      <w:proofErr w:type="gramStart"/>
      <w:r w:rsidR="00A21D5F" w:rsidRPr="00B94DD9">
        <w:rPr>
          <w:rFonts w:eastAsia="黑体" w:hint="eastAsia"/>
          <w:kern w:val="0"/>
        </w:rPr>
        <w:t>前现有</w:t>
      </w:r>
      <w:proofErr w:type="gramEnd"/>
      <w:r w:rsidR="00A21D5F" w:rsidRPr="00B94DD9">
        <w:rPr>
          <w:rFonts w:eastAsia="黑体" w:hint="eastAsia"/>
          <w:kern w:val="0"/>
        </w:rPr>
        <w:t>工程</w:t>
      </w:r>
      <w:r w:rsidRPr="00B94DD9">
        <w:rPr>
          <w:rFonts w:eastAsia="黑体"/>
        </w:rPr>
        <w:t>遗</w:t>
      </w:r>
      <w:r w:rsidRPr="00C938AD">
        <w:rPr>
          <w:rFonts w:eastAsia="黑体"/>
        </w:rPr>
        <w:t>留环境问题及整改措施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48"/>
        <w:gridCol w:w="1374"/>
        <w:gridCol w:w="2721"/>
        <w:gridCol w:w="1149"/>
        <w:gridCol w:w="2628"/>
      </w:tblGrid>
      <w:tr w:rsidR="004A63AF" w:rsidRPr="00C938AD" w14:paraId="56214D3E" w14:textId="77777777" w:rsidTr="00BD1C8B">
        <w:trPr>
          <w:trHeight w:val="280"/>
          <w:jc w:val="center"/>
        </w:trPr>
        <w:tc>
          <w:tcPr>
            <w:tcW w:w="486" w:type="pct"/>
          </w:tcPr>
          <w:p w14:paraId="6738341F" w14:textId="45CBB02C" w:rsidR="004A63AF" w:rsidRPr="00C938AD" w:rsidRDefault="004A63AF" w:rsidP="00B70720">
            <w:pPr>
              <w:pStyle w:val="aff"/>
              <w:rPr>
                <w:rFonts w:ascii="Times New Roman" w:hAnsi="Times New Roman" w:cs="Times New Roman"/>
              </w:rPr>
            </w:pPr>
            <w:r>
              <w:rPr>
                <w:rFonts w:ascii="Times New Roman" w:hAnsi="Times New Roman" w:cs="Times New Roman" w:hint="eastAsia"/>
              </w:rPr>
              <w:t>名称</w:t>
            </w:r>
          </w:p>
        </w:tc>
        <w:tc>
          <w:tcPr>
            <w:tcW w:w="788" w:type="pct"/>
            <w:vAlign w:val="center"/>
          </w:tcPr>
          <w:p w14:paraId="1DD43A2A" w14:textId="15B1F607" w:rsidR="004A63AF" w:rsidRPr="00C938AD" w:rsidRDefault="004A63AF" w:rsidP="00B70720">
            <w:pPr>
              <w:pStyle w:val="aff"/>
              <w:rPr>
                <w:rFonts w:ascii="Times New Roman" w:hAnsi="Times New Roman" w:cs="Times New Roman"/>
              </w:rPr>
            </w:pPr>
            <w:r w:rsidRPr="00C938AD">
              <w:rPr>
                <w:rFonts w:ascii="Times New Roman" w:hAnsi="Times New Roman" w:cs="Times New Roman"/>
              </w:rPr>
              <w:t>位置</w:t>
            </w:r>
          </w:p>
        </w:tc>
        <w:tc>
          <w:tcPr>
            <w:tcW w:w="1560" w:type="pct"/>
            <w:vAlign w:val="center"/>
          </w:tcPr>
          <w:p w14:paraId="71C80FFB" w14:textId="77777777" w:rsidR="004A63AF" w:rsidRPr="00C938AD" w:rsidRDefault="004A63AF" w:rsidP="00B70720">
            <w:pPr>
              <w:pStyle w:val="aff"/>
              <w:rPr>
                <w:rFonts w:ascii="Times New Roman" w:hAnsi="Times New Roman" w:cs="Times New Roman"/>
              </w:rPr>
            </w:pPr>
            <w:r w:rsidRPr="00C938AD">
              <w:rPr>
                <w:rFonts w:ascii="Times New Roman" w:hAnsi="Times New Roman" w:cs="Times New Roman"/>
              </w:rPr>
              <w:t>主要问题</w:t>
            </w:r>
          </w:p>
        </w:tc>
        <w:tc>
          <w:tcPr>
            <w:tcW w:w="659" w:type="pct"/>
            <w:vAlign w:val="center"/>
          </w:tcPr>
          <w:p w14:paraId="231A0F44" w14:textId="73418F05" w:rsidR="004A63AF" w:rsidRPr="00C938AD" w:rsidRDefault="004A63AF" w:rsidP="00B70720">
            <w:pPr>
              <w:pStyle w:val="aff"/>
              <w:rPr>
                <w:rFonts w:ascii="Times New Roman" w:hAnsi="Times New Roman" w:cs="Times New Roman"/>
              </w:rPr>
            </w:pPr>
            <w:r w:rsidRPr="00C938AD">
              <w:rPr>
                <w:rFonts w:ascii="Times New Roman" w:hAnsi="Times New Roman" w:cs="Times New Roman"/>
              </w:rPr>
              <w:t>破坏植被</w:t>
            </w:r>
          </w:p>
        </w:tc>
        <w:tc>
          <w:tcPr>
            <w:tcW w:w="1507" w:type="pct"/>
            <w:shd w:val="clear" w:color="auto" w:fill="auto"/>
            <w:vAlign w:val="center"/>
          </w:tcPr>
          <w:p w14:paraId="39C85994" w14:textId="77777777" w:rsidR="004A63AF" w:rsidRPr="00C938AD" w:rsidRDefault="004A63AF" w:rsidP="00B70720">
            <w:pPr>
              <w:pStyle w:val="aff"/>
              <w:rPr>
                <w:rFonts w:ascii="Times New Roman" w:hAnsi="Times New Roman" w:cs="Times New Roman"/>
              </w:rPr>
            </w:pPr>
            <w:r w:rsidRPr="00C938AD">
              <w:rPr>
                <w:rFonts w:ascii="Times New Roman" w:hAnsi="Times New Roman" w:cs="Times New Roman"/>
              </w:rPr>
              <w:t>整改措施</w:t>
            </w:r>
          </w:p>
        </w:tc>
      </w:tr>
      <w:tr w:rsidR="004A63AF" w:rsidRPr="00C938AD" w14:paraId="6CB6F0AE" w14:textId="77777777" w:rsidTr="00BD1C8B">
        <w:trPr>
          <w:trHeight w:val="1183"/>
          <w:jc w:val="center"/>
        </w:trPr>
        <w:tc>
          <w:tcPr>
            <w:tcW w:w="486" w:type="pct"/>
            <w:vMerge w:val="restart"/>
          </w:tcPr>
          <w:p w14:paraId="4E37EDDB" w14:textId="77777777" w:rsidR="004A63AF" w:rsidRDefault="004A63AF" w:rsidP="00B70720">
            <w:pPr>
              <w:pStyle w:val="aff"/>
              <w:rPr>
                <w:rFonts w:ascii="Times New Roman" w:hAnsi="Times New Roman" w:cs="Times New Roman"/>
              </w:rPr>
            </w:pPr>
          </w:p>
          <w:p w14:paraId="49AF4673" w14:textId="77777777" w:rsidR="004A63AF" w:rsidRDefault="004A63AF" w:rsidP="00B70720">
            <w:pPr>
              <w:pStyle w:val="aff"/>
              <w:rPr>
                <w:rFonts w:ascii="Times New Roman" w:hAnsi="Times New Roman" w:cs="Times New Roman"/>
              </w:rPr>
            </w:pPr>
          </w:p>
          <w:p w14:paraId="60ECD58B" w14:textId="52ACC931" w:rsidR="004A63AF" w:rsidRPr="00C938AD" w:rsidRDefault="004A63AF" w:rsidP="00B70720">
            <w:pPr>
              <w:pStyle w:val="aff"/>
              <w:rPr>
                <w:rFonts w:ascii="Times New Roman" w:hAnsi="Times New Roman" w:cs="Times New Roman"/>
              </w:rPr>
            </w:pPr>
            <w:bookmarkStart w:id="78" w:name="_Hlk33184039"/>
            <w:r w:rsidRPr="004A63AF">
              <w:rPr>
                <w:rFonts w:ascii="Times New Roman" w:hAnsi="Times New Roman" w:cs="Times New Roman" w:hint="eastAsia"/>
              </w:rPr>
              <w:t>驻马店市</w:t>
            </w:r>
            <w:proofErr w:type="gramStart"/>
            <w:r w:rsidRPr="004A63AF">
              <w:rPr>
                <w:rFonts w:ascii="Times New Roman" w:hAnsi="Times New Roman" w:cs="Times New Roman" w:hint="eastAsia"/>
              </w:rPr>
              <w:t>驿</w:t>
            </w:r>
            <w:proofErr w:type="gramEnd"/>
            <w:r w:rsidRPr="004A63AF">
              <w:rPr>
                <w:rFonts w:ascii="Times New Roman" w:hAnsi="Times New Roman" w:cs="Times New Roman" w:hint="eastAsia"/>
              </w:rPr>
              <w:t>城区丰鑫矿业有限公司</w:t>
            </w:r>
            <w:bookmarkEnd w:id="78"/>
          </w:p>
        </w:tc>
        <w:tc>
          <w:tcPr>
            <w:tcW w:w="788" w:type="pct"/>
            <w:shd w:val="clear" w:color="auto" w:fill="auto"/>
            <w:vAlign w:val="center"/>
          </w:tcPr>
          <w:p w14:paraId="569D327E" w14:textId="15D0EEDE" w:rsidR="004A63AF" w:rsidRPr="00C938AD" w:rsidRDefault="004A63AF" w:rsidP="00B70720">
            <w:pPr>
              <w:pStyle w:val="aff"/>
              <w:rPr>
                <w:rFonts w:ascii="Times New Roman" w:hAnsi="Times New Roman" w:cs="Times New Roman"/>
              </w:rPr>
            </w:pPr>
            <w:r w:rsidRPr="00C938AD">
              <w:rPr>
                <w:rFonts w:ascii="Times New Roman" w:hAnsi="Times New Roman" w:cs="Times New Roman"/>
              </w:rPr>
              <w:t>矿区</w:t>
            </w:r>
          </w:p>
        </w:tc>
        <w:tc>
          <w:tcPr>
            <w:tcW w:w="1560" w:type="pct"/>
            <w:vAlign w:val="center"/>
          </w:tcPr>
          <w:p w14:paraId="67A6E5FC" w14:textId="1A755A38" w:rsidR="004A63AF" w:rsidRPr="00831B22" w:rsidRDefault="004A63AF" w:rsidP="00B70720">
            <w:pPr>
              <w:pStyle w:val="aff"/>
              <w:rPr>
                <w:rFonts w:ascii="Times New Roman" w:hAnsi="Times New Roman" w:cs="Times New Roman"/>
              </w:rPr>
            </w:pPr>
            <w:r w:rsidRPr="000E578D">
              <w:rPr>
                <w:rFonts w:ascii="Times New Roman" w:hAnsi="Times New Roman" w:cs="Times New Roman"/>
              </w:rPr>
              <w:t>现有工程开采形成露采场，总面积</w:t>
            </w:r>
            <w:r w:rsidR="00831B22">
              <w:rPr>
                <w:rFonts w:ascii="Times New Roman" w:hAnsi="Times New Roman" w:cs="Times New Roman" w:hint="eastAsia"/>
              </w:rPr>
              <w:t>，矿区内面积</w:t>
            </w:r>
            <w:r w:rsidR="00831B22">
              <w:rPr>
                <w:rFonts w:ascii="Times New Roman" w:hAnsi="Times New Roman" w:cs="Times New Roman" w:hint="eastAsia"/>
              </w:rPr>
              <w:t>174298</w:t>
            </w:r>
            <w:r w:rsidR="00831B22" w:rsidRPr="000E578D">
              <w:rPr>
                <w:rFonts w:ascii="Times New Roman" w:hAnsi="Times New Roman" w:cs="Times New Roman"/>
              </w:rPr>
              <w:t xml:space="preserve"> m</w:t>
            </w:r>
            <w:r w:rsidR="00831B22" w:rsidRPr="000E578D">
              <w:rPr>
                <w:rFonts w:ascii="Times New Roman" w:hAnsi="Times New Roman" w:cs="Times New Roman"/>
                <w:vertAlign w:val="superscript"/>
              </w:rPr>
              <w:t>2</w:t>
            </w:r>
            <w:r w:rsidR="00831B22">
              <w:rPr>
                <w:rFonts w:ascii="Times New Roman" w:hAnsi="Times New Roman" w:cs="Times New Roman" w:hint="eastAsia"/>
              </w:rPr>
              <w:t>，矿区</w:t>
            </w:r>
            <w:proofErr w:type="gramStart"/>
            <w:r w:rsidR="00831B22">
              <w:rPr>
                <w:rFonts w:ascii="Times New Roman" w:hAnsi="Times New Roman" w:cs="Times New Roman" w:hint="eastAsia"/>
              </w:rPr>
              <w:t>外面积</w:t>
            </w:r>
            <w:proofErr w:type="gramEnd"/>
            <w:r w:rsidR="00831B22">
              <w:rPr>
                <w:rFonts w:ascii="Times New Roman" w:hAnsi="Times New Roman" w:cs="Times New Roman" w:hint="eastAsia"/>
              </w:rPr>
              <w:t>14902</w:t>
            </w:r>
            <w:r w:rsidR="00831B22" w:rsidRPr="000E578D">
              <w:rPr>
                <w:rFonts w:ascii="Times New Roman" w:hAnsi="Times New Roman" w:cs="Times New Roman"/>
              </w:rPr>
              <w:t xml:space="preserve"> m</w:t>
            </w:r>
            <w:r w:rsidR="00831B22" w:rsidRPr="000E578D">
              <w:rPr>
                <w:rFonts w:ascii="Times New Roman" w:hAnsi="Times New Roman" w:cs="Times New Roman"/>
                <w:vertAlign w:val="superscript"/>
              </w:rPr>
              <w:t>2</w:t>
            </w:r>
          </w:p>
        </w:tc>
        <w:tc>
          <w:tcPr>
            <w:tcW w:w="659" w:type="pct"/>
            <w:vAlign w:val="center"/>
          </w:tcPr>
          <w:p w14:paraId="08D1E910" w14:textId="3E9F93A3" w:rsidR="004A63AF" w:rsidRPr="000E578D" w:rsidRDefault="004A63AF" w:rsidP="00B70720">
            <w:pPr>
              <w:pStyle w:val="aff"/>
              <w:rPr>
                <w:rFonts w:ascii="Times New Roman" w:hAnsi="Times New Roman" w:cs="Times New Roman"/>
              </w:rPr>
            </w:pPr>
            <w:r w:rsidRPr="000E578D">
              <w:rPr>
                <w:rFonts w:ascii="Times New Roman" w:hAnsi="Times New Roman" w:cs="Times New Roman"/>
              </w:rPr>
              <w:t>林地</w:t>
            </w:r>
            <w:r w:rsidR="00AA5145" w:rsidRPr="000E578D">
              <w:rPr>
                <w:rFonts w:ascii="Times New Roman" w:hAnsi="Times New Roman" w:cs="Times New Roman" w:hint="eastAsia"/>
              </w:rPr>
              <w:t>18920</w:t>
            </w:r>
            <w:r w:rsidRPr="000E578D">
              <w:rPr>
                <w:rFonts w:ascii="Times New Roman" w:hAnsi="Times New Roman" w:cs="Times New Roman"/>
              </w:rPr>
              <w:t>0m</w:t>
            </w:r>
            <w:r w:rsidRPr="000E578D">
              <w:rPr>
                <w:rFonts w:ascii="Times New Roman" w:hAnsi="Times New Roman" w:cs="Times New Roman"/>
                <w:vertAlign w:val="superscript"/>
              </w:rPr>
              <w:t>2</w:t>
            </w:r>
          </w:p>
        </w:tc>
        <w:tc>
          <w:tcPr>
            <w:tcW w:w="1507" w:type="pct"/>
            <w:shd w:val="clear" w:color="auto" w:fill="auto"/>
            <w:vAlign w:val="center"/>
          </w:tcPr>
          <w:p w14:paraId="77E6CF98" w14:textId="77777777" w:rsidR="004A63AF" w:rsidRPr="00C938AD" w:rsidRDefault="004A63AF" w:rsidP="00B70720">
            <w:pPr>
              <w:pStyle w:val="aff"/>
              <w:rPr>
                <w:rFonts w:ascii="Times New Roman" w:hAnsi="Times New Roman" w:cs="Times New Roman"/>
              </w:rPr>
            </w:pPr>
            <w:r w:rsidRPr="00C938AD">
              <w:rPr>
                <w:rFonts w:ascii="Times New Roman" w:hAnsi="Times New Roman" w:cs="Times New Roman"/>
              </w:rPr>
              <w:t>矿区</w:t>
            </w:r>
            <w:proofErr w:type="gramStart"/>
            <w:r w:rsidRPr="00C938AD">
              <w:rPr>
                <w:rFonts w:ascii="Times New Roman" w:hAnsi="Times New Roman" w:cs="Times New Roman"/>
              </w:rPr>
              <w:t>外露采坑平整</w:t>
            </w:r>
            <w:proofErr w:type="gramEnd"/>
            <w:r w:rsidRPr="00C938AD">
              <w:rPr>
                <w:rFonts w:ascii="Times New Roman" w:hAnsi="Times New Roman" w:cs="Times New Roman"/>
              </w:rPr>
              <w:t>后作为表土堆场；矿区内露采坑前期防尘网覆盖、定时洒水，后期开采完毕后生态恢复</w:t>
            </w:r>
          </w:p>
        </w:tc>
      </w:tr>
      <w:tr w:rsidR="004A63AF" w:rsidRPr="00C938AD" w14:paraId="4A1048B9" w14:textId="77777777" w:rsidTr="00BD1C8B">
        <w:trPr>
          <w:trHeight w:val="455"/>
          <w:jc w:val="center"/>
        </w:trPr>
        <w:tc>
          <w:tcPr>
            <w:tcW w:w="486" w:type="pct"/>
            <w:vMerge/>
          </w:tcPr>
          <w:p w14:paraId="57B101A2" w14:textId="77777777" w:rsidR="004A63AF" w:rsidRPr="00C938AD" w:rsidRDefault="004A63AF" w:rsidP="00B70720">
            <w:pPr>
              <w:pStyle w:val="aff"/>
              <w:rPr>
                <w:rFonts w:ascii="Times New Roman" w:hAnsi="Times New Roman" w:cs="Times New Roman"/>
              </w:rPr>
            </w:pPr>
          </w:p>
        </w:tc>
        <w:tc>
          <w:tcPr>
            <w:tcW w:w="788" w:type="pct"/>
            <w:shd w:val="clear" w:color="auto" w:fill="auto"/>
            <w:vAlign w:val="center"/>
          </w:tcPr>
          <w:p w14:paraId="413C23CB" w14:textId="48E2DB1C" w:rsidR="004A63AF" w:rsidRPr="00C938AD" w:rsidRDefault="004A63AF" w:rsidP="00B70720">
            <w:pPr>
              <w:pStyle w:val="aff"/>
              <w:rPr>
                <w:rFonts w:ascii="Times New Roman" w:hAnsi="Times New Roman" w:cs="Times New Roman"/>
              </w:rPr>
            </w:pPr>
            <w:r w:rsidRPr="00C938AD">
              <w:rPr>
                <w:rFonts w:ascii="Times New Roman" w:hAnsi="Times New Roman" w:cs="Times New Roman"/>
              </w:rPr>
              <w:t>原有</w:t>
            </w:r>
            <w:r w:rsidR="00297DDF">
              <w:rPr>
                <w:rFonts w:ascii="Times New Roman" w:hAnsi="Times New Roman" w:cs="Times New Roman" w:hint="eastAsia"/>
              </w:rPr>
              <w:t>破碎加工厂</w:t>
            </w:r>
          </w:p>
        </w:tc>
        <w:tc>
          <w:tcPr>
            <w:tcW w:w="1560" w:type="pct"/>
            <w:vAlign w:val="center"/>
          </w:tcPr>
          <w:p w14:paraId="3B3601D5" w14:textId="11274709" w:rsidR="004A63AF" w:rsidRPr="00C938AD" w:rsidRDefault="00297DDF" w:rsidP="00B70720">
            <w:pPr>
              <w:pStyle w:val="aff"/>
              <w:rPr>
                <w:rFonts w:ascii="Times New Roman" w:hAnsi="Times New Roman" w:cs="Times New Roman"/>
              </w:rPr>
            </w:pPr>
            <w:r>
              <w:rPr>
                <w:rFonts w:ascii="Times New Roman" w:hAnsi="Times New Roman" w:cs="Times New Roman" w:hint="eastAsia"/>
              </w:rPr>
              <w:t>4</w:t>
            </w:r>
            <w:r w:rsidR="004A63AF" w:rsidRPr="00C938AD">
              <w:rPr>
                <w:rFonts w:ascii="Times New Roman" w:hAnsi="Times New Roman" w:cs="Times New Roman" w:hint="eastAsia"/>
              </w:rPr>
              <w:t>0</w:t>
            </w:r>
            <w:r w:rsidR="004A63AF" w:rsidRPr="00C938AD">
              <w:rPr>
                <w:rFonts w:ascii="Times New Roman" w:hAnsi="Times New Roman" w:cs="Times New Roman"/>
              </w:rPr>
              <w:t>00m</w:t>
            </w:r>
            <w:r w:rsidR="004A63AF" w:rsidRPr="00C938AD">
              <w:rPr>
                <w:rFonts w:ascii="Times New Roman" w:hAnsi="Times New Roman" w:cs="Times New Roman"/>
                <w:vertAlign w:val="superscript"/>
              </w:rPr>
              <w:t>2</w:t>
            </w:r>
            <w:r w:rsidR="004A63AF" w:rsidRPr="00C938AD">
              <w:rPr>
                <w:rFonts w:ascii="Times New Roman" w:hAnsi="Times New Roman" w:cs="Times New Roman"/>
              </w:rPr>
              <w:t>裸地</w:t>
            </w:r>
          </w:p>
        </w:tc>
        <w:tc>
          <w:tcPr>
            <w:tcW w:w="659" w:type="pct"/>
            <w:vAlign w:val="center"/>
          </w:tcPr>
          <w:p w14:paraId="21F10F1D" w14:textId="560BC143" w:rsidR="004A63AF" w:rsidRPr="00C938AD" w:rsidRDefault="004A63AF" w:rsidP="00B70720">
            <w:pPr>
              <w:pStyle w:val="aff"/>
              <w:rPr>
                <w:rFonts w:ascii="Times New Roman" w:hAnsi="Times New Roman" w:cs="Times New Roman"/>
              </w:rPr>
            </w:pPr>
            <w:r w:rsidRPr="00C938AD">
              <w:rPr>
                <w:rFonts w:ascii="Times New Roman" w:hAnsi="Times New Roman" w:cs="Times New Roman"/>
              </w:rPr>
              <w:t>林地</w:t>
            </w:r>
            <w:r w:rsidR="00297DDF">
              <w:rPr>
                <w:rFonts w:ascii="Times New Roman" w:hAnsi="Times New Roman" w:cs="Times New Roman" w:hint="eastAsia"/>
              </w:rPr>
              <w:t>4</w:t>
            </w:r>
            <w:r w:rsidRPr="00C938AD">
              <w:rPr>
                <w:rFonts w:ascii="Times New Roman" w:hAnsi="Times New Roman" w:cs="Times New Roman" w:hint="eastAsia"/>
              </w:rPr>
              <w:t>0</w:t>
            </w:r>
            <w:r w:rsidRPr="00C938AD">
              <w:rPr>
                <w:rFonts w:ascii="Times New Roman" w:hAnsi="Times New Roman" w:cs="Times New Roman"/>
              </w:rPr>
              <w:t>00m</w:t>
            </w:r>
            <w:r w:rsidRPr="00C938AD">
              <w:rPr>
                <w:rFonts w:ascii="Times New Roman" w:hAnsi="Times New Roman" w:cs="Times New Roman"/>
                <w:vertAlign w:val="superscript"/>
              </w:rPr>
              <w:t>2</w:t>
            </w:r>
          </w:p>
        </w:tc>
        <w:tc>
          <w:tcPr>
            <w:tcW w:w="1507" w:type="pct"/>
            <w:shd w:val="clear" w:color="auto" w:fill="auto"/>
            <w:vAlign w:val="center"/>
          </w:tcPr>
          <w:p w14:paraId="37DD90FF" w14:textId="77777777" w:rsidR="004A63AF" w:rsidRPr="00C938AD" w:rsidRDefault="004A63AF" w:rsidP="00B70720">
            <w:pPr>
              <w:pStyle w:val="aff"/>
              <w:rPr>
                <w:rFonts w:ascii="Times New Roman" w:hAnsi="Times New Roman" w:cs="Times New Roman"/>
              </w:rPr>
            </w:pPr>
            <w:r w:rsidRPr="00C938AD">
              <w:rPr>
                <w:rFonts w:ascii="Times New Roman" w:hAnsi="Times New Roman" w:cs="Times New Roman"/>
              </w:rPr>
              <w:t>平整后</w:t>
            </w:r>
            <w:proofErr w:type="gramStart"/>
            <w:r w:rsidRPr="00C938AD">
              <w:rPr>
                <w:rFonts w:ascii="Times New Roman" w:hAnsi="Times New Roman" w:cs="Times New Roman"/>
              </w:rPr>
              <w:t>恢复林灌植被</w:t>
            </w:r>
            <w:proofErr w:type="gramEnd"/>
          </w:p>
        </w:tc>
      </w:tr>
      <w:tr w:rsidR="004A63AF" w:rsidRPr="00C938AD" w14:paraId="244BBE8B" w14:textId="77777777" w:rsidTr="00BD1C8B">
        <w:trPr>
          <w:trHeight w:val="455"/>
          <w:jc w:val="center"/>
        </w:trPr>
        <w:tc>
          <w:tcPr>
            <w:tcW w:w="486" w:type="pct"/>
            <w:vMerge/>
          </w:tcPr>
          <w:p w14:paraId="423A340A" w14:textId="77777777" w:rsidR="004A63AF" w:rsidRPr="00C938AD" w:rsidRDefault="004A63AF" w:rsidP="00B70720">
            <w:pPr>
              <w:pStyle w:val="aff"/>
              <w:rPr>
                <w:rFonts w:ascii="Times New Roman" w:hAnsi="Times New Roman" w:cs="Times New Roman"/>
              </w:rPr>
            </w:pPr>
          </w:p>
        </w:tc>
        <w:tc>
          <w:tcPr>
            <w:tcW w:w="788" w:type="pct"/>
            <w:shd w:val="clear" w:color="auto" w:fill="auto"/>
            <w:vAlign w:val="center"/>
          </w:tcPr>
          <w:p w14:paraId="7D6A1253" w14:textId="3C98852F" w:rsidR="004A63AF" w:rsidRPr="00C938AD" w:rsidRDefault="004A63AF" w:rsidP="00B70720">
            <w:pPr>
              <w:pStyle w:val="aff"/>
              <w:rPr>
                <w:rFonts w:ascii="Times New Roman" w:hAnsi="Times New Roman" w:cs="Times New Roman"/>
              </w:rPr>
            </w:pPr>
            <w:r w:rsidRPr="00C938AD">
              <w:rPr>
                <w:rFonts w:ascii="Times New Roman" w:hAnsi="Times New Roman" w:cs="Times New Roman" w:hint="eastAsia"/>
              </w:rPr>
              <w:t>原有堆土场</w:t>
            </w:r>
          </w:p>
        </w:tc>
        <w:tc>
          <w:tcPr>
            <w:tcW w:w="1560" w:type="pct"/>
            <w:vAlign w:val="center"/>
          </w:tcPr>
          <w:p w14:paraId="694DED77" w14:textId="2ADCD786" w:rsidR="004A63AF" w:rsidRPr="00C938AD" w:rsidRDefault="004A63AF" w:rsidP="00B70720">
            <w:pPr>
              <w:pStyle w:val="aff"/>
              <w:rPr>
                <w:rFonts w:ascii="Times New Roman" w:hAnsi="Times New Roman" w:cs="Times New Roman"/>
              </w:rPr>
            </w:pPr>
            <w:r w:rsidRPr="00C938AD">
              <w:rPr>
                <w:rFonts w:ascii="Times New Roman" w:hAnsi="Times New Roman" w:cs="Times New Roman" w:hint="eastAsia"/>
              </w:rPr>
              <w:t>5</w:t>
            </w:r>
            <w:r w:rsidR="00297DDF">
              <w:rPr>
                <w:rFonts w:ascii="Times New Roman" w:hAnsi="Times New Roman" w:cs="Times New Roman" w:hint="eastAsia"/>
              </w:rPr>
              <w:t>0</w:t>
            </w:r>
            <w:r w:rsidRPr="00C938AD">
              <w:rPr>
                <w:rFonts w:ascii="Times New Roman" w:hAnsi="Times New Roman" w:cs="Times New Roman" w:hint="eastAsia"/>
              </w:rPr>
              <w:t>0</w:t>
            </w:r>
            <w:r w:rsidRPr="00C938AD">
              <w:rPr>
                <w:rFonts w:ascii="Times New Roman" w:hAnsi="Times New Roman" w:cs="Times New Roman"/>
              </w:rPr>
              <w:t>0m</w:t>
            </w:r>
            <w:r w:rsidRPr="00C938AD">
              <w:rPr>
                <w:rFonts w:ascii="Times New Roman" w:hAnsi="Times New Roman" w:cs="Times New Roman"/>
                <w:vertAlign w:val="superscript"/>
              </w:rPr>
              <w:t>2</w:t>
            </w:r>
            <w:r w:rsidRPr="00C938AD">
              <w:rPr>
                <w:rFonts w:ascii="Times New Roman" w:hAnsi="Times New Roman" w:cs="Times New Roman"/>
              </w:rPr>
              <w:t>裸地</w:t>
            </w:r>
          </w:p>
        </w:tc>
        <w:tc>
          <w:tcPr>
            <w:tcW w:w="659" w:type="pct"/>
            <w:vAlign w:val="center"/>
          </w:tcPr>
          <w:p w14:paraId="6D9BDD0C" w14:textId="1C021650" w:rsidR="004A63AF" w:rsidRPr="00C938AD" w:rsidRDefault="004A63AF" w:rsidP="00B70720">
            <w:pPr>
              <w:pStyle w:val="aff"/>
              <w:rPr>
                <w:rFonts w:ascii="Times New Roman" w:hAnsi="Times New Roman" w:cs="Times New Roman"/>
              </w:rPr>
            </w:pPr>
            <w:r w:rsidRPr="00C938AD">
              <w:rPr>
                <w:rFonts w:ascii="Times New Roman" w:hAnsi="Times New Roman" w:cs="Times New Roman"/>
              </w:rPr>
              <w:t>林地</w:t>
            </w:r>
            <w:r w:rsidRPr="00C938AD">
              <w:rPr>
                <w:rFonts w:ascii="Times New Roman" w:hAnsi="Times New Roman" w:cs="Times New Roman" w:hint="eastAsia"/>
              </w:rPr>
              <w:t>50</w:t>
            </w:r>
            <w:r w:rsidRPr="00C938AD">
              <w:rPr>
                <w:rFonts w:ascii="Times New Roman" w:hAnsi="Times New Roman" w:cs="Times New Roman"/>
              </w:rPr>
              <w:t>0</w:t>
            </w:r>
            <w:r w:rsidR="00297DDF">
              <w:rPr>
                <w:rFonts w:ascii="Times New Roman" w:hAnsi="Times New Roman" w:cs="Times New Roman" w:hint="eastAsia"/>
              </w:rPr>
              <w:t>0</w:t>
            </w:r>
            <w:r w:rsidRPr="00C938AD">
              <w:rPr>
                <w:rFonts w:ascii="Times New Roman" w:hAnsi="Times New Roman" w:cs="Times New Roman"/>
              </w:rPr>
              <w:t>m</w:t>
            </w:r>
            <w:r w:rsidRPr="00C938AD">
              <w:rPr>
                <w:rFonts w:ascii="Times New Roman" w:hAnsi="Times New Roman" w:cs="Times New Roman"/>
                <w:vertAlign w:val="superscript"/>
              </w:rPr>
              <w:t>2</w:t>
            </w:r>
          </w:p>
        </w:tc>
        <w:tc>
          <w:tcPr>
            <w:tcW w:w="1507" w:type="pct"/>
            <w:shd w:val="clear" w:color="auto" w:fill="auto"/>
            <w:vAlign w:val="center"/>
          </w:tcPr>
          <w:p w14:paraId="0F7C0801" w14:textId="44307DCD" w:rsidR="004A63AF" w:rsidRPr="00C938AD" w:rsidRDefault="004A63AF" w:rsidP="00B70720">
            <w:pPr>
              <w:pStyle w:val="aff"/>
              <w:rPr>
                <w:rFonts w:ascii="Times New Roman" w:hAnsi="Times New Roman" w:cs="Times New Roman"/>
              </w:rPr>
            </w:pPr>
            <w:r w:rsidRPr="00C938AD">
              <w:rPr>
                <w:rFonts w:hint="eastAsia"/>
              </w:rPr>
              <w:t>平整后</w:t>
            </w:r>
            <w:proofErr w:type="gramStart"/>
            <w:r w:rsidRPr="00C938AD">
              <w:rPr>
                <w:rFonts w:hint="eastAsia"/>
              </w:rPr>
              <w:t>恢复林灌植被</w:t>
            </w:r>
            <w:proofErr w:type="gramEnd"/>
          </w:p>
        </w:tc>
      </w:tr>
      <w:tr w:rsidR="00BD1C8B" w:rsidRPr="00C938AD" w14:paraId="2FB44B10" w14:textId="77777777" w:rsidTr="00BD1C8B">
        <w:trPr>
          <w:trHeight w:val="455"/>
          <w:jc w:val="center"/>
        </w:trPr>
        <w:tc>
          <w:tcPr>
            <w:tcW w:w="486" w:type="pct"/>
            <w:vMerge w:val="restart"/>
          </w:tcPr>
          <w:p w14:paraId="4A987BF6" w14:textId="0D850C0F" w:rsidR="00BD1C8B" w:rsidRPr="00C938AD" w:rsidRDefault="00BD1C8B" w:rsidP="00BD1C8B">
            <w:pPr>
              <w:pStyle w:val="aff"/>
              <w:rPr>
                <w:rFonts w:ascii="Times New Roman" w:hAnsi="Times New Roman" w:cs="Times New Roman"/>
              </w:rPr>
            </w:pPr>
            <w:r w:rsidRPr="00BD1C8B">
              <w:rPr>
                <w:rFonts w:ascii="Times New Roman" w:hAnsi="Times New Roman" w:cs="Times New Roman" w:hint="eastAsia"/>
              </w:rPr>
              <w:t>驻马店市</w:t>
            </w:r>
            <w:proofErr w:type="gramStart"/>
            <w:r w:rsidRPr="00BD1C8B">
              <w:rPr>
                <w:rFonts w:ascii="Times New Roman" w:hAnsi="Times New Roman" w:cs="Times New Roman" w:hint="eastAsia"/>
              </w:rPr>
              <w:t>驿</w:t>
            </w:r>
            <w:proofErr w:type="gramEnd"/>
            <w:r w:rsidRPr="00BD1C8B">
              <w:rPr>
                <w:rFonts w:ascii="Times New Roman" w:hAnsi="Times New Roman" w:cs="Times New Roman" w:hint="eastAsia"/>
              </w:rPr>
              <w:t>城区宏运石料厂</w:t>
            </w:r>
          </w:p>
        </w:tc>
        <w:tc>
          <w:tcPr>
            <w:tcW w:w="788" w:type="pct"/>
            <w:shd w:val="clear" w:color="auto" w:fill="auto"/>
            <w:vAlign w:val="center"/>
          </w:tcPr>
          <w:p w14:paraId="56D856FF" w14:textId="3954AF29" w:rsidR="00BD1C8B" w:rsidRPr="00C938AD" w:rsidRDefault="00BD1C8B" w:rsidP="00BD1C8B">
            <w:pPr>
              <w:pStyle w:val="aff"/>
              <w:rPr>
                <w:rFonts w:ascii="Times New Roman" w:hAnsi="Times New Roman" w:cs="Times New Roman"/>
              </w:rPr>
            </w:pPr>
            <w:r w:rsidRPr="00C938AD">
              <w:rPr>
                <w:rFonts w:ascii="Times New Roman" w:hAnsi="Times New Roman" w:cs="Times New Roman"/>
              </w:rPr>
              <w:t>矿区</w:t>
            </w:r>
          </w:p>
        </w:tc>
        <w:tc>
          <w:tcPr>
            <w:tcW w:w="1560" w:type="pct"/>
            <w:vAlign w:val="center"/>
          </w:tcPr>
          <w:p w14:paraId="448E4B2E" w14:textId="170851DF" w:rsidR="00BD1C8B" w:rsidRPr="00C938AD" w:rsidRDefault="00BD1C8B" w:rsidP="00BD1C8B">
            <w:pPr>
              <w:pStyle w:val="aff"/>
              <w:rPr>
                <w:rFonts w:ascii="Times New Roman" w:hAnsi="Times New Roman" w:cs="Times New Roman"/>
              </w:rPr>
            </w:pPr>
            <w:r w:rsidRPr="000E578D">
              <w:rPr>
                <w:rFonts w:ascii="Times New Roman" w:hAnsi="Times New Roman" w:cs="Times New Roman"/>
              </w:rPr>
              <w:t>现有工程开采形成露采场，总面积</w:t>
            </w:r>
            <w:r>
              <w:rPr>
                <w:rFonts w:ascii="Times New Roman" w:hAnsi="Times New Roman" w:cs="Times New Roman" w:hint="eastAsia"/>
              </w:rPr>
              <w:t>，矿区内面积</w:t>
            </w:r>
            <w:r w:rsidRPr="00BD1C8B">
              <w:rPr>
                <w:rFonts w:ascii="Times New Roman" w:hAnsi="Times New Roman" w:cs="Times New Roman"/>
              </w:rPr>
              <w:t>224200</w:t>
            </w:r>
            <w:r w:rsidRPr="000E578D">
              <w:rPr>
                <w:rFonts w:ascii="Times New Roman" w:hAnsi="Times New Roman" w:cs="Times New Roman"/>
              </w:rPr>
              <w:t>m</w:t>
            </w:r>
            <w:r w:rsidRPr="000E578D">
              <w:rPr>
                <w:rFonts w:ascii="Times New Roman" w:hAnsi="Times New Roman" w:cs="Times New Roman"/>
                <w:vertAlign w:val="superscript"/>
              </w:rPr>
              <w:t>2</w:t>
            </w:r>
          </w:p>
        </w:tc>
        <w:tc>
          <w:tcPr>
            <w:tcW w:w="659" w:type="pct"/>
            <w:vAlign w:val="center"/>
          </w:tcPr>
          <w:p w14:paraId="21E6F5AF" w14:textId="244DD349" w:rsidR="00BD1C8B" w:rsidRPr="00C938AD" w:rsidRDefault="00BD1C8B" w:rsidP="00BD1C8B">
            <w:pPr>
              <w:pStyle w:val="aff"/>
              <w:rPr>
                <w:rFonts w:ascii="Times New Roman" w:hAnsi="Times New Roman" w:cs="Times New Roman"/>
              </w:rPr>
            </w:pPr>
            <w:r w:rsidRPr="000E578D">
              <w:rPr>
                <w:rFonts w:ascii="Times New Roman" w:hAnsi="Times New Roman" w:cs="Times New Roman"/>
              </w:rPr>
              <w:t>林地</w:t>
            </w:r>
            <w:r w:rsidRPr="00BD1C8B">
              <w:rPr>
                <w:rFonts w:ascii="Times New Roman" w:hAnsi="Times New Roman" w:cs="Times New Roman"/>
              </w:rPr>
              <w:t>224200</w:t>
            </w:r>
            <w:r w:rsidRPr="000E578D">
              <w:rPr>
                <w:rFonts w:ascii="Times New Roman" w:hAnsi="Times New Roman" w:cs="Times New Roman"/>
              </w:rPr>
              <w:t>m</w:t>
            </w:r>
            <w:r w:rsidRPr="000E578D">
              <w:rPr>
                <w:rFonts w:ascii="Times New Roman" w:hAnsi="Times New Roman" w:cs="Times New Roman"/>
                <w:vertAlign w:val="superscript"/>
              </w:rPr>
              <w:t>2</w:t>
            </w:r>
          </w:p>
        </w:tc>
        <w:tc>
          <w:tcPr>
            <w:tcW w:w="1507" w:type="pct"/>
            <w:shd w:val="clear" w:color="auto" w:fill="auto"/>
            <w:vAlign w:val="center"/>
          </w:tcPr>
          <w:p w14:paraId="346C097A" w14:textId="1B29A058" w:rsidR="00BD1C8B" w:rsidRPr="00C938AD" w:rsidRDefault="00BD1C8B" w:rsidP="00BD1C8B">
            <w:pPr>
              <w:pStyle w:val="aff"/>
            </w:pPr>
            <w:r w:rsidRPr="00C938AD">
              <w:rPr>
                <w:rFonts w:ascii="Times New Roman" w:hAnsi="Times New Roman" w:cs="Times New Roman"/>
              </w:rPr>
              <w:t>矿区</w:t>
            </w:r>
            <w:proofErr w:type="gramStart"/>
            <w:r w:rsidRPr="00C938AD">
              <w:rPr>
                <w:rFonts w:ascii="Times New Roman" w:hAnsi="Times New Roman" w:cs="Times New Roman"/>
              </w:rPr>
              <w:t>外露采坑平整</w:t>
            </w:r>
            <w:proofErr w:type="gramEnd"/>
            <w:r w:rsidRPr="00C938AD">
              <w:rPr>
                <w:rFonts w:ascii="Times New Roman" w:hAnsi="Times New Roman" w:cs="Times New Roman"/>
              </w:rPr>
              <w:t>后作为表土堆场；矿区内露采坑前期防尘网覆</w:t>
            </w:r>
            <w:r w:rsidRPr="00C938AD">
              <w:rPr>
                <w:rFonts w:ascii="Times New Roman" w:hAnsi="Times New Roman" w:cs="Times New Roman"/>
              </w:rPr>
              <w:lastRenderedPageBreak/>
              <w:t>盖、定时洒水，后期开采完毕后生态恢复</w:t>
            </w:r>
          </w:p>
        </w:tc>
      </w:tr>
      <w:tr w:rsidR="00BD1C8B" w:rsidRPr="00C938AD" w14:paraId="6129F154" w14:textId="77777777" w:rsidTr="00BD1C8B">
        <w:trPr>
          <w:trHeight w:val="455"/>
          <w:jc w:val="center"/>
        </w:trPr>
        <w:tc>
          <w:tcPr>
            <w:tcW w:w="486" w:type="pct"/>
            <w:vMerge/>
          </w:tcPr>
          <w:p w14:paraId="32B07211" w14:textId="77777777" w:rsidR="00BD1C8B" w:rsidRPr="00C938AD" w:rsidRDefault="00BD1C8B" w:rsidP="00BD1C8B">
            <w:pPr>
              <w:pStyle w:val="aff"/>
              <w:rPr>
                <w:rFonts w:ascii="Times New Roman" w:hAnsi="Times New Roman" w:cs="Times New Roman"/>
              </w:rPr>
            </w:pPr>
          </w:p>
        </w:tc>
        <w:tc>
          <w:tcPr>
            <w:tcW w:w="788" w:type="pct"/>
            <w:shd w:val="clear" w:color="auto" w:fill="auto"/>
            <w:vAlign w:val="center"/>
          </w:tcPr>
          <w:p w14:paraId="3614B411" w14:textId="00D078F0" w:rsidR="00BD1C8B" w:rsidRPr="00C938AD" w:rsidRDefault="00BD1C8B" w:rsidP="00BD1C8B">
            <w:pPr>
              <w:pStyle w:val="aff"/>
              <w:rPr>
                <w:rFonts w:ascii="Times New Roman" w:hAnsi="Times New Roman" w:cs="Times New Roman"/>
              </w:rPr>
            </w:pPr>
            <w:r w:rsidRPr="00C938AD">
              <w:rPr>
                <w:rFonts w:ascii="Times New Roman" w:hAnsi="Times New Roman" w:cs="Times New Roman"/>
              </w:rPr>
              <w:t>原有</w:t>
            </w:r>
            <w:r>
              <w:rPr>
                <w:rFonts w:ascii="Times New Roman" w:hAnsi="Times New Roman" w:cs="Times New Roman" w:hint="eastAsia"/>
              </w:rPr>
              <w:t>破碎加工厂</w:t>
            </w:r>
          </w:p>
        </w:tc>
        <w:tc>
          <w:tcPr>
            <w:tcW w:w="1560" w:type="pct"/>
            <w:vAlign w:val="center"/>
          </w:tcPr>
          <w:p w14:paraId="534CCB5D" w14:textId="468D4ECA" w:rsidR="00BD1C8B" w:rsidRPr="00C938AD" w:rsidRDefault="00BD1C8B" w:rsidP="00BD1C8B">
            <w:pPr>
              <w:pStyle w:val="aff"/>
              <w:rPr>
                <w:rFonts w:ascii="Times New Roman" w:hAnsi="Times New Roman" w:cs="Times New Roman"/>
              </w:rPr>
            </w:pPr>
            <w:r>
              <w:rPr>
                <w:rFonts w:ascii="Times New Roman" w:hAnsi="Times New Roman" w:cs="Times New Roman" w:hint="eastAsia"/>
              </w:rPr>
              <w:t>18</w:t>
            </w:r>
            <w:r w:rsidRPr="00C938AD">
              <w:rPr>
                <w:rFonts w:ascii="Times New Roman" w:hAnsi="Times New Roman" w:cs="Times New Roman"/>
              </w:rPr>
              <w:t>00m</w:t>
            </w:r>
            <w:r w:rsidRPr="00C938AD">
              <w:rPr>
                <w:rFonts w:ascii="Times New Roman" w:hAnsi="Times New Roman" w:cs="Times New Roman"/>
                <w:vertAlign w:val="superscript"/>
              </w:rPr>
              <w:t>2</w:t>
            </w:r>
            <w:r w:rsidRPr="00C938AD">
              <w:rPr>
                <w:rFonts w:ascii="Times New Roman" w:hAnsi="Times New Roman" w:cs="Times New Roman"/>
              </w:rPr>
              <w:t>裸地</w:t>
            </w:r>
          </w:p>
        </w:tc>
        <w:tc>
          <w:tcPr>
            <w:tcW w:w="659" w:type="pct"/>
            <w:vAlign w:val="center"/>
          </w:tcPr>
          <w:p w14:paraId="44228ACC" w14:textId="3021083E" w:rsidR="00BD1C8B" w:rsidRPr="00C938AD" w:rsidRDefault="00BD1C8B" w:rsidP="00BD1C8B">
            <w:pPr>
              <w:pStyle w:val="aff"/>
              <w:rPr>
                <w:rFonts w:ascii="Times New Roman" w:hAnsi="Times New Roman" w:cs="Times New Roman"/>
              </w:rPr>
            </w:pPr>
            <w:r w:rsidRPr="00C938AD">
              <w:rPr>
                <w:rFonts w:ascii="Times New Roman" w:hAnsi="Times New Roman" w:cs="Times New Roman"/>
              </w:rPr>
              <w:t>林地</w:t>
            </w:r>
            <w:r>
              <w:rPr>
                <w:rFonts w:ascii="Times New Roman" w:hAnsi="Times New Roman" w:cs="Times New Roman" w:hint="eastAsia"/>
              </w:rPr>
              <w:t>180</w:t>
            </w:r>
            <w:r w:rsidRPr="00C938AD">
              <w:rPr>
                <w:rFonts w:ascii="Times New Roman" w:hAnsi="Times New Roman" w:cs="Times New Roman"/>
              </w:rPr>
              <w:t>0m</w:t>
            </w:r>
            <w:r w:rsidRPr="00C938AD">
              <w:rPr>
                <w:rFonts w:ascii="Times New Roman" w:hAnsi="Times New Roman" w:cs="Times New Roman"/>
                <w:vertAlign w:val="superscript"/>
              </w:rPr>
              <w:t>2</w:t>
            </w:r>
          </w:p>
        </w:tc>
        <w:tc>
          <w:tcPr>
            <w:tcW w:w="1507" w:type="pct"/>
            <w:shd w:val="clear" w:color="auto" w:fill="auto"/>
            <w:vAlign w:val="center"/>
          </w:tcPr>
          <w:p w14:paraId="7C33900B" w14:textId="69814654" w:rsidR="00BD1C8B" w:rsidRPr="00C938AD" w:rsidRDefault="00BD1C8B" w:rsidP="00BD1C8B">
            <w:pPr>
              <w:pStyle w:val="aff"/>
            </w:pPr>
            <w:r w:rsidRPr="00C938AD">
              <w:rPr>
                <w:rFonts w:ascii="Times New Roman" w:hAnsi="Times New Roman" w:cs="Times New Roman"/>
              </w:rPr>
              <w:t>平整后</w:t>
            </w:r>
            <w:proofErr w:type="gramStart"/>
            <w:r w:rsidRPr="00C938AD">
              <w:rPr>
                <w:rFonts w:ascii="Times New Roman" w:hAnsi="Times New Roman" w:cs="Times New Roman"/>
              </w:rPr>
              <w:t>恢复林灌植被</w:t>
            </w:r>
            <w:proofErr w:type="gramEnd"/>
          </w:p>
        </w:tc>
      </w:tr>
      <w:tr w:rsidR="00BD1C8B" w:rsidRPr="00C938AD" w14:paraId="1DFC3F00" w14:textId="77777777" w:rsidTr="00BD1C8B">
        <w:trPr>
          <w:trHeight w:val="455"/>
          <w:jc w:val="center"/>
        </w:trPr>
        <w:tc>
          <w:tcPr>
            <w:tcW w:w="486" w:type="pct"/>
            <w:vMerge/>
          </w:tcPr>
          <w:p w14:paraId="211BFCC2" w14:textId="77777777" w:rsidR="00BD1C8B" w:rsidRPr="00C938AD" w:rsidRDefault="00BD1C8B" w:rsidP="00BD1C8B">
            <w:pPr>
              <w:pStyle w:val="aff"/>
              <w:rPr>
                <w:rFonts w:ascii="Times New Roman" w:hAnsi="Times New Roman" w:cs="Times New Roman"/>
              </w:rPr>
            </w:pPr>
          </w:p>
        </w:tc>
        <w:tc>
          <w:tcPr>
            <w:tcW w:w="788" w:type="pct"/>
            <w:shd w:val="clear" w:color="auto" w:fill="auto"/>
            <w:vAlign w:val="center"/>
          </w:tcPr>
          <w:p w14:paraId="49BC5EC4" w14:textId="58BC35C6" w:rsidR="00BD1C8B" w:rsidRPr="00C938AD" w:rsidRDefault="00BD1C8B" w:rsidP="00BD1C8B">
            <w:pPr>
              <w:pStyle w:val="aff"/>
              <w:rPr>
                <w:rFonts w:ascii="Times New Roman" w:hAnsi="Times New Roman" w:cs="Times New Roman"/>
              </w:rPr>
            </w:pPr>
            <w:r w:rsidRPr="00C938AD">
              <w:rPr>
                <w:rFonts w:ascii="Times New Roman" w:hAnsi="Times New Roman" w:cs="Times New Roman" w:hint="eastAsia"/>
              </w:rPr>
              <w:t>原有堆土场</w:t>
            </w:r>
          </w:p>
        </w:tc>
        <w:tc>
          <w:tcPr>
            <w:tcW w:w="1560" w:type="pct"/>
            <w:vAlign w:val="center"/>
          </w:tcPr>
          <w:p w14:paraId="5A8C5932" w14:textId="49D37E06" w:rsidR="00BD1C8B" w:rsidRPr="00C938AD" w:rsidRDefault="00BD1C8B" w:rsidP="00BD1C8B">
            <w:pPr>
              <w:pStyle w:val="aff"/>
              <w:rPr>
                <w:rFonts w:ascii="Times New Roman" w:hAnsi="Times New Roman" w:cs="Times New Roman"/>
              </w:rPr>
            </w:pPr>
            <w:r>
              <w:rPr>
                <w:rFonts w:ascii="Times New Roman" w:hAnsi="Times New Roman" w:cs="Times New Roman" w:hint="eastAsia"/>
              </w:rPr>
              <w:t>20</w:t>
            </w:r>
            <w:r w:rsidRPr="00C938AD">
              <w:rPr>
                <w:rFonts w:ascii="Times New Roman" w:hAnsi="Times New Roman" w:cs="Times New Roman" w:hint="eastAsia"/>
              </w:rPr>
              <w:t>0</w:t>
            </w:r>
            <w:r w:rsidRPr="00C938AD">
              <w:rPr>
                <w:rFonts w:ascii="Times New Roman" w:hAnsi="Times New Roman" w:cs="Times New Roman"/>
              </w:rPr>
              <w:t>0m</w:t>
            </w:r>
            <w:r w:rsidRPr="00C938AD">
              <w:rPr>
                <w:rFonts w:ascii="Times New Roman" w:hAnsi="Times New Roman" w:cs="Times New Roman"/>
                <w:vertAlign w:val="superscript"/>
              </w:rPr>
              <w:t>2</w:t>
            </w:r>
            <w:r w:rsidRPr="00C938AD">
              <w:rPr>
                <w:rFonts w:ascii="Times New Roman" w:hAnsi="Times New Roman" w:cs="Times New Roman"/>
              </w:rPr>
              <w:t>裸地</w:t>
            </w:r>
          </w:p>
        </w:tc>
        <w:tc>
          <w:tcPr>
            <w:tcW w:w="659" w:type="pct"/>
            <w:vAlign w:val="center"/>
          </w:tcPr>
          <w:p w14:paraId="5546C4C1" w14:textId="5FFEE156" w:rsidR="00BD1C8B" w:rsidRPr="00C938AD" w:rsidRDefault="00BD1C8B" w:rsidP="00BD1C8B">
            <w:pPr>
              <w:pStyle w:val="aff"/>
              <w:rPr>
                <w:rFonts w:ascii="Times New Roman" w:hAnsi="Times New Roman" w:cs="Times New Roman"/>
              </w:rPr>
            </w:pPr>
            <w:r w:rsidRPr="00C938AD">
              <w:rPr>
                <w:rFonts w:ascii="Times New Roman" w:hAnsi="Times New Roman" w:cs="Times New Roman"/>
              </w:rPr>
              <w:t>林地</w:t>
            </w:r>
            <w:r>
              <w:rPr>
                <w:rFonts w:ascii="Times New Roman" w:hAnsi="Times New Roman" w:cs="Times New Roman" w:hint="eastAsia"/>
              </w:rPr>
              <w:t>2</w:t>
            </w:r>
            <w:r w:rsidRPr="00C938AD">
              <w:rPr>
                <w:rFonts w:ascii="Times New Roman" w:hAnsi="Times New Roman" w:cs="Times New Roman" w:hint="eastAsia"/>
              </w:rPr>
              <w:t>0</w:t>
            </w:r>
            <w:r w:rsidRPr="00C938AD">
              <w:rPr>
                <w:rFonts w:ascii="Times New Roman" w:hAnsi="Times New Roman" w:cs="Times New Roman"/>
              </w:rPr>
              <w:t>0</w:t>
            </w:r>
            <w:r>
              <w:rPr>
                <w:rFonts w:ascii="Times New Roman" w:hAnsi="Times New Roman" w:cs="Times New Roman" w:hint="eastAsia"/>
              </w:rPr>
              <w:t>0</w:t>
            </w:r>
            <w:r w:rsidRPr="00C938AD">
              <w:rPr>
                <w:rFonts w:ascii="Times New Roman" w:hAnsi="Times New Roman" w:cs="Times New Roman"/>
              </w:rPr>
              <w:t>m</w:t>
            </w:r>
            <w:r w:rsidRPr="00C938AD">
              <w:rPr>
                <w:rFonts w:ascii="Times New Roman" w:hAnsi="Times New Roman" w:cs="Times New Roman"/>
                <w:vertAlign w:val="superscript"/>
              </w:rPr>
              <w:t>2</w:t>
            </w:r>
          </w:p>
        </w:tc>
        <w:tc>
          <w:tcPr>
            <w:tcW w:w="1507" w:type="pct"/>
            <w:shd w:val="clear" w:color="auto" w:fill="auto"/>
            <w:vAlign w:val="center"/>
          </w:tcPr>
          <w:p w14:paraId="16F7080B" w14:textId="30099F47" w:rsidR="00BD1C8B" w:rsidRPr="00C938AD" w:rsidRDefault="00BD1C8B" w:rsidP="00BD1C8B">
            <w:pPr>
              <w:pStyle w:val="aff"/>
            </w:pPr>
            <w:r w:rsidRPr="00C938AD">
              <w:rPr>
                <w:rFonts w:hint="eastAsia"/>
              </w:rPr>
              <w:t>平整后</w:t>
            </w:r>
            <w:proofErr w:type="gramStart"/>
            <w:r w:rsidRPr="00C938AD">
              <w:rPr>
                <w:rFonts w:hint="eastAsia"/>
              </w:rPr>
              <w:t>恢复林灌植被</w:t>
            </w:r>
            <w:proofErr w:type="gramEnd"/>
          </w:p>
        </w:tc>
      </w:tr>
    </w:tbl>
    <w:p w14:paraId="723EED1B" w14:textId="0BA96A62" w:rsidR="00C74949" w:rsidRPr="00C938AD" w:rsidRDefault="00C74949" w:rsidP="00C74949">
      <w:pPr>
        <w:pStyle w:val="3"/>
        <w:ind w:firstLine="560"/>
      </w:pPr>
      <w:bookmarkStart w:id="79" w:name="_Toc33021792"/>
      <w:r w:rsidRPr="00C938AD">
        <w:rPr>
          <w:rFonts w:hint="eastAsia"/>
        </w:rPr>
        <w:t>3.1.5</w:t>
      </w:r>
      <w:r w:rsidRPr="00C938AD">
        <w:rPr>
          <w:rFonts w:hint="eastAsia"/>
        </w:rPr>
        <w:t>整合</w:t>
      </w:r>
      <w:proofErr w:type="gramStart"/>
      <w:r w:rsidRPr="00C938AD">
        <w:rPr>
          <w:rFonts w:hint="eastAsia"/>
        </w:rPr>
        <w:t>前项目</w:t>
      </w:r>
      <w:proofErr w:type="gramEnd"/>
      <w:r w:rsidRPr="00C938AD">
        <w:rPr>
          <w:rFonts w:hint="eastAsia"/>
        </w:rPr>
        <w:t>总量控制指标</w:t>
      </w:r>
    </w:p>
    <w:p w14:paraId="44A58DEA" w14:textId="574872EF" w:rsidR="00C74949" w:rsidRPr="00C938AD" w:rsidRDefault="00C74949" w:rsidP="00C74949">
      <w:pPr>
        <w:spacing w:line="480" w:lineRule="exact"/>
        <w:rPr>
          <w:rFonts w:ascii="Calibri" w:hAnsi="Calibri" w:cs="Times New Roman"/>
          <w:sz w:val="21"/>
        </w:rPr>
      </w:pPr>
      <w:r w:rsidRPr="00C938AD">
        <w:rPr>
          <w:rFonts w:cs="Times New Roman"/>
          <w:szCs w:val="24"/>
        </w:rPr>
        <w:t>目前，国家进行总量控制的污染因子为</w:t>
      </w:r>
      <w:r w:rsidRPr="00C938AD">
        <w:rPr>
          <w:rFonts w:cs="Times New Roman"/>
          <w:szCs w:val="24"/>
        </w:rPr>
        <w:t>COD</w:t>
      </w:r>
      <w:r w:rsidRPr="00C938AD">
        <w:rPr>
          <w:rFonts w:cs="Times New Roman"/>
          <w:szCs w:val="24"/>
        </w:rPr>
        <w:t>、</w:t>
      </w:r>
      <w:r w:rsidRPr="00C938AD">
        <w:rPr>
          <w:rFonts w:cs="Times New Roman"/>
          <w:szCs w:val="24"/>
        </w:rPr>
        <w:t>NH</w:t>
      </w:r>
      <w:r w:rsidRPr="00C938AD">
        <w:rPr>
          <w:rFonts w:cs="Times New Roman"/>
          <w:szCs w:val="24"/>
          <w:vertAlign w:val="subscript"/>
        </w:rPr>
        <w:t>3</w:t>
      </w:r>
      <w:r w:rsidRPr="00C938AD">
        <w:rPr>
          <w:rFonts w:cs="Times New Roman"/>
          <w:szCs w:val="24"/>
        </w:rPr>
        <w:t>-N</w:t>
      </w:r>
      <w:r w:rsidRPr="00C938AD">
        <w:rPr>
          <w:rFonts w:cs="Times New Roman"/>
          <w:szCs w:val="24"/>
        </w:rPr>
        <w:t>、</w:t>
      </w:r>
      <w:r w:rsidRPr="00C938AD">
        <w:rPr>
          <w:rFonts w:cs="Times New Roman"/>
          <w:szCs w:val="24"/>
        </w:rPr>
        <w:t>SO</w:t>
      </w:r>
      <w:r w:rsidRPr="00C938AD">
        <w:rPr>
          <w:rFonts w:cs="Times New Roman"/>
          <w:szCs w:val="24"/>
          <w:vertAlign w:val="subscript"/>
        </w:rPr>
        <w:t>2</w:t>
      </w:r>
      <w:r w:rsidRPr="00C938AD">
        <w:rPr>
          <w:rFonts w:cs="Times New Roman"/>
          <w:szCs w:val="24"/>
        </w:rPr>
        <w:t>、</w:t>
      </w:r>
      <w:r w:rsidRPr="00C938AD">
        <w:rPr>
          <w:rFonts w:cs="Times New Roman"/>
          <w:szCs w:val="24"/>
        </w:rPr>
        <w:t>NOx</w:t>
      </w:r>
      <w:r w:rsidRPr="00C938AD">
        <w:rPr>
          <w:rFonts w:cs="Times New Roman"/>
          <w:szCs w:val="24"/>
        </w:rPr>
        <w:t>四项。</w:t>
      </w:r>
      <w:r w:rsidRPr="00C938AD">
        <w:rPr>
          <w:rFonts w:cs="Times New Roman" w:hint="eastAsia"/>
          <w:szCs w:val="24"/>
        </w:rPr>
        <w:t>项目运营过程中废气以粉尘为主；生产废水不外排；生活废水经收集后用于降尘，粪便废水设旱厕处理后用于施肥综合利用，道路、场地洒水可自然蒸发散耗，不外排。故，整合</w:t>
      </w:r>
      <w:proofErr w:type="gramStart"/>
      <w:r w:rsidRPr="00C938AD">
        <w:rPr>
          <w:rFonts w:cs="Times New Roman" w:hint="eastAsia"/>
          <w:szCs w:val="24"/>
        </w:rPr>
        <w:t>前项目</w:t>
      </w:r>
      <w:proofErr w:type="gramEnd"/>
      <w:r w:rsidRPr="00C938AD">
        <w:rPr>
          <w:rFonts w:cs="Times New Roman" w:hint="eastAsia"/>
          <w:szCs w:val="24"/>
        </w:rPr>
        <w:t>无总量控制指标。</w:t>
      </w:r>
    </w:p>
    <w:p w14:paraId="49582CB8" w14:textId="79C42D56" w:rsidR="0003710F" w:rsidRDefault="0003710F" w:rsidP="0003710F">
      <w:pPr>
        <w:pStyle w:val="2"/>
        <w:ind w:firstLine="560"/>
      </w:pPr>
      <w:r>
        <w:rPr>
          <w:rFonts w:hint="eastAsia"/>
        </w:rPr>
        <w:t>3.2</w:t>
      </w:r>
      <w:r>
        <w:rPr>
          <w:rFonts w:hint="eastAsia"/>
        </w:rPr>
        <w:t>本项目概况</w:t>
      </w:r>
      <w:bookmarkEnd w:id="79"/>
    </w:p>
    <w:p w14:paraId="15AA6303" w14:textId="308766F4" w:rsidR="00552DD6" w:rsidRDefault="0003710F" w:rsidP="00317E60">
      <w:pPr>
        <w:pStyle w:val="3"/>
        <w:ind w:firstLine="560"/>
      </w:pPr>
      <w:r>
        <w:rPr>
          <w:rFonts w:hint="eastAsia"/>
        </w:rPr>
        <w:t>3.2.1</w:t>
      </w:r>
      <w:r w:rsidR="00552DD6">
        <w:rPr>
          <w:rFonts w:hint="eastAsia"/>
        </w:rPr>
        <w:t>项目基本情况</w:t>
      </w:r>
    </w:p>
    <w:p w14:paraId="55857BC7" w14:textId="5B1148C7" w:rsidR="00FD4BA8" w:rsidRPr="00FD4BA8" w:rsidRDefault="00FD4BA8" w:rsidP="00FD4BA8">
      <w:pPr>
        <w:rPr>
          <w:color w:val="FF0000"/>
        </w:rPr>
      </w:pPr>
      <w:r w:rsidRPr="00FD4BA8">
        <w:rPr>
          <w:rFonts w:hint="eastAsia"/>
          <w:color w:val="FF0000"/>
        </w:rPr>
        <w:t>本项目依托现有工程进行资源整合，现有项目主要开采玄武岩，本项目回收利用玄武岩并开采</w:t>
      </w:r>
      <w:r w:rsidRPr="00FD4BA8">
        <w:rPr>
          <w:rFonts w:ascii="宋体" w:hAnsi="宋体"/>
          <w:color w:val="FF0000"/>
        </w:rPr>
        <w:t>（122b）类</w:t>
      </w:r>
      <w:r w:rsidRPr="00FD4BA8">
        <w:rPr>
          <w:rFonts w:hint="eastAsia"/>
          <w:color w:val="FF0000"/>
        </w:rPr>
        <w:t>大理岩。</w:t>
      </w:r>
    </w:p>
    <w:p w14:paraId="75574C9A" w14:textId="3EF19C3B" w:rsidR="00E579B9" w:rsidRDefault="006A1398">
      <w:pPr>
        <w:pStyle w:val="21"/>
        <w:jc w:val="center"/>
      </w:pPr>
      <w:r>
        <w:t>表</w:t>
      </w:r>
      <w:r w:rsidR="0003710F">
        <w:rPr>
          <w:rFonts w:eastAsia="Times New Roman" w:cs="Times New Roman"/>
        </w:rPr>
        <w:t>3.2</w:t>
      </w:r>
      <w:r>
        <w:rPr>
          <w:rFonts w:eastAsia="Times New Roman" w:cs="Times New Roman"/>
        </w:rPr>
        <w:t>-1</w:t>
      </w:r>
      <w:r>
        <w:rPr>
          <w:rFonts w:eastAsia="Times New Roman" w:cs="Times New Roman"/>
        </w:rPr>
        <w:tab/>
      </w:r>
      <w:r>
        <w:t>项目基本情况一览表</w:t>
      </w:r>
    </w:p>
    <w:tbl>
      <w:tblPr>
        <w:tblW w:w="9208" w:type="dxa"/>
        <w:tblLayout w:type="fixed"/>
        <w:tblLook w:val="04A0" w:firstRow="1" w:lastRow="0" w:firstColumn="1" w:lastColumn="0" w:noHBand="0" w:noVBand="1"/>
      </w:tblPr>
      <w:tblGrid>
        <w:gridCol w:w="1322"/>
        <w:gridCol w:w="7886"/>
      </w:tblGrid>
      <w:tr w:rsidR="00E579B9" w14:paraId="55F01619" w14:textId="77777777">
        <w:trPr>
          <w:trHeight w:hRule="exact" w:val="350"/>
        </w:trPr>
        <w:tc>
          <w:tcPr>
            <w:tcW w:w="1322" w:type="dxa"/>
            <w:tcBorders>
              <w:top w:val="single" w:sz="4" w:space="0" w:color="000000"/>
              <w:left w:val="single" w:sz="4" w:space="0" w:color="000000"/>
              <w:bottom w:val="single" w:sz="4" w:space="0" w:color="000000"/>
              <w:right w:val="single" w:sz="4" w:space="0" w:color="000000"/>
            </w:tcBorders>
          </w:tcPr>
          <w:p w14:paraId="3122ADD3" w14:textId="77777777" w:rsidR="00E579B9" w:rsidRDefault="006A1398">
            <w:pPr>
              <w:pStyle w:val="aa"/>
              <w:rPr>
                <w:rFonts w:ascii="宋体" w:hAnsi="宋体"/>
              </w:rPr>
            </w:pPr>
            <w:r>
              <w:rPr>
                <w:rFonts w:ascii="宋体" w:hAnsi="宋体"/>
              </w:rPr>
              <w:t>项目名称</w:t>
            </w:r>
          </w:p>
        </w:tc>
        <w:tc>
          <w:tcPr>
            <w:tcW w:w="7886" w:type="dxa"/>
            <w:tcBorders>
              <w:top w:val="single" w:sz="4" w:space="0" w:color="000000"/>
              <w:left w:val="single" w:sz="4" w:space="0" w:color="000000"/>
              <w:bottom w:val="single" w:sz="4" w:space="0" w:color="000000"/>
              <w:right w:val="single" w:sz="4" w:space="0" w:color="000000"/>
            </w:tcBorders>
          </w:tcPr>
          <w:p w14:paraId="1A73577D" w14:textId="77777777" w:rsidR="00E579B9" w:rsidRDefault="006A1398">
            <w:pPr>
              <w:pStyle w:val="aa"/>
              <w:rPr>
                <w:rFonts w:ascii="宋体" w:hAnsi="宋体"/>
              </w:rPr>
            </w:pPr>
            <w:bookmarkStart w:id="80" w:name="_Hlk32925520"/>
            <w:r>
              <w:rPr>
                <w:rFonts w:ascii="宋体" w:hAnsi="宋体"/>
              </w:rPr>
              <w:t>驻马店市</w:t>
            </w:r>
            <w:proofErr w:type="gramStart"/>
            <w:r>
              <w:rPr>
                <w:rFonts w:ascii="宋体" w:hAnsi="宋体"/>
              </w:rPr>
              <w:t>驿</w:t>
            </w:r>
            <w:proofErr w:type="gramEnd"/>
            <w:r>
              <w:rPr>
                <w:rFonts w:ascii="宋体" w:hAnsi="宋体"/>
              </w:rPr>
              <w:t>城区李</w:t>
            </w:r>
            <w:proofErr w:type="gramStart"/>
            <w:r>
              <w:rPr>
                <w:rFonts w:ascii="宋体" w:hAnsi="宋体"/>
              </w:rPr>
              <w:t>尧建筑</w:t>
            </w:r>
            <w:proofErr w:type="gramEnd"/>
            <w:r>
              <w:rPr>
                <w:rFonts w:ascii="宋体" w:hAnsi="宋体"/>
              </w:rPr>
              <w:t>用大理岩矿开采项目</w:t>
            </w:r>
            <w:bookmarkEnd w:id="80"/>
          </w:p>
        </w:tc>
      </w:tr>
      <w:tr w:rsidR="00E579B9" w14:paraId="6F46D615" w14:textId="77777777">
        <w:trPr>
          <w:trHeight w:hRule="exact" w:val="350"/>
        </w:trPr>
        <w:tc>
          <w:tcPr>
            <w:tcW w:w="1322" w:type="dxa"/>
            <w:tcBorders>
              <w:top w:val="single" w:sz="4" w:space="0" w:color="000000"/>
              <w:left w:val="single" w:sz="4" w:space="0" w:color="000000"/>
              <w:bottom w:val="single" w:sz="4" w:space="0" w:color="000000"/>
              <w:right w:val="single" w:sz="4" w:space="0" w:color="000000"/>
            </w:tcBorders>
          </w:tcPr>
          <w:p w14:paraId="768CA60E" w14:textId="77777777" w:rsidR="00E579B9" w:rsidRDefault="006A1398">
            <w:pPr>
              <w:pStyle w:val="aa"/>
              <w:rPr>
                <w:rFonts w:ascii="宋体" w:hAnsi="宋体"/>
              </w:rPr>
            </w:pPr>
            <w:r>
              <w:rPr>
                <w:rFonts w:ascii="宋体" w:hAnsi="宋体"/>
              </w:rPr>
              <w:t>建设单位</w:t>
            </w:r>
          </w:p>
        </w:tc>
        <w:tc>
          <w:tcPr>
            <w:tcW w:w="7886" w:type="dxa"/>
            <w:tcBorders>
              <w:top w:val="single" w:sz="4" w:space="0" w:color="000000"/>
              <w:left w:val="single" w:sz="4" w:space="0" w:color="000000"/>
              <w:bottom w:val="single" w:sz="4" w:space="0" w:color="000000"/>
              <w:right w:val="single" w:sz="4" w:space="0" w:color="000000"/>
            </w:tcBorders>
          </w:tcPr>
          <w:p w14:paraId="0CCB5349" w14:textId="77777777" w:rsidR="00E579B9" w:rsidRDefault="006A1398">
            <w:pPr>
              <w:pStyle w:val="aa"/>
              <w:rPr>
                <w:rFonts w:ascii="宋体" w:hAnsi="宋体"/>
              </w:rPr>
            </w:pPr>
            <w:r>
              <w:rPr>
                <w:rFonts w:ascii="宋体" w:hAnsi="宋体"/>
              </w:rPr>
              <w:t>驻马店市</w:t>
            </w:r>
            <w:proofErr w:type="gramStart"/>
            <w:r>
              <w:rPr>
                <w:rFonts w:ascii="宋体" w:hAnsi="宋体"/>
              </w:rPr>
              <w:t>驿</w:t>
            </w:r>
            <w:proofErr w:type="gramEnd"/>
            <w:r>
              <w:rPr>
                <w:rFonts w:ascii="宋体" w:hAnsi="宋体"/>
              </w:rPr>
              <w:t>城区丰鑫矿业有限公司</w:t>
            </w:r>
          </w:p>
        </w:tc>
      </w:tr>
      <w:tr w:rsidR="00E579B9" w14:paraId="7D778854" w14:textId="77777777">
        <w:trPr>
          <w:trHeight w:hRule="exact" w:val="350"/>
        </w:trPr>
        <w:tc>
          <w:tcPr>
            <w:tcW w:w="1322" w:type="dxa"/>
            <w:tcBorders>
              <w:top w:val="single" w:sz="4" w:space="0" w:color="000000"/>
              <w:left w:val="single" w:sz="4" w:space="0" w:color="000000"/>
              <w:bottom w:val="single" w:sz="4" w:space="0" w:color="000000"/>
              <w:right w:val="single" w:sz="4" w:space="0" w:color="000000"/>
            </w:tcBorders>
          </w:tcPr>
          <w:p w14:paraId="0B8FD72C" w14:textId="77777777" w:rsidR="00E579B9" w:rsidRDefault="006A1398">
            <w:pPr>
              <w:pStyle w:val="aa"/>
              <w:rPr>
                <w:rFonts w:ascii="宋体" w:hAnsi="宋体"/>
              </w:rPr>
            </w:pPr>
            <w:r>
              <w:rPr>
                <w:rFonts w:ascii="宋体" w:hAnsi="宋体"/>
              </w:rPr>
              <w:t>建设性质</w:t>
            </w:r>
          </w:p>
        </w:tc>
        <w:tc>
          <w:tcPr>
            <w:tcW w:w="7886" w:type="dxa"/>
            <w:tcBorders>
              <w:top w:val="single" w:sz="4" w:space="0" w:color="000000"/>
              <w:left w:val="single" w:sz="4" w:space="0" w:color="000000"/>
              <w:bottom w:val="single" w:sz="4" w:space="0" w:color="000000"/>
              <w:right w:val="single" w:sz="4" w:space="0" w:color="000000"/>
            </w:tcBorders>
          </w:tcPr>
          <w:p w14:paraId="283E6A0F" w14:textId="58AEBCC1" w:rsidR="00E579B9" w:rsidRDefault="006A1398">
            <w:pPr>
              <w:pStyle w:val="aa"/>
              <w:tabs>
                <w:tab w:val="center" w:pos="3796"/>
                <w:tab w:val="left" w:pos="6058"/>
              </w:tabs>
              <w:jc w:val="left"/>
              <w:rPr>
                <w:rFonts w:ascii="宋体" w:hAnsi="宋体"/>
              </w:rPr>
            </w:pPr>
            <w:r>
              <w:rPr>
                <w:rFonts w:ascii="宋体" w:hAnsi="宋体"/>
              </w:rPr>
              <w:tab/>
            </w:r>
            <w:r w:rsidR="00552DD6">
              <w:rPr>
                <w:rFonts w:ascii="宋体" w:hAnsi="宋体" w:hint="eastAsia"/>
              </w:rPr>
              <w:t>资源整合</w:t>
            </w:r>
            <w:r>
              <w:rPr>
                <w:rFonts w:ascii="宋体" w:hAnsi="宋体"/>
              </w:rPr>
              <w:tab/>
            </w:r>
          </w:p>
        </w:tc>
      </w:tr>
      <w:tr w:rsidR="00E579B9" w14:paraId="6E6AB0B0" w14:textId="77777777">
        <w:trPr>
          <w:trHeight w:hRule="exact" w:val="350"/>
        </w:trPr>
        <w:tc>
          <w:tcPr>
            <w:tcW w:w="1322" w:type="dxa"/>
            <w:tcBorders>
              <w:top w:val="single" w:sz="4" w:space="0" w:color="000000"/>
              <w:left w:val="single" w:sz="4" w:space="0" w:color="000000"/>
              <w:bottom w:val="single" w:sz="4" w:space="0" w:color="000000"/>
              <w:right w:val="single" w:sz="4" w:space="0" w:color="000000"/>
            </w:tcBorders>
          </w:tcPr>
          <w:p w14:paraId="6DB5F846" w14:textId="77777777" w:rsidR="00E579B9" w:rsidRDefault="006A1398">
            <w:pPr>
              <w:pStyle w:val="aa"/>
              <w:rPr>
                <w:rFonts w:ascii="宋体" w:hAnsi="宋体"/>
              </w:rPr>
            </w:pPr>
            <w:r>
              <w:rPr>
                <w:rFonts w:ascii="宋体" w:hAnsi="宋体"/>
              </w:rPr>
              <w:t>矿区地址</w:t>
            </w:r>
          </w:p>
        </w:tc>
        <w:tc>
          <w:tcPr>
            <w:tcW w:w="7886" w:type="dxa"/>
            <w:tcBorders>
              <w:top w:val="single" w:sz="4" w:space="0" w:color="000000"/>
              <w:left w:val="single" w:sz="4" w:space="0" w:color="000000"/>
              <w:bottom w:val="single" w:sz="4" w:space="0" w:color="000000"/>
              <w:right w:val="single" w:sz="4" w:space="0" w:color="000000"/>
            </w:tcBorders>
          </w:tcPr>
          <w:p w14:paraId="790275B6" w14:textId="77777777" w:rsidR="00E579B9" w:rsidRDefault="006A1398">
            <w:pPr>
              <w:pStyle w:val="aa"/>
              <w:rPr>
                <w:rFonts w:ascii="宋体" w:hAnsi="宋体"/>
              </w:rPr>
            </w:pPr>
            <w:r>
              <w:rPr>
                <w:rFonts w:ascii="宋体" w:hAnsi="宋体"/>
              </w:rPr>
              <w:t>驻马店市</w:t>
            </w:r>
            <w:proofErr w:type="gramStart"/>
            <w:r>
              <w:rPr>
                <w:rFonts w:ascii="宋体" w:hAnsi="宋体"/>
              </w:rPr>
              <w:t>驿</w:t>
            </w:r>
            <w:proofErr w:type="gramEnd"/>
            <w:r>
              <w:rPr>
                <w:rFonts w:ascii="宋体" w:hAnsi="宋体"/>
              </w:rPr>
              <w:t>城区沙河店</w:t>
            </w:r>
            <w:proofErr w:type="gramStart"/>
            <w:r>
              <w:rPr>
                <w:rFonts w:ascii="宋体" w:hAnsi="宋体"/>
              </w:rPr>
              <w:t>镇赵尧村</w:t>
            </w:r>
            <w:proofErr w:type="gramEnd"/>
            <w:r>
              <w:rPr>
                <w:rFonts w:ascii="宋体" w:hAnsi="宋体"/>
              </w:rPr>
              <w:t>李庄组</w:t>
            </w:r>
          </w:p>
        </w:tc>
      </w:tr>
      <w:tr w:rsidR="00E579B9" w14:paraId="14D3DCBB" w14:textId="77777777">
        <w:trPr>
          <w:trHeight w:hRule="exact" w:val="350"/>
        </w:trPr>
        <w:tc>
          <w:tcPr>
            <w:tcW w:w="1322" w:type="dxa"/>
            <w:tcBorders>
              <w:top w:val="single" w:sz="4" w:space="0" w:color="000000"/>
              <w:left w:val="single" w:sz="4" w:space="0" w:color="000000"/>
              <w:bottom w:val="single" w:sz="4" w:space="0" w:color="000000"/>
              <w:right w:val="single" w:sz="4" w:space="0" w:color="000000"/>
            </w:tcBorders>
          </w:tcPr>
          <w:p w14:paraId="0E094D98" w14:textId="77777777" w:rsidR="00E579B9" w:rsidRDefault="006A1398">
            <w:pPr>
              <w:pStyle w:val="aa"/>
              <w:rPr>
                <w:rFonts w:ascii="宋体" w:hAnsi="宋体"/>
              </w:rPr>
            </w:pPr>
            <w:r>
              <w:rPr>
                <w:rFonts w:ascii="宋体" w:hAnsi="宋体"/>
              </w:rPr>
              <w:t>采矿权人</w:t>
            </w:r>
          </w:p>
        </w:tc>
        <w:tc>
          <w:tcPr>
            <w:tcW w:w="7886" w:type="dxa"/>
            <w:tcBorders>
              <w:top w:val="single" w:sz="4" w:space="0" w:color="000000"/>
              <w:left w:val="single" w:sz="4" w:space="0" w:color="000000"/>
              <w:bottom w:val="single" w:sz="4" w:space="0" w:color="000000"/>
              <w:right w:val="single" w:sz="4" w:space="0" w:color="000000"/>
            </w:tcBorders>
          </w:tcPr>
          <w:p w14:paraId="15F28B3A" w14:textId="77777777" w:rsidR="00E579B9" w:rsidRDefault="006A1398">
            <w:pPr>
              <w:pStyle w:val="aa"/>
              <w:rPr>
                <w:rFonts w:ascii="宋体" w:hAnsi="宋体"/>
              </w:rPr>
            </w:pPr>
            <w:r>
              <w:rPr>
                <w:rFonts w:ascii="宋体" w:hAnsi="宋体"/>
              </w:rPr>
              <w:t>驻马店市</w:t>
            </w:r>
            <w:proofErr w:type="gramStart"/>
            <w:r>
              <w:rPr>
                <w:rFonts w:ascii="宋体" w:hAnsi="宋体"/>
              </w:rPr>
              <w:t>驿</w:t>
            </w:r>
            <w:proofErr w:type="gramEnd"/>
            <w:r>
              <w:rPr>
                <w:rFonts w:ascii="宋体" w:hAnsi="宋体"/>
              </w:rPr>
              <w:t>城区丰鑫矿业有限公司</w:t>
            </w:r>
          </w:p>
        </w:tc>
      </w:tr>
      <w:tr w:rsidR="00E579B9" w14:paraId="38598AE2" w14:textId="77777777">
        <w:trPr>
          <w:trHeight w:hRule="exact" w:val="350"/>
        </w:trPr>
        <w:tc>
          <w:tcPr>
            <w:tcW w:w="1322" w:type="dxa"/>
            <w:tcBorders>
              <w:top w:val="single" w:sz="4" w:space="0" w:color="000000"/>
              <w:left w:val="single" w:sz="4" w:space="0" w:color="000000"/>
              <w:bottom w:val="single" w:sz="4" w:space="0" w:color="000000"/>
              <w:right w:val="single" w:sz="4" w:space="0" w:color="000000"/>
            </w:tcBorders>
          </w:tcPr>
          <w:p w14:paraId="1EC7AF4D" w14:textId="77777777" w:rsidR="00E579B9" w:rsidRDefault="006A1398">
            <w:pPr>
              <w:pStyle w:val="aa"/>
              <w:rPr>
                <w:rFonts w:ascii="宋体" w:hAnsi="宋体"/>
              </w:rPr>
            </w:pPr>
            <w:r>
              <w:rPr>
                <w:rFonts w:ascii="宋体" w:hAnsi="宋体"/>
              </w:rPr>
              <w:t>矿区面积</w:t>
            </w:r>
          </w:p>
        </w:tc>
        <w:tc>
          <w:tcPr>
            <w:tcW w:w="7886" w:type="dxa"/>
            <w:tcBorders>
              <w:top w:val="single" w:sz="4" w:space="0" w:color="000000"/>
              <w:left w:val="single" w:sz="4" w:space="0" w:color="000000"/>
              <w:bottom w:val="single" w:sz="4" w:space="0" w:color="000000"/>
              <w:right w:val="single" w:sz="4" w:space="0" w:color="000000"/>
            </w:tcBorders>
          </w:tcPr>
          <w:p w14:paraId="6D9CEDBE" w14:textId="77777777" w:rsidR="00E579B9" w:rsidRDefault="006A1398">
            <w:pPr>
              <w:pStyle w:val="aa"/>
              <w:rPr>
                <w:rFonts w:ascii="宋体" w:hAnsi="宋体"/>
              </w:rPr>
            </w:pPr>
            <w:r>
              <w:rPr>
                <w:rFonts w:ascii="宋体" w:hAnsi="宋体"/>
              </w:rPr>
              <w:t>0.2965平方公里</w:t>
            </w:r>
          </w:p>
        </w:tc>
      </w:tr>
      <w:tr w:rsidR="00E579B9" w14:paraId="53081CC0" w14:textId="77777777">
        <w:trPr>
          <w:trHeight w:hRule="exact" w:val="350"/>
        </w:trPr>
        <w:tc>
          <w:tcPr>
            <w:tcW w:w="1322" w:type="dxa"/>
            <w:tcBorders>
              <w:top w:val="single" w:sz="4" w:space="0" w:color="000000"/>
              <w:left w:val="single" w:sz="4" w:space="0" w:color="000000"/>
              <w:bottom w:val="single" w:sz="4" w:space="0" w:color="000000"/>
              <w:right w:val="single" w:sz="4" w:space="0" w:color="000000"/>
            </w:tcBorders>
          </w:tcPr>
          <w:p w14:paraId="5E31D97D" w14:textId="77777777" w:rsidR="00E579B9" w:rsidRDefault="006A1398">
            <w:pPr>
              <w:pStyle w:val="aa"/>
              <w:rPr>
                <w:rFonts w:ascii="宋体" w:hAnsi="宋体"/>
              </w:rPr>
            </w:pPr>
            <w:r>
              <w:rPr>
                <w:rFonts w:ascii="宋体" w:hAnsi="宋体"/>
              </w:rPr>
              <w:t>开采矿种</w:t>
            </w:r>
          </w:p>
        </w:tc>
        <w:tc>
          <w:tcPr>
            <w:tcW w:w="7886" w:type="dxa"/>
            <w:tcBorders>
              <w:top w:val="single" w:sz="4" w:space="0" w:color="000000"/>
              <w:left w:val="single" w:sz="4" w:space="0" w:color="000000"/>
              <w:bottom w:val="single" w:sz="4" w:space="0" w:color="000000"/>
              <w:right w:val="single" w:sz="4" w:space="0" w:color="000000"/>
            </w:tcBorders>
          </w:tcPr>
          <w:p w14:paraId="39718500" w14:textId="77777777" w:rsidR="00E579B9" w:rsidRDefault="006A1398">
            <w:pPr>
              <w:pStyle w:val="aa"/>
              <w:rPr>
                <w:rFonts w:ascii="宋体" w:hAnsi="宋体"/>
              </w:rPr>
            </w:pPr>
            <w:r>
              <w:rPr>
                <w:rFonts w:ascii="宋体" w:hAnsi="宋体"/>
              </w:rPr>
              <w:t>建筑用大理岩</w:t>
            </w:r>
          </w:p>
        </w:tc>
      </w:tr>
      <w:tr w:rsidR="00E579B9" w14:paraId="43807FBA" w14:textId="77777777">
        <w:trPr>
          <w:trHeight w:hRule="exact" w:val="369"/>
        </w:trPr>
        <w:tc>
          <w:tcPr>
            <w:tcW w:w="1322" w:type="dxa"/>
            <w:tcBorders>
              <w:top w:val="single" w:sz="4" w:space="0" w:color="000000"/>
              <w:left w:val="single" w:sz="4" w:space="0" w:color="000000"/>
              <w:bottom w:val="single" w:sz="4" w:space="0" w:color="000000"/>
              <w:right w:val="single" w:sz="4" w:space="0" w:color="000000"/>
            </w:tcBorders>
          </w:tcPr>
          <w:p w14:paraId="7943E416" w14:textId="77777777" w:rsidR="00E579B9" w:rsidRDefault="006A1398">
            <w:pPr>
              <w:pStyle w:val="aa"/>
              <w:rPr>
                <w:rFonts w:ascii="宋体" w:hAnsi="宋体"/>
              </w:rPr>
            </w:pPr>
            <w:r>
              <w:rPr>
                <w:rFonts w:ascii="宋体" w:hAnsi="宋体"/>
              </w:rPr>
              <w:t>开采标高</w:t>
            </w:r>
          </w:p>
        </w:tc>
        <w:tc>
          <w:tcPr>
            <w:tcW w:w="7886" w:type="dxa"/>
            <w:tcBorders>
              <w:top w:val="single" w:sz="4" w:space="0" w:color="000000"/>
              <w:left w:val="single" w:sz="4" w:space="0" w:color="000000"/>
              <w:bottom w:val="single" w:sz="4" w:space="0" w:color="000000"/>
              <w:right w:val="single" w:sz="4" w:space="0" w:color="000000"/>
            </w:tcBorders>
          </w:tcPr>
          <w:p w14:paraId="3C92273D" w14:textId="77777777" w:rsidR="00E579B9" w:rsidRDefault="006A1398">
            <w:pPr>
              <w:pStyle w:val="aa"/>
              <w:rPr>
                <w:rFonts w:ascii="宋体" w:hAnsi="宋体"/>
              </w:rPr>
            </w:pPr>
            <w:r>
              <w:rPr>
                <w:rFonts w:ascii="宋体" w:hAnsi="宋体"/>
              </w:rPr>
              <w:t>+290</w:t>
            </w:r>
            <w:r>
              <w:rPr>
                <w:rFonts w:ascii="宋体" w:hAnsi="宋体" w:hint="eastAsia"/>
              </w:rPr>
              <w:t>-</w:t>
            </w:r>
            <w:r>
              <w:rPr>
                <w:rFonts w:ascii="宋体" w:hAnsi="宋体"/>
              </w:rPr>
              <w:t>+530m</w:t>
            </w:r>
          </w:p>
          <w:p w14:paraId="4DF823C1" w14:textId="77777777" w:rsidR="00E579B9" w:rsidRDefault="00E579B9">
            <w:pPr>
              <w:pStyle w:val="aa"/>
              <w:rPr>
                <w:rFonts w:ascii="宋体" w:hAnsi="宋体"/>
              </w:rPr>
            </w:pPr>
          </w:p>
        </w:tc>
      </w:tr>
      <w:tr w:rsidR="00E579B9" w14:paraId="5C3F9E8D" w14:textId="77777777">
        <w:trPr>
          <w:trHeight w:hRule="exact" w:val="1056"/>
        </w:trPr>
        <w:tc>
          <w:tcPr>
            <w:tcW w:w="1322" w:type="dxa"/>
            <w:tcBorders>
              <w:top w:val="single" w:sz="4" w:space="0" w:color="000000"/>
              <w:left w:val="single" w:sz="4" w:space="0" w:color="000000"/>
              <w:bottom w:val="single" w:sz="4" w:space="0" w:color="000000"/>
              <w:right w:val="single" w:sz="4" w:space="0" w:color="000000"/>
            </w:tcBorders>
          </w:tcPr>
          <w:p w14:paraId="33B0C987" w14:textId="77777777" w:rsidR="00E579B9" w:rsidRDefault="00E579B9">
            <w:pPr>
              <w:pStyle w:val="aa"/>
              <w:rPr>
                <w:rFonts w:ascii="宋体" w:hAnsi="宋体"/>
              </w:rPr>
            </w:pPr>
          </w:p>
          <w:p w14:paraId="20301A69" w14:textId="77777777" w:rsidR="00E579B9" w:rsidRDefault="006A1398">
            <w:pPr>
              <w:pStyle w:val="aa"/>
              <w:rPr>
                <w:rFonts w:ascii="宋体" w:hAnsi="宋体"/>
              </w:rPr>
            </w:pPr>
            <w:r>
              <w:rPr>
                <w:rFonts w:ascii="宋体" w:hAnsi="宋体"/>
              </w:rPr>
              <w:t>开采储量</w:t>
            </w:r>
          </w:p>
        </w:tc>
        <w:tc>
          <w:tcPr>
            <w:tcW w:w="7886" w:type="dxa"/>
            <w:tcBorders>
              <w:top w:val="single" w:sz="4" w:space="0" w:color="000000"/>
              <w:left w:val="single" w:sz="4" w:space="0" w:color="000000"/>
              <w:bottom w:val="single" w:sz="4" w:space="0" w:color="000000"/>
              <w:right w:val="single" w:sz="4" w:space="0" w:color="000000"/>
            </w:tcBorders>
          </w:tcPr>
          <w:p w14:paraId="7071E3DE" w14:textId="77777777" w:rsidR="00E579B9" w:rsidRDefault="006A1398">
            <w:pPr>
              <w:pStyle w:val="aa"/>
              <w:jc w:val="left"/>
              <w:rPr>
                <w:rFonts w:ascii="宋体" w:hAnsi="宋体"/>
              </w:rPr>
            </w:pPr>
            <w:r>
              <w:rPr>
                <w:rFonts w:ascii="宋体" w:hAnsi="宋体"/>
              </w:rPr>
              <w:t>保有资源储量：（122b）类资源储量1979.00万t；可综合回收利用的玄武岩合199.83万t。</w:t>
            </w:r>
            <w:proofErr w:type="gramStart"/>
            <w:r>
              <w:rPr>
                <w:rFonts w:ascii="宋体" w:hAnsi="宋体"/>
              </w:rPr>
              <w:t>压矿量</w:t>
            </w:r>
            <w:proofErr w:type="gramEnd"/>
            <w:r>
              <w:rPr>
                <w:rFonts w:ascii="宋体" w:hAnsi="宋体"/>
              </w:rPr>
              <w:t>：不考虑（原储量已扣除）；设计利用资源储量：2178.83万吨；矿山开采损失率5％，开采损失储量108.94万吨；可采储量：2069.89万吨。</w:t>
            </w:r>
          </w:p>
        </w:tc>
      </w:tr>
      <w:tr w:rsidR="00E579B9" w14:paraId="714DB793" w14:textId="77777777">
        <w:trPr>
          <w:trHeight w:hRule="exact" w:val="350"/>
        </w:trPr>
        <w:tc>
          <w:tcPr>
            <w:tcW w:w="1322" w:type="dxa"/>
            <w:tcBorders>
              <w:top w:val="single" w:sz="4" w:space="0" w:color="000000"/>
              <w:left w:val="single" w:sz="4" w:space="0" w:color="000000"/>
              <w:bottom w:val="single" w:sz="4" w:space="0" w:color="000000"/>
              <w:right w:val="single" w:sz="4" w:space="0" w:color="000000"/>
            </w:tcBorders>
          </w:tcPr>
          <w:p w14:paraId="0FB27E70" w14:textId="77777777" w:rsidR="00E579B9" w:rsidRDefault="006A1398">
            <w:pPr>
              <w:pStyle w:val="aa"/>
              <w:rPr>
                <w:rFonts w:ascii="宋体" w:hAnsi="宋体"/>
              </w:rPr>
            </w:pPr>
            <w:r>
              <w:rPr>
                <w:rFonts w:ascii="宋体" w:hAnsi="宋体"/>
              </w:rPr>
              <w:t>开采规模</w:t>
            </w:r>
          </w:p>
        </w:tc>
        <w:tc>
          <w:tcPr>
            <w:tcW w:w="7886" w:type="dxa"/>
            <w:tcBorders>
              <w:top w:val="single" w:sz="4" w:space="0" w:color="000000"/>
              <w:left w:val="single" w:sz="4" w:space="0" w:color="000000"/>
              <w:bottom w:val="single" w:sz="4" w:space="0" w:color="000000"/>
              <w:right w:val="single" w:sz="4" w:space="0" w:color="000000"/>
            </w:tcBorders>
          </w:tcPr>
          <w:p w14:paraId="4DA941CA" w14:textId="77777777" w:rsidR="00E579B9" w:rsidRDefault="006A1398">
            <w:pPr>
              <w:pStyle w:val="aa"/>
              <w:rPr>
                <w:rFonts w:ascii="宋体" w:hAnsi="宋体"/>
              </w:rPr>
            </w:pPr>
            <w:r>
              <w:rPr>
                <w:rFonts w:ascii="宋体" w:hAnsi="宋体"/>
              </w:rPr>
              <w:t>230万吨/年</w:t>
            </w:r>
          </w:p>
        </w:tc>
      </w:tr>
      <w:tr w:rsidR="00E579B9" w14:paraId="4A3E0424" w14:textId="77777777">
        <w:trPr>
          <w:trHeight w:hRule="exact" w:val="350"/>
        </w:trPr>
        <w:tc>
          <w:tcPr>
            <w:tcW w:w="1322" w:type="dxa"/>
            <w:tcBorders>
              <w:top w:val="single" w:sz="4" w:space="0" w:color="000000"/>
              <w:left w:val="single" w:sz="4" w:space="0" w:color="000000"/>
              <w:bottom w:val="single" w:sz="4" w:space="0" w:color="000000"/>
              <w:right w:val="single" w:sz="4" w:space="0" w:color="000000"/>
            </w:tcBorders>
          </w:tcPr>
          <w:p w14:paraId="4D887066" w14:textId="77777777" w:rsidR="00E579B9" w:rsidRDefault="006A1398">
            <w:pPr>
              <w:pStyle w:val="aa"/>
              <w:rPr>
                <w:rFonts w:ascii="宋体" w:hAnsi="宋体"/>
              </w:rPr>
            </w:pPr>
            <w:r>
              <w:rPr>
                <w:rFonts w:ascii="宋体" w:hAnsi="宋体"/>
              </w:rPr>
              <w:t>矿山服务年限</w:t>
            </w:r>
          </w:p>
        </w:tc>
        <w:tc>
          <w:tcPr>
            <w:tcW w:w="7886" w:type="dxa"/>
            <w:tcBorders>
              <w:top w:val="single" w:sz="4" w:space="0" w:color="000000"/>
              <w:left w:val="single" w:sz="4" w:space="0" w:color="000000"/>
              <w:bottom w:val="single" w:sz="4" w:space="0" w:color="000000"/>
              <w:right w:val="single" w:sz="4" w:space="0" w:color="000000"/>
            </w:tcBorders>
          </w:tcPr>
          <w:p w14:paraId="064CC569" w14:textId="77777777" w:rsidR="00E579B9" w:rsidRDefault="006A1398">
            <w:pPr>
              <w:pStyle w:val="aa"/>
              <w:rPr>
                <w:rFonts w:ascii="宋体" w:hAnsi="宋体"/>
              </w:rPr>
            </w:pPr>
            <w:r>
              <w:rPr>
                <w:rFonts w:ascii="宋体" w:hAnsi="宋体"/>
              </w:rPr>
              <w:t>矿山生产服务年限为9年，考虑基建期0.5年，则矿山总的服务年限为9.5年。</w:t>
            </w:r>
          </w:p>
        </w:tc>
      </w:tr>
      <w:tr w:rsidR="00E579B9" w14:paraId="4BEF303C" w14:textId="77777777">
        <w:trPr>
          <w:trHeight w:hRule="exact" w:val="350"/>
        </w:trPr>
        <w:tc>
          <w:tcPr>
            <w:tcW w:w="1322" w:type="dxa"/>
            <w:tcBorders>
              <w:top w:val="single" w:sz="4" w:space="0" w:color="000000"/>
              <w:left w:val="single" w:sz="4" w:space="0" w:color="000000"/>
              <w:bottom w:val="single" w:sz="4" w:space="0" w:color="000000"/>
              <w:right w:val="single" w:sz="4" w:space="0" w:color="000000"/>
            </w:tcBorders>
          </w:tcPr>
          <w:p w14:paraId="4831BF5B" w14:textId="77777777" w:rsidR="00E579B9" w:rsidRDefault="006A1398">
            <w:pPr>
              <w:pStyle w:val="aa"/>
              <w:rPr>
                <w:rFonts w:ascii="宋体" w:hAnsi="宋体"/>
              </w:rPr>
            </w:pPr>
            <w:r>
              <w:rPr>
                <w:rFonts w:ascii="宋体" w:hAnsi="宋体"/>
              </w:rPr>
              <w:t>开采方式</w:t>
            </w:r>
          </w:p>
        </w:tc>
        <w:tc>
          <w:tcPr>
            <w:tcW w:w="7886" w:type="dxa"/>
            <w:tcBorders>
              <w:top w:val="single" w:sz="4" w:space="0" w:color="000000"/>
              <w:left w:val="single" w:sz="4" w:space="0" w:color="000000"/>
              <w:bottom w:val="single" w:sz="4" w:space="0" w:color="000000"/>
              <w:right w:val="single" w:sz="4" w:space="0" w:color="000000"/>
            </w:tcBorders>
          </w:tcPr>
          <w:p w14:paraId="3786DD93" w14:textId="77777777" w:rsidR="00E579B9" w:rsidRDefault="006A1398">
            <w:pPr>
              <w:pStyle w:val="aa"/>
              <w:rPr>
                <w:rFonts w:ascii="宋体" w:hAnsi="宋体"/>
              </w:rPr>
            </w:pPr>
            <w:r>
              <w:rPr>
                <w:rFonts w:ascii="宋体" w:hAnsi="宋体"/>
              </w:rPr>
              <w:t>露天开采</w:t>
            </w:r>
          </w:p>
        </w:tc>
      </w:tr>
      <w:tr w:rsidR="00E579B9" w14:paraId="6BCC8F08" w14:textId="77777777">
        <w:trPr>
          <w:trHeight w:hRule="exact" w:val="350"/>
        </w:trPr>
        <w:tc>
          <w:tcPr>
            <w:tcW w:w="1322" w:type="dxa"/>
            <w:tcBorders>
              <w:top w:val="single" w:sz="4" w:space="0" w:color="000000"/>
              <w:left w:val="single" w:sz="4" w:space="0" w:color="000000"/>
              <w:bottom w:val="single" w:sz="4" w:space="0" w:color="000000"/>
              <w:right w:val="single" w:sz="4" w:space="0" w:color="000000"/>
            </w:tcBorders>
          </w:tcPr>
          <w:p w14:paraId="321A53DA" w14:textId="77777777" w:rsidR="00E579B9" w:rsidRDefault="006A1398">
            <w:pPr>
              <w:pStyle w:val="aa"/>
              <w:rPr>
                <w:rFonts w:ascii="宋体" w:hAnsi="宋体"/>
              </w:rPr>
            </w:pPr>
            <w:r>
              <w:rPr>
                <w:rFonts w:ascii="宋体" w:hAnsi="宋体"/>
              </w:rPr>
              <w:t>项目投资</w:t>
            </w:r>
          </w:p>
        </w:tc>
        <w:tc>
          <w:tcPr>
            <w:tcW w:w="7886" w:type="dxa"/>
            <w:tcBorders>
              <w:top w:val="single" w:sz="4" w:space="0" w:color="000000"/>
              <w:left w:val="single" w:sz="4" w:space="0" w:color="000000"/>
              <w:bottom w:val="single" w:sz="4" w:space="0" w:color="000000"/>
              <w:right w:val="single" w:sz="4" w:space="0" w:color="000000"/>
            </w:tcBorders>
          </w:tcPr>
          <w:p w14:paraId="370F94CF" w14:textId="77777777" w:rsidR="00E579B9" w:rsidRDefault="006A1398">
            <w:pPr>
              <w:pStyle w:val="aa"/>
              <w:rPr>
                <w:rFonts w:ascii="宋体" w:hAnsi="宋体"/>
              </w:rPr>
            </w:pPr>
            <w:r>
              <w:rPr>
                <w:rFonts w:ascii="宋体" w:hAnsi="宋体"/>
              </w:rPr>
              <w:t>总投资5000万元，其中环保投资509万元，占总投资的10.18%。</w:t>
            </w:r>
          </w:p>
        </w:tc>
      </w:tr>
      <w:tr w:rsidR="00E579B9" w14:paraId="39357487" w14:textId="77777777">
        <w:trPr>
          <w:trHeight w:hRule="exact" w:val="387"/>
        </w:trPr>
        <w:tc>
          <w:tcPr>
            <w:tcW w:w="1322" w:type="dxa"/>
            <w:tcBorders>
              <w:top w:val="single" w:sz="4" w:space="0" w:color="000000"/>
              <w:left w:val="single" w:sz="4" w:space="0" w:color="000000"/>
              <w:bottom w:val="single" w:sz="4" w:space="0" w:color="000000"/>
              <w:right w:val="single" w:sz="4" w:space="0" w:color="000000"/>
            </w:tcBorders>
          </w:tcPr>
          <w:p w14:paraId="21980AD6" w14:textId="77777777" w:rsidR="00E579B9" w:rsidRDefault="006A1398">
            <w:pPr>
              <w:pStyle w:val="aa"/>
              <w:rPr>
                <w:rFonts w:ascii="宋体" w:hAnsi="宋体"/>
              </w:rPr>
            </w:pPr>
            <w:r>
              <w:rPr>
                <w:rFonts w:ascii="宋体" w:hAnsi="宋体"/>
              </w:rPr>
              <w:t>劳动制度</w:t>
            </w:r>
          </w:p>
        </w:tc>
        <w:tc>
          <w:tcPr>
            <w:tcW w:w="7886" w:type="dxa"/>
            <w:tcBorders>
              <w:top w:val="single" w:sz="4" w:space="0" w:color="000000"/>
              <w:left w:val="single" w:sz="4" w:space="0" w:color="000000"/>
              <w:bottom w:val="single" w:sz="4" w:space="0" w:color="000000"/>
              <w:right w:val="single" w:sz="4" w:space="0" w:color="000000"/>
            </w:tcBorders>
          </w:tcPr>
          <w:p w14:paraId="60E480FE" w14:textId="77777777" w:rsidR="00E579B9" w:rsidRDefault="006A1398">
            <w:pPr>
              <w:pStyle w:val="aa"/>
              <w:rPr>
                <w:rFonts w:ascii="宋体" w:hAnsi="宋体"/>
              </w:rPr>
            </w:pPr>
            <w:r>
              <w:rPr>
                <w:rFonts w:ascii="宋体" w:hAnsi="宋体"/>
              </w:rPr>
              <w:t>本项目劳动定员159人，年工作280天，每天2班，每班8小时工作制。</w:t>
            </w:r>
          </w:p>
        </w:tc>
      </w:tr>
    </w:tbl>
    <w:p w14:paraId="52C43A3B" w14:textId="57E211D6" w:rsidR="00E579B9" w:rsidRDefault="0003710F">
      <w:pPr>
        <w:pStyle w:val="3"/>
        <w:ind w:firstLine="560"/>
      </w:pPr>
      <w:bookmarkStart w:id="81" w:name="_Toc12144"/>
      <w:bookmarkStart w:id="82" w:name="_Toc531939305"/>
      <w:r>
        <w:t>3.2</w:t>
      </w:r>
      <w:r w:rsidR="006A1398">
        <w:rPr>
          <w:rFonts w:hint="eastAsia"/>
        </w:rPr>
        <w:t>.2</w:t>
      </w:r>
      <w:r w:rsidR="006A1398">
        <w:rPr>
          <w:rFonts w:hint="eastAsia"/>
        </w:rPr>
        <w:t>矿区范围</w:t>
      </w:r>
      <w:bookmarkEnd w:id="81"/>
      <w:bookmarkEnd w:id="82"/>
    </w:p>
    <w:p w14:paraId="4CFAC572" w14:textId="3D7C659E" w:rsidR="00E579B9" w:rsidRDefault="006A1398">
      <w:r>
        <w:lastRenderedPageBreak/>
        <w:t>根据本项目</w:t>
      </w:r>
      <w:r>
        <w:rPr>
          <w:rFonts w:hint="eastAsia"/>
        </w:rPr>
        <w:t>《驻马店市驿城区李尧建筑石料用大理岩矿矿产资源开发利用方案》</w:t>
      </w:r>
      <w:r>
        <w:t>，驻马店市</w:t>
      </w:r>
      <w:proofErr w:type="gramStart"/>
      <w:r>
        <w:t>驿</w:t>
      </w:r>
      <w:proofErr w:type="gramEnd"/>
      <w:r>
        <w:t>城区李</w:t>
      </w:r>
      <w:proofErr w:type="gramStart"/>
      <w:r>
        <w:t>尧建筑</w:t>
      </w:r>
      <w:proofErr w:type="gramEnd"/>
      <w:r>
        <w:t>用大理岩矿开采项目矿区范围由</w:t>
      </w:r>
      <w:r>
        <w:t>4</w:t>
      </w:r>
      <w:r>
        <w:t>个拐点圈定</w:t>
      </w:r>
      <w:r>
        <w:rPr>
          <w:rFonts w:hint="eastAsia"/>
        </w:rPr>
        <w:t>，</w:t>
      </w:r>
      <w:bookmarkStart w:id="83" w:name="_Hlk534982883"/>
      <w:r>
        <w:rPr>
          <w:rFonts w:hint="eastAsia"/>
        </w:rPr>
        <w:t>矿区面积为</w:t>
      </w:r>
      <w:r>
        <w:t>0.2965</w:t>
      </w:r>
      <w:r>
        <w:rPr>
          <w:rFonts w:hint="eastAsia"/>
        </w:rPr>
        <w:t>km</w:t>
      </w:r>
      <w:r>
        <w:rPr>
          <w:rFonts w:hint="eastAsia"/>
          <w:vertAlign w:val="superscript"/>
        </w:rPr>
        <w:t>2</w:t>
      </w:r>
      <w:r>
        <w:rPr>
          <w:rFonts w:hint="eastAsia"/>
        </w:rPr>
        <w:t>，</w:t>
      </w:r>
      <w:bookmarkEnd w:id="83"/>
      <w:r>
        <w:rPr>
          <w:rFonts w:hint="eastAsia"/>
        </w:rPr>
        <w:t>开采深度为</w:t>
      </w:r>
      <w:r>
        <w:rPr>
          <w:rFonts w:hint="eastAsia"/>
        </w:rPr>
        <w:t>+</w:t>
      </w:r>
      <w:r>
        <w:t>290</w:t>
      </w:r>
      <w:r>
        <w:rPr>
          <w:rFonts w:hint="eastAsia"/>
        </w:rPr>
        <w:t>—</w:t>
      </w:r>
      <w:r>
        <w:rPr>
          <w:rFonts w:hint="eastAsia"/>
        </w:rPr>
        <w:t>+</w:t>
      </w:r>
      <w:r>
        <w:t>530</w:t>
      </w:r>
      <w:r>
        <w:rPr>
          <w:rFonts w:hint="eastAsia"/>
        </w:rPr>
        <w:t>m</w:t>
      </w:r>
      <w:r>
        <w:rPr>
          <w:rFonts w:hint="eastAsia"/>
        </w:rPr>
        <w:t>。矿区范围拐点坐标见表</w:t>
      </w:r>
      <w:r w:rsidR="0003710F">
        <w:t>3.2</w:t>
      </w:r>
      <w:r>
        <w:rPr>
          <w:rFonts w:hint="eastAsia"/>
        </w:rPr>
        <w:t>-2</w:t>
      </w:r>
      <w:r>
        <w:rPr>
          <w:rFonts w:hint="eastAsia"/>
        </w:rPr>
        <w:t>。</w:t>
      </w:r>
    </w:p>
    <w:p w14:paraId="4B75825A" w14:textId="5B0EB46D" w:rsidR="00E579B9" w:rsidRDefault="006A1398">
      <w:pPr>
        <w:pStyle w:val="21"/>
        <w:ind w:firstLineChars="700" w:firstLine="1680"/>
      </w:pPr>
      <w:r>
        <w:rPr>
          <w:rFonts w:hint="eastAsia"/>
        </w:rPr>
        <w:t>表</w:t>
      </w:r>
      <w:r w:rsidR="0003710F">
        <w:t>3.2</w:t>
      </w:r>
      <w:r>
        <w:rPr>
          <w:rFonts w:hint="eastAsia"/>
        </w:rPr>
        <w:t>-</w:t>
      </w:r>
      <w:r>
        <w:t>2</w:t>
      </w:r>
      <w:r>
        <w:rPr>
          <w:rFonts w:hint="eastAsia"/>
        </w:rPr>
        <w:t>矿区范围拐点坐标一览表</w:t>
      </w:r>
    </w:p>
    <w:tbl>
      <w:tblPr>
        <w:tblW w:w="8720" w:type="dxa"/>
        <w:jc w:val="center"/>
        <w:tblLayout w:type="fixed"/>
        <w:tblCellMar>
          <w:left w:w="0" w:type="dxa"/>
          <w:right w:w="0" w:type="dxa"/>
        </w:tblCellMar>
        <w:tblLook w:val="04A0" w:firstRow="1" w:lastRow="0" w:firstColumn="1" w:lastColumn="0" w:noHBand="0" w:noVBand="1"/>
      </w:tblPr>
      <w:tblGrid>
        <w:gridCol w:w="1135"/>
        <w:gridCol w:w="1791"/>
        <w:gridCol w:w="1997"/>
        <w:gridCol w:w="1866"/>
        <w:gridCol w:w="1931"/>
      </w:tblGrid>
      <w:tr w:rsidR="00E579B9" w14:paraId="7C1698F7" w14:textId="77777777">
        <w:trPr>
          <w:trHeight w:val="406"/>
          <w:jc w:val="center"/>
        </w:trPr>
        <w:tc>
          <w:tcPr>
            <w:tcW w:w="1135" w:type="dxa"/>
            <w:vMerge w:val="restart"/>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6168BA9" w14:textId="77777777" w:rsidR="00E579B9" w:rsidRDefault="006A1398">
            <w:pPr>
              <w:pStyle w:val="aa"/>
            </w:pPr>
            <w:r>
              <w:rPr>
                <w:rFonts w:hint="eastAsia"/>
              </w:rPr>
              <w:t>点号</w:t>
            </w:r>
          </w:p>
        </w:tc>
        <w:tc>
          <w:tcPr>
            <w:tcW w:w="3788" w:type="dxa"/>
            <w:gridSpan w:val="2"/>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59F8D1D9" w14:textId="77777777" w:rsidR="00E579B9" w:rsidRDefault="006A1398">
            <w:pPr>
              <w:pStyle w:val="aa"/>
            </w:pPr>
            <w:r>
              <w:rPr>
                <w:rFonts w:hint="eastAsia"/>
              </w:rPr>
              <w:t>1980</w:t>
            </w:r>
            <w:r>
              <w:rPr>
                <w:rFonts w:hint="eastAsia"/>
              </w:rPr>
              <w:t>西安坐标系</w:t>
            </w:r>
          </w:p>
        </w:tc>
        <w:tc>
          <w:tcPr>
            <w:tcW w:w="3797" w:type="dxa"/>
            <w:gridSpan w:val="2"/>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39974A9F" w14:textId="77777777" w:rsidR="00E579B9" w:rsidRDefault="006A1398">
            <w:pPr>
              <w:pStyle w:val="aa"/>
            </w:pPr>
            <w:r>
              <w:rPr>
                <w:rFonts w:hint="eastAsia"/>
              </w:rPr>
              <w:t>2000</w:t>
            </w:r>
            <w:r>
              <w:rPr>
                <w:rFonts w:hint="eastAsia"/>
              </w:rPr>
              <w:t>国家大地坐标系</w:t>
            </w:r>
          </w:p>
        </w:tc>
      </w:tr>
      <w:tr w:rsidR="00E579B9" w14:paraId="1178D8F7" w14:textId="77777777">
        <w:trPr>
          <w:trHeight w:val="406"/>
          <w:jc w:val="center"/>
        </w:trPr>
        <w:tc>
          <w:tcPr>
            <w:tcW w:w="1135" w:type="dxa"/>
            <w:vMerge/>
            <w:tcBorders>
              <w:top w:val="single" w:sz="4" w:space="0" w:color="000000"/>
              <w:left w:val="single" w:sz="4" w:space="0" w:color="000000"/>
              <w:bottom w:val="single" w:sz="4" w:space="0" w:color="000000"/>
              <w:right w:val="single" w:sz="4" w:space="0" w:color="000000"/>
            </w:tcBorders>
            <w:vAlign w:val="center"/>
          </w:tcPr>
          <w:p w14:paraId="09F72874" w14:textId="77777777" w:rsidR="00E579B9" w:rsidRDefault="00E579B9">
            <w:pPr>
              <w:pStyle w:val="aa"/>
            </w:pPr>
          </w:p>
        </w:tc>
        <w:tc>
          <w:tcPr>
            <w:tcW w:w="1791"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69D7B332" w14:textId="77777777" w:rsidR="00E579B9" w:rsidRDefault="006A1398">
            <w:pPr>
              <w:pStyle w:val="aa"/>
            </w:pPr>
            <w:r>
              <w:rPr>
                <w:rFonts w:hint="eastAsia"/>
              </w:rPr>
              <w:t>X</w:t>
            </w:r>
          </w:p>
        </w:tc>
        <w:tc>
          <w:tcPr>
            <w:tcW w:w="1997"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130262D4" w14:textId="77777777" w:rsidR="00E579B9" w:rsidRDefault="006A1398">
            <w:pPr>
              <w:pStyle w:val="aa"/>
            </w:pPr>
            <w:r>
              <w:rPr>
                <w:rFonts w:hint="eastAsia"/>
              </w:rPr>
              <w:t>Y</w:t>
            </w:r>
          </w:p>
        </w:tc>
        <w:tc>
          <w:tcPr>
            <w:tcW w:w="1866"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5D961470" w14:textId="77777777" w:rsidR="00E579B9" w:rsidRDefault="006A1398">
            <w:pPr>
              <w:pStyle w:val="aa"/>
            </w:pPr>
            <w:r>
              <w:rPr>
                <w:rFonts w:hint="eastAsia"/>
              </w:rPr>
              <w:t>X</w:t>
            </w:r>
          </w:p>
        </w:tc>
        <w:tc>
          <w:tcPr>
            <w:tcW w:w="1931"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619AFA15" w14:textId="77777777" w:rsidR="00E579B9" w:rsidRDefault="006A1398">
            <w:pPr>
              <w:pStyle w:val="aa"/>
            </w:pPr>
            <w:r>
              <w:rPr>
                <w:rFonts w:hint="eastAsia"/>
              </w:rPr>
              <w:t>Y</w:t>
            </w:r>
          </w:p>
        </w:tc>
      </w:tr>
      <w:tr w:rsidR="00E579B9" w14:paraId="12440C6A" w14:textId="77777777">
        <w:trPr>
          <w:trHeight w:val="406"/>
          <w:jc w:val="center"/>
        </w:trPr>
        <w:tc>
          <w:tcPr>
            <w:tcW w:w="11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4282D55" w14:textId="77777777" w:rsidR="00E579B9" w:rsidRDefault="006A1398">
            <w:pPr>
              <w:pStyle w:val="aa"/>
            </w:pPr>
            <w:r>
              <w:rPr>
                <w:rFonts w:hint="eastAsia"/>
              </w:rPr>
              <w:t>1</w:t>
            </w:r>
          </w:p>
        </w:tc>
        <w:tc>
          <w:tcPr>
            <w:tcW w:w="1791"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745FF928" w14:textId="77777777" w:rsidR="00E579B9" w:rsidRDefault="006A1398">
            <w:pPr>
              <w:pStyle w:val="aa"/>
            </w:pPr>
            <w:r>
              <w:rPr>
                <w:rFonts w:hint="eastAsia"/>
              </w:rPr>
              <w:t>3667137.430</w:t>
            </w:r>
          </w:p>
        </w:tc>
        <w:tc>
          <w:tcPr>
            <w:tcW w:w="1997"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20E66739" w14:textId="77777777" w:rsidR="00E579B9" w:rsidRDefault="006A1398">
            <w:pPr>
              <w:pStyle w:val="aa"/>
            </w:pPr>
            <w:r>
              <w:rPr>
                <w:rFonts w:hint="eastAsia"/>
              </w:rPr>
              <w:t>38467857.575</w:t>
            </w:r>
          </w:p>
        </w:tc>
        <w:tc>
          <w:tcPr>
            <w:tcW w:w="1866"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4212BA91" w14:textId="77777777" w:rsidR="00E579B9" w:rsidRDefault="006A1398">
            <w:pPr>
              <w:pStyle w:val="aa"/>
            </w:pPr>
            <w:r>
              <w:rPr>
                <w:rFonts w:hint="eastAsia"/>
              </w:rPr>
              <w:t>3667137.970</w:t>
            </w:r>
          </w:p>
        </w:tc>
        <w:tc>
          <w:tcPr>
            <w:tcW w:w="1931"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638C23BE" w14:textId="77777777" w:rsidR="00E579B9" w:rsidRDefault="006A1398">
            <w:pPr>
              <w:pStyle w:val="aa"/>
            </w:pPr>
            <w:r>
              <w:rPr>
                <w:rFonts w:hint="eastAsia"/>
              </w:rPr>
              <w:t>38467974.085</w:t>
            </w:r>
          </w:p>
        </w:tc>
      </w:tr>
      <w:tr w:rsidR="00E579B9" w14:paraId="510E1414" w14:textId="77777777">
        <w:trPr>
          <w:trHeight w:val="406"/>
          <w:jc w:val="center"/>
        </w:trPr>
        <w:tc>
          <w:tcPr>
            <w:tcW w:w="11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79CF08F" w14:textId="77777777" w:rsidR="00E579B9" w:rsidRDefault="006A1398">
            <w:pPr>
              <w:pStyle w:val="aa"/>
            </w:pPr>
            <w:r>
              <w:rPr>
                <w:rFonts w:hint="eastAsia"/>
              </w:rPr>
              <w:t>2</w:t>
            </w:r>
          </w:p>
        </w:tc>
        <w:tc>
          <w:tcPr>
            <w:tcW w:w="1791"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3AC584AD" w14:textId="77777777" w:rsidR="00E579B9" w:rsidRDefault="006A1398">
            <w:pPr>
              <w:pStyle w:val="aa"/>
            </w:pPr>
            <w:r>
              <w:rPr>
                <w:rFonts w:hint="eastAsia"/>
              </w:rPr>
              <w:t>3666695.843</w:t>
            </w:r>
          </w:p>
        </w:tc>
        <w:tc>
          <w:tcPr>
            <w:tcW w:w="1997"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467FBBCF" w14:textId="77777777" w:rsidR="00E579B9" w:rsidRDefault="006A1398">
            <w:pPr>
              <w:pStyle w:val="aa"/>
            </w:pPr>
            <w:r>
              <w:rPr>
                <w:rFonts w:hint="eastAsia"/>
              </w:rPr>
              <w:t>38467819.390</w:t>
            </w:r>
          </w:p>
        </w:tc>
        <w:tc>
          <w:tcPr>
            <w:tcW w:w="1866"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2D54E1AC" w14:textId="77777777" w:rsidR="00E579B9" w:rsidRDefault="006A1398">
            <w:pPr>
              <w:pStyle w:val="aa"/>
            </w:pPr>
            <w:r>
              <w:rPr>
                <w:rFonts w:hint="eastAsia"/>
              </w:rPr>
              <w:t>3666696.383</w:t>
            </w:r>
          </w:p>
        </w:tc>
        <w:tc>
          <w:tcPr>
            <w:tcW w:w="1931"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2C62456C" w14:textId="77777777" w:rsidR="00E579B9" w:rsidRDefault="006A1398">
            <w:pPr>
              <w:pStyle w:val="aa"/>
            </w:pPr>
            <w:r>
              <w:rPr>
                <w:rFonts w:hint="eastAsia"/>
              </w:rPr>
              <w:t>38467935.900</w:t>
            </w:r>
          </w:p>
        </w:tc>
      </w:tr>
      <w:tr w:rsidR="00E579B9" w14:paraId="44C5F7E5" w14:textId="77777777">
        <w:trPr>
          <w:trHeight w:val="406"/>
          <w:jc w:val="center"/>
        </w:trPr>
        <w:tc>
          <w:tcPr>
            <w:tcW w:w="11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42526EC" w14:textId="77777777" w:rsidR="00E579B9" w:rsidRDefault="006A1398">
            <w:pPr>
              <w:pStyle w:val="aa"/>
            </w:pPr>
            <w:r>
              <w:rPr>
                <w:rFonts w:hint="eastAsia"/>
              </w:rPr>
              <w:t>3</w:t>
            </w:r>
          </w:p>
        </w:tc>
        <w:tc>
          <w:tcPr>
            <w:tcW w:w="1791"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4052F58A" w14:textId="77777777" w:rsidR="00E579B9" w:rsidRDefault="006A1398">
            <w:pPr>
              <w:pStyle w:val="aa"/>
            </w:pPr>
            <w:r>
              <w:rPr>
                <w:rFonts w:hint="eastAsia"/>
              </w:rPr>
              <w:t>3666344.019</w:t>
            </w:r>
          </w:p>
        </w:tc>
        <w:tc>
          <w:tcPr>
            <w:tcW w:w="1997"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49A285C0" w14:textId="77777777" w:rsidR="00E579B9" w:rsidRDefault="006A1398">
            <w:pPr>
              <w:pStyle w:val="aa"/>
            </w:pPr>
            <w:r>
              <w:rPr>
                <w:rFonts w:hint="eastAsia"/>
              </w:rPr>
              <w:t>38467472.325</w:t>
            </w:r>
          </w:p>
        </w:tc>
        <w:tc>
          <w:tcPr>
            <w:tcW w:w="1866"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7AF1EFB0" w14:textId="77777777" w:rsidR="00E579B9" w:rsidRDefault="006A1398">
            <w:pPr>
              <w:pStyle w:val="aa"/>
            </w:pPr>
            <w:r>
              <w:rPr>
                <w:rFonts w:hint="eastAsia"/>
              </w:rPr>
              <w:t>3666344.559</w:t>
            </w:r>
          </w:p>
        </w:tc>
        <w:tc>
          <w:tcPr>
            <w:tcW w:w="1931"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2E852415" w14:textId="77777777" w:rsidR="00E579B9" w:rsidRDefault="006A1398">
            <w:pPr>
              <w:pStyle w:val="aa"/>
            </w:pPr>
            <w:r>
              <w:rPr>
                <w:rFonts w:hint="eastAsia"/>
              </w:rPr>
              <w:t>38467588.835</w:t>
            </w:r>
          </w:p>
        </w:tc>
      </w:tr>
      <w:tr w:rsidR="00E579B9" w14:paraId="1412F038" w14:textId="77777777">
        <w:trPr>
          <w:trHeight w:val="418"/>
          <w:jc w:val="center"/>
        </w:trPr>
        <w:tc>
          <w:tcPr>
            <w:tcW w:w="11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9C3E3DB" w14:textId="77777777" w:rsidR="00E579B9" w:rsidRDefault="006A1398">
            <w:pPr>
              <w:pStyle w:val="aa"/>
            </w:pPr>
            <w:r>
              <w:rPr>
                <w:rFonts w:hint="eastAsia"/>
              </w:rPr>
              <w:t>4</w:t>
            </w:r>
          </w:p>
        </w:tc>
        <w:tc>
          <w:tcPr>
            <w:tcW w:w="1791"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6B093654" w14:textId="77777777" w:rsidR="00E579B9" w:rsidRDefault="006A1398">
            <w:pPr>
              <w:pStyle w:val="aa"/>
            </w:pPr>
            <w:r>
              <w:rPr>
                <w:rFonts w:hint="eastAsia"/>
              </w:rPr>
              <w:t>3666819.884</w:t>
            </w:r>
          </w:p>
        </w:tc>
        <w:tc>
          <w:tcPr>
            <w:tcW w:w="1997"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5B761266" w14:textId="77777777" w:rsidR="00E579B9" w:rsidRDefault="006A1398">
            <w:pPr>
              <w:pStyle w:val="aa"/>
            </w:pPr>
            <w:r>
              <w:rPr>
                <w:rFonts w:hint="eastAsia"/>
              </w:rPr>
              <w:t>38467132.199</w:t>
            </w:r>
          </w:p>
        </w:tc>
        <w:tc>
          <w:tcPr>
            <w:tcW w:w="1866"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5BACC3D2" w14:textId="77777777" w:rsidR="00E579B9" w:rsidRDefault="006A1398">
            <w:pPr>
              <w:pStyle w:val="aa"/>
            </w:pPr>
            <w:r>
              <w:rPr>
                <w:rFonts w:hint="eastAsia"/>
              </w:rPr>
              <w:t>3666820.424</w:t>
            </w:r>
          </w:p>
        </w:tc>
        <w:tc>
          <w:tcPr>
            <w:tcW w:w="1931"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tcPr>
          <w:p w14:paraId="0DE1374B" w14:textId="77777777" w:rsidR="00E579B9" w:rsidRDefault="006A1398">
            <w:pPr>
              <w:pStyle w:val="aa"/>
            </w:pPr>
            <w:r>
              <w:rPr>
                <w:rFonts w:hint="eastAsia"/>
              </w:rPr>
              <w:t>38467248.709</w:t>
            </w:r>
          </w:p>
        </w:tc>
      </w:tr>
    </w:tbl>
    <w:p w14:paraId="3596621F" w14:textId="71D00273" w:rsidR="00E579B9" w:rsidRDefault="0003710F">
      <w:pPr>
        <w:pStyle w:val="3"/>
        <w:ind w:firstLine="560"/>
        <w:rPr>
          <w:b/>
        </w:rPr>
      </w:pPr>
      <w:r>
        <w:rPr>
          <w:rFonts w:eastAsia="Times New Roman" w:cs="Times New Roman"/>
        </w:rPr>
        <w:t>3.2</w:t>
      </w:r>
      <w:r w:rsidR="006A1398">
        <w:rPr>
          <w:rFonts w:eastAsia="Times New Roman" w:cs="Times New Roman"/>
        </w:rPr>
        <w:t>.3</w:t>
      </w:r>
      <w:r w:rsidR="006A1398">
        <w:t>矿山建设规模及服务年限</w:t>
      </w:r>
    </w:p>
    <w:p w14:paraId="653F0791" w14:textId="77777777" w:rsidR="00E579B9" w:rsidRDefault="006A1398">
      <w:pPr>
        <w:rPr>
          <w:b/>
          <w:bCs/>
        </w:rPr>
      </w:pPr>
      <w:r>
        <w:t>矿山服务年限按下式计算：</w:t>
      </w:r>
    </w:p>
    <w:p w14:paraId="3E122A61" w14:textId="77777777" w:rsidR="00E579B9" w:rsidRDefault="006A1398">
      <w:r>
        <w:t>T=Q</w:t>
      </w:r>
      <w:r>
        <w:rPr>
          <w:vertAlign w:val="subscript"/>
        </w:rPr>
        <w:t>利用</w:t>
      </w:r>
      <w:r>
        <w:t>（</w:t>
      </w:r>
      <w:r>
        <w:t>1-k</w:t>
      </w:r>
      <w:r>
        <w:t>）</w:t>
      </w:r>
      <w:r>
        <w:t>/q</w:t>
      </w:r>
      <w:r>
        <w:t>（</w:t>
      </w:r>
      <w:r>
        <w:t>1-r</w:t>
      </w:r>
      <w:r>
        <w:t>）</w:t>
      </w:r>
    </w:p>
    <w:p w14:paraId="59F0A9DF" w14:textId="77777777" w:rsidR="00E579B9" w:rsidRDefault="006A1398">
      <w:r>
        <w:t>式中：</w:t>
      </w:r>
      <w:r>
        <w:t>T=Q</w:t>
      </w:r>
      <w:r>
        <w:rPr>
          <w:vertAlign w:val="subscript"/>
        </w:rPr>
        <w:t>利用</w:t>
      </w:r>
      <w:r>
        <w:t>（</w:t>
      </w:r>
      <w:r>
        <w:t>1-k</w:t>
      </w:r>
      <w:r>
        <w:t>）</w:t>
      </w:r>
      <w:r>
        <w:t>/A</w:t>
      </w:r>
      <w:r>
        <w:t>（</w:t>
      </w:r>
      <w:r>
        <w:t>1-r</w:t>
      </w:r>
      <w:r>
        <w:t>）</w:t>
      </w:r>
    </w:p>
    <w:p w14:paraId="00B1B9AA" w14:textId="77777777" w:rsidR="00E579B9" w:rsidRDefault="006A1398">
      <w:r>
        <w:t>式中：</w:t>
      </w:r>
      <w:r>
        <w:t>T</w:t>
      </w:r>
      <w:proofErr w:type="gramStart"/>
      <w:r>
        <w:t>—</w:t>
      </w:r>
      <w:r>
        <w:t>服务</w:t>
      </w:r>
      <w:proofErr w:type="gramEnd"/>
      <w:r>
        <w:t>年限（年）；</w:t>
      </w:r>
    </w:p>
    <w:p w14:paraId="3D2C6694" w14:textId="77777777" w:rsidR="00E579B9" w:rsidRDefault="006A1398">
      <w:r>
        <w:t>Q</w:t>
      </w:r>
      <w:r>
        <w:rPr>
          <w:vertAlign w:val="subscript"/>
        </w:rPr>
        <w:t>利用</w:t>
      </w:r>
      <w:r>
        <w:t>—</w:t>
      </w:r>
      <w:r>
        <w:t>设计利用储量，万吨；</w:t>
      </w:r>
    </w:p>
    <w:p w14:paraId="6B6821F7" w14:textId="77777777" w:rsidR="00E579B9" w:rsidRDefault="006A1398">
      <w:r>
        <w:t>k—</w:t>
      </w:r>
      <w:r>
        <w:t>开采损失率（</w:t>
      </w:r>
      <w:r>
        <w:t>%</w:t>
      </w:r>
      <w:r>
        <w:t>），</w:t>
      </w:r>
      <w:r>
        <w:t>K</w:t>
      </w:r>
      <w:r>
        <w:t>＝</w:t>
      </w:r>
      <w:r>
        <w:t>5</w:t>
      </w:r>
      <w:r>
        <w:t>％；</w:t>
      </w:r>
    </w:p>
    <w:p w14:paraId="14EC031C" w14:textId="77777777" w:rsidR="00E579B9" w:rsidRDefault="006A1398">
      <w:r>
        <w:t>r—</w:t>
      </w:r>
      <w:r>
        <w:t>开采贫化率（</w:t>
      </w:r>
      <w:r>
        <w:t>%</w:t>
      </w:r>
      <w:r>
        <w:t>），</w:t>
      </w:r>
      <w:r>
        <w:t>r</w:t>
      </w:r>
      <w:r>
        <w:t>＝</w:t>
      </w:r>
      <w:r>
        <w:t>3</w:t>
      </w:r>
      <w:r>
        <w:t>％；</w:t>
      </w:r>
    </w:p>
    <w:p w14:paraId="3D3FFEBF" w14:textId="77777777" w:rsidR="00E579B9" w:rsidRDefault="006A1398">
      <w:r>
        <w:t>A—</w:t>
      </w:r>
      <w:r>
        <w:t>开采规模（万吨</w:t>
      </w:r>
      <w:r>
        <w:t>/</w:t>
      </w:r>
      <w:r>
        <w:t>年）。</w:t>
      </w:r>
    </w:p>
    <w:p w14:paraId="5B1CBA5B" w14:textId="77777777" w:rsidR="00E579B9" w:rsidRDefault="006A1398">
      <w:r>
        <w:t>根据相关文件要求结合当地矿产规划情况和矿权人投资情况，推荐矿山建设生产规模为</w:t>
      </w:r>
      <w:r>
        <w:t>230×10</w:t>
      </w:r>
      <w:r>
        <w:rPr>
          <w:vertAlign w:val="superscript"/>
        </w:rPr>
        <w:t>4</w:t>
      </w:r>
      <w:r>
        <w:t>t/a</w:t>
      </w:r>
      <w:r>
        <w:t>。经计算：矿山生产服务年限为</w:t>
      </w:r>
      <w:r>
        <w:t>9.0</w:t>
      </w:r>
      <w:r>
        <w:t>年。考虑基建期</w:t>
      </w:r>
      <w:r>
        <w:t>0.5</w:t>
      </w:r>
      <w:r>
        <w:t>年，则矿山总的服务年限为</w:t>
      </w:r>
      <w:r>
        <w:t>9.5</w:t>
      </w:r>
      <w:r>
        <w:t>年。</w:t>
      </w:r>
    </w:p>
    <w:p w14:paraId="78260E25" w14:textId="59CA7D3F" w:rsidR="00E579B9" w:rsidRDefault="0003710F">
      <w:pPr>
        <w:pStyle w:val="3"/>
        <w:ind w:firstLine="560"/>
      </w:pPr>
      <w:bookmarkStart w:id="84" w:name="_Toc8632"/>
      <w:bookmarkStart w:id="85" w:name="_Toc531939307"/>
      <w:r>
        <w:t>3.2</w:t>
      </w:r>
      <w:r w:rsidR="006A1398">
        <w:rPr>
          <w:rFonts w:hint="eastAsia"/>
        </w:rPr>
        <w:t>.</w:t>
      </w:r>
      <w:r w:rsidR="006A1398">
        <w:t>4</w:t>
      </w:r>
      <w:r w:rsidR="006A1398">
        <w:rPr>
          <w:rFonts w:hint="eastAsia"/>
        </w:rPr>
        <w:t>设计储量</w:t>
      </w:r>
      <w:bookmarkEnd w:id="84"/>
      <w:bookmarkEnd w:id="85"/>
    </w:p>
    <w:p w14:paraId="66F9A085" w14:textId="067F2A56" w:rsidR="00E579B9" w:rsidRDefault="0003710F">
      <w:bookmarkStart w:id="86" w:name="_Toc23937"/>
      <w:bookmarkStart w:id="87" w:name="_Toc531939308"/>
      <w:r>
        <w:rPr>
          <w:rFonts w:hint="eastAsia"/>
        </w:rPr>
        <w:t>3.2</w:t>
      </w:r>
      <w:r w:rsidR="006A1398">
        <w:rPr>
          <w:rFonts w:hint="eastAsia"/>
        </w:rPr>
        <w:t>.4.1</w:t>
      </w:r>
      <w:r w:rsidR="006A1398">
        <w:t>备案储量</w:t>
      </w:r>
    </w:p>
    <w:p w14:paraId="118FEA8E" w14:textId="77777777" w:rsidR="00E579B9" w:rsidRDefault="006A1398">
      <w:r>
        <w:t>截止</w:t>
      </w:r>
      <w:r>
        <w:t>2019</w:t>
      </w:r>
      <w:r>
        <w:t>年</w:t>
      </w:r>
      <w:r>
        <w:t>4</w:t>
      </w:r>
      <w:r>
        <w:t>月</w:t>
      </w:r>
      <w:r>
        <w:t>30</w:t>
      </w:r>
      <w:r>
        <w:t>日，在矿区范围内共查明（</w:t>
      </w:r>
      <w:r>
        <w:t>122b</w:t>
      </w:r>
      <w:r>
        <w:t>）类资源储量</w:t>
      </w:r>
      <w:r>
        <w:t>1979.00</w:t>
      </w:r>
      <w:r>
        <w:t>万</w:t>
      </w:r>
      <w:r>
        <w:t>t(</w:t>
      </w:r>
      <w:r>
        <w:t>合</w:t>
      </w:r>
      <w:r>
        <w:t>761.16</w:t>
      </w:r>
      <w:r>
        <w:t>万</w:t>
      </w:r>
      <w:r>
        <w:t>m³)</w:t>
      </w:r>
      <w:r>
        <w:t>，全部为保有资源储量。</w:t>
      </w:r>
    </w:p>
    <w:p w14:paraId="59261410" w14:textId="77777777" w:rsidR="00E579B9" w:rsidRDefault="006A1398">
      <w:r>
        <w:lastRenderedPageBreak/>
        <w:t>另外，参考周边矿山资料</w:t>
      </w:r>
      <w:proofErr w:type="gramStart"/>
      <w:r>
        <w:t>在露采剥离物</w:t>
      </w:r>
      <w:proofErr w:type="gramEnd"/>
      <w:r>
        <w:t>中的玄武岩可综合回收利用，经计算可综合回收利用的玄武岩</w:t>
      </w:r>
      <w:r>
        <w:t>71.36</w:t>
      </w:r>
      <w:r>
        <w:t>万</w:t>
      </w:r>
      <w:r>
        <w:t>m³</w:t>
      </w:r>
      <w:r>
        <w:t>（合</w:t>
      </w:r>
      <w:r>
        <w:t>199.83</w:t>
      </w:r>
      <w:r>
        <w:t>万</w:t>
      </w:r>
      <w:r>
        <w:t>t</w:t>
      </w:r>
      <w:r>
        <w:t>），应在进行</w:t>
      </w:r>
      <w:proofErr w:type="gramStart"/>
      <w:r>
        <w:t>权益金</w:t>
      </w:r>
      <w:proofErr w:type="gramEnd"/>
      <w:r>
        <w:t>处置后，在开采过程中予以综合回收利用。</w:t>
      </w:r>
    </w:p>
    <w:p w14:paraId="24DC98C9" w14:textId="10BA4638" w:rsidR="00E579B9" w:rsidRDefault="0003710F">
      <w:r>
        <w:t>3.2</w:t>
      </w:r>
      <w:r w:rsidR="006A1398">
        <w:t>.4.2</w:t>
      </w:r>
      <w:r w:rsidR="006A1398">
        <w:t>边坡压矿</w:t>
      </w:r>
    </w:p>
    <w:p w14:paraId="3DDE0ADF" w14:textId="77777777" w:rsidR="00E579B9" w:rsidRDefault="006A1398">
      <w:r>
        <w:t>因资源储量距离矿区边界较近，存在边坡压矿，原储量根据实测剖面控制情况，没有估算</w:t>
      </w:r>
      <w:proofErr w:type="gramStart"/>
      <w:r>
        <w:t>边坡压矿储量</w:t>
      </w:r>
      <w:proofErr w:type="gramEnd"/>
      <w:r>
        <w:t>，本次设计不用考虑</w:t>
      </w:r>
      <w:proofErr w:type="gramStart"/>
      <w:r>
        <w:t>边坡压矿储量</w:t>
      </w:r>
      <w:proofErr w:type="gramEnd"/>
      <w:r>
        <w:t>。</w:t>
      </w:r>
    </w:p>
    <w:p w14:paraId="0A53DB2A" w14:textId="77777777" w:rsidR="00E579B9" w:rsidRDefault="006A1398">
      <w:r>
        <w:t>经查，矿区不在各类保护区，也不在生态红线范围内，区内没有名胜古迹、地质遗迹，也不在禁止、限制开采矿产的区域之内。矿区范围内及外扩</w:t>
      </w:r>
      <w:r>
        <w:t>300m</w:t>
      </w:r>
      <w:r>
        <w:t>范围内无村庄分布。</w:t>
      </w:r>
    </w:p>
    <w:p w14:paraId="4E0B9F0B" w14:textId="7570B7FC" w:rsidR="00E579B9" w:rsidRDefault="0003710F">
      <w:r>
        <w:t>3.2</w:t>
      </w:r>
      <w:r w:rsidR="006A1398">
        <w:t>.4.3</w:t>
      </w:r>
      <w:r w:rsidR="006A1398">
        <w:t>设计利用资源储量</w:t>
      </w:r>
    </w:p>
    <w:p w14:paraId="2EE13919" w14:textId="77777777" w:rsidR="00E579B9" w:rsidRDefault="006A1398">
      <w:r>
        <w:t>按照相关规定，对（</w:t>
      </w:r>
      <w:r>
        <w:t>122b</w:t>
      </w:r>
      <w:r>
        <w:t>）储量可信度系数取</w:t>
      </w:r>
      <w:r>
        <w:t>1.0</w:t>
      </w:r>
      <w:r>
        <w:t>，所以（</w:t>
      </w:r>
      <w:r>
        <w:t>122b</w:t>
      </w:r>
      <w:r>
        <w:t>）资源储量可直接作为设计利用储量。因此，设计利用资源储量</w:t>
      </w:r>
      <w:r>
        <w:t>2178.83</w:t>
      </w:r>
      <w:r>
        <w:t>万吨（其中，大理岩</w:t>
      </w:r>
      <w:r>
        <w:t>1979.00</w:t>
      </w:r>
      <w:r>
        <w:t>万吨，玄武岩</w:t>
      </w:r>
      <w:r>
        <w:t>199.83</w:t>
      </w:r>
      <w:r>
        <w:t>万吨）。</w:t>
      </w:r>
    </w:p>
    <w:p w14:paraId="11582E3B" w14:textId="78611D5D" w:rsidR="00E579B9" w:rsidRDefault="0003710F">
      <w:pPr>
        <w:rPr>
          <w:b/>
          <w:bCs/>
        </w:rPr>
      </w:pPr>
      <w:r>
        <w:t>3.2</w:t>
      </w:r>
      <w:r w:rsidR="006A1398">
        <w:t>.4.4</w:t>
      </w:r>
      <w:r w:rsidR="006A1398">
        <w:t>可采储量</w:t>
      </w:r>
    </w:p>
    <w:p w14:paraId="7EF23F1C" w14:textId="77777777" w:rsidR="00E579B9" w:rsidRDefault="006A1398">
      <w:r>
        <w:t>根据本矿山矿体的赋存情况及以往开采技术条件，类比同类型矿山开采情况，矿山目前的生产设备和利用效率，高于同行业水平。类比相似类型矿山开采情况，开采损失率取</w:t>
      </w:r>
      <w:r>
        <w:t>5%</w:t>
      </w:r>
      <w:r>
        <w:t>。</w:t>
      </w:r>
    </w:p>
    <w:p w14:paraId="2E6BFF6C" w14:textId="77777777" w:rsidR="00E579B9" w:rsidRDefault="006A1398">
      <w:r>
        <w:t>可采储量</w:t>
      </w:r>
      <w:r>
        <w:t>=</w:t>
      </w:r>
      <w:r>
        <w:t>（</w:t>
      </w:r>
      <w:r>
        <w:t>1979.00+199.83</w:t>
      </w:r>
      <w:r>
        <w:t>）</w:t>
      </w:r>
      <w:r>
        <w:rPr>
          <w:rFonts w:hint="eastAsia"/>
        </w:rPr>
        <w:t>万</w:t>
      </w:r>
      <w:r>
        <w:t>吨</w:t>
      </w:r>
      <w:r>
        <w:t>×0.95=2069.89</w:t>
      </w:r>
      <w:r>
        <w:rPr>
          <w:rFonts w:hint="eastAsia"/>
        </w:rPr>
        <w:t>万</w:t>
      </w:r>
      <w:r>
        <w:t>吨。</w:t>
      </w:r>
    </w:p>
    <w:p w14:paraId="00329B98" w14:textId="4A5E21A7" w:rsidR="00E579B9" w:rsidRDefault="0003710F">
      <w:pPr>
        <w:pStyle w:val="3"/>
        <w:ind w:firstLine="560"/>
      </w:pPr>
      <w:r>
        <w:t>3.2</w:t>
      </w:r>
      <w:r w:rsidR="006A1398">
        <w:rPr>
          <w:rFonts w:hint="eastAsia"/>
        </w:rPr>
        <w:t>.</w:t>
      </w:r>
      <w:r w:rsidR="006A1398">
        <w:t>5</w:t>
      </w:r>
      <w:r w:rsidR="006A1398">
        <w:rPr>
          <w:rFonts w:hint="eastAsia"/>
        </w:rPr>
        <w:t>项目组成</w:t>
      </w:r>
      <w:bookmarkEnd w:id="86"/>
      <w:bookmarkEnd w:id="87"/>
    </w:p>
    <w:p w14:paraId="3087C307" w14:textId="1972E9E0" w:rsidR="00E579B9" w:rsidRDefault="006A1398">
      <w:r>
        <w:t>根据开发利用方案</w:t>
      </w:r>
      <w:r>
        <w:rPr>
          <w:rFonts w:hint="eastAsia"/>
        </w:rPr>
        <w:t>、项目备案等相关资料</w:t>
      </w:r>
      <w:r>
        <w:t>，</w:t>
      </w:r>
      <w:r>
        <w:rPr>
          <w:rFonts w:hint="eastAsia"/>
        </w:rPr>
        <w:t>本项目分为主体工程、公用工程、辅助工程、储运工程及环保工程等。</w:t>
      </w:r>
      <w:bookmarkStart w:id="88" w:name="_Hlk498699932"/>
      <w:r>
        <w:t>本项目工程项目组成具体详见下表</w:t>
      </w:r>
      <w:r w:rsidR="0003710F">
        <w:t>3.2</w:t>
      </w:r>
      <w:r>
        <w:t>-</w:t>
      </w:r>
      <w:bookmarkEnd w:id="88"/>
      <w:r>
        <w:t>3</w:t>
      </w:r>
      <w:r>
        <w:t>。</w:t>
      </w:r>
    </w:p>
    <w:p w14:paraId="6351AED8" w14:textId="014F4200" w:rsidR="00E579B9" w:rsidRDefault="006A1398">
      <w:pPr>
        <w:pStyle w:val="21"/>
        <w:ind w:firstLineChars="750" w:firstLine="1800"/>
      </w:pPr>
      <w:r>
        <w:t>表</w:t>
      </w:r>
      <w:r w:rsidR="0003710F">
        <w:t>3.2</w:t>
      </w:r>
      <w:r>
        <w:t>-3</w:t>
      </w:r>
      <w:r>
        <w:rPr>
          <w:rFonts w:hint="eastAsia"/>
        </w:rPr>
        <w:t>本项目</w:t>
      </w:r>
      <w:r>
        <w:t>组成一览表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238"/>
        <w:gridCol w:w="1032"/>
        <w:gridCol w:w="5748"/>
      </w:tblGrid>
      <w:tr w:rsidR="00E579B9" w14:paraId="19DB4B0E" w14:textId="77777777">
        <w:trPr>
          <w:cantSplit/>
          <w:jc w:val="center"/>
        </w:trPr>
        <w:tc>
          <w:tcPr>
            <w:tcW w:w="702" w:type="dxa"/>
            <w:tcMar>
              <w:top w:w="57" w:type="dxa"/>
              <w:bottom w:w="57" w:type="dxa"/>
            </w:tcMar>
            <w:vAlign w:val="center"/>
          </w:tcPr>
          <w:p w14:paraId="50BD4133" w14:textId="77777777" w:rsidR="00E579B9" w:rsidRDefault="006A1398">
            <w:pPr>
              <w:pStyle w:val="aa"/>
            </w:pPr>
            <w:bookmarkStart w:id="89" w:name="_Hlk535414310"/>
            <w:r>
              <w:rPr>
                <w:rFonts w:hint="eastAsia"/>
              </w:rPr>
              <w:t>类别</w:t>
            </w:r>
          </w:p>
        </w:tc>
        <w:tc>
          <w:tcPr>
            <w:tcW w:w="8018" w:type="dxa"/>
            <w:gridSpan w:val="3"/>
            <w:tcMar>
              <w:top w:w="57" w:type="dxa"/>
              <w:bottom w:w="57" w:type="dxa"/>
            </w:tcMar>
            <w:vAlign w:val="center"/>
          </w:tcPr>
          <w:p w14:paraId="077B2230" w14:textId="77777777" w:rsidR="00E579B9" w:rsidRDefault="006A1398">
            <w:pPr>
              <w:pStyle w:val="aa"/>
            </w:pPr>
            <w:r>
              <w:rPr>
                <w:rFonts w:hint="eastAsia"/>
              </w:rPr>
              <w:t>工程内容</w:t>
            </w:r>
          </w:p>
        </w:tc>
      </w:tr>
      <w:tr w:rsidR="00E579B9" w14:paraId="66AB1B83" w14:textId="77777777">
        <w:trPr>
          <w:cantSplit/>
          <w:jc w:val="center"/>
        </w:trPr>
        <w:tc>
          <w:tcPr>
            <w:tcW w:w="702" w:type="dxa"/>
            <w:tcMar>
              <w:top w:w="57" w:type="dxa"/>
              <w:bottom w:w="57" w:type="dxa"/>
            </w:tcMar>
            <w:vAlign w:val="center"/>
          </w:tcPr>
          <w:p w14:paraId="0CDB13BB" w14:textId="77777777" w:rsidR="00E579B9" w:rsidRDefault="006A1398">
            <w:pPr>
              <w:pStyle w:val="aa"/>
            </w:pPr>
            <w:r>
              <w:rPr>
                <w:rFonts w:hint="eastAsia"/>
              </w:rPr>
              <w:t>主体工程</w:t>
            </w:r>
          </w:p>
        </w:tc>
        <w:tc>
          <w:tcPr>
            <w:tcW w:w="1238" w:type="dxa"/>
            <w:tcMar>
              <w:top w:w="57" w:type="dxa"/>
              <w:bottom w:w="57" w:type="dxa"/>
            </w:tcMar>
            <w:vAlign w:val="center"/>
          </w:tcPr>
          <w:p w14:paraId="4B90B6E3" w14:textId="77777777" w:rsidR="00E579B9" w:rsidRDefault="006A1398">
            <w:pPr>
              <w:pStyle w:val="aa"/>
            </w:pPr>
            <w:r>
              <w:rPr>
                <w:rFonts w:hint="eastAsia"/>
              </w:rPr>
              <w:t>露采区</w:t>
            </w:r>
          </w:p>
        </w:tc>
        <w:tc>
          <w:tcPr>
            <w:tcW w:w="6780" w:type="dxa"/>
            <w:gridSpan w:val="2"/>
            <w:tcMar>
              <w:top w:w="57" w:type="dxa"/>
              <w:bottom w:w="57" w:type="dxa"/>
            </w:tcMar>
            <w:vAlign w:val="center"/>
          </w:tcPr>
          <w:p w14:paraId="09C50706" w14:textId="77777777" w:rsidR="00E579B9" w:rsidRDefault="006A1398">
            <w:pPr>
              <w:pStyle w:val="aa"/>
            </w:pPr>
            <w:r>
              <w:rPr>
                <w:rFonts w:hint="eastAsia"/>
              </w:rPr>
              <w:t>矿区面积</w:t>
            </w:r>
            <w:r>
              <w:t>0.2965km</w:t>
            </w:r>
            <w:r>
              <w:rPr>
                <w:vertAlign w:val="superscript"/>
              </w:rPr>
              <w:t>2</w:t>
            </w:r>
            <w:r>
              <w:rPr>
                <w:rFonts w:hint="eastAsia"/>
              </w:rPr>
              <w:t>，</w:t>
            </w:r>
            <w:r>
              <w:t>开采规模</w:t>
            </w:r>
            <w:r>
              <w:t>230</w:t>
            </w:r>
            <w:r>
              <w:rPr>
                <w:rFonts w:hint="eastAsia"/>
              </w:rPr>
              <w:t>万</w:t>
            </w:r>
            <w:r>
              <w:rPr>
                <w:rFonts w:hint="eastAsia"/>
              </w:rPr>
              <w:t>t/a</w:t>
            </w:r>
            <w:r>
              <w:rPr>
                <w:rFonts w:hint="eastAsia"/>
              </w:rPr>
              <w:t>，矿山</w:t>
            </w:r>
            <w:r>
              <w:t>服务年限</w:t>
            </w:r>
            <w:r>
              <w:t>9.5</w:t>
            </w:r>
            <w:r>
              <w:t>年</w:t>
            </w:r>
            <w:r>
              <w:rPr>
                <w:rFonts w:hint="eastAsia"/>
              </w:rPr>
              <w:t>（含</w:t>
            </w:r>
            <w:r>
              <w:rPr>
                <w:rFonts w:hint="eastAsia"/>
              </w:rPr>
              <w:t>0</w:t>
            </w:r>
            <w:r>
              <w:t>.5</w:t>
            </w:r>
            <w:r>
              <w:rPr>
                <w:rFonts w:hint="eastAsia"/>
              </w:rPr>
              <w:t>年基建期）；开采方式：自上而下台阶式露天开采；</w:t>
            </w:r>
            <w:r>
              <w:t>深孔爆破，公路开拓、汽车运输</w:t>
            </w:r>
            <w:r>
              <w:rPr>
                <w:rFonts w:hint="eastAsia"/>
              </w:rPr>
              <w:t>。</w:t>
            </w:r>
          </w:p>
        </w:tc>
      </w:tr>
      <w:tr w:rsidR="00E579B9" w14:paraId="4E2630D6" w14:textId="77777777">
        <w:trPr>
          <w:cantSplit/>
          <w:jc w:val="center"/>
        </w:trPr>
        <w:tc>
          <w:tcPr>
            <w:tcW w:w="702" w:type="dxa"/>
            <w:vMerge w:val="restart"/>
            <w:tcMar>
              <w:top w:w="57" w:type="dxa"/>
              <w:bottom w:w="57" w:type="dxa"/>
            </w:tcMar>
            <w:vAlign w:val="center"/>
          </w:tcPr>
          <w:p w14:paraId="4D4B627B" w14:textId="77777777" w:rsidR="00E579B9" w:rsidRDefault="006A1398">
            <w:pPr>
              <w:pStyle w:val="aa"/>
            </w:pPr>
            <w:r>
              <w:rPr>
                <w:rFonts w:hint="eastAsia"/>
              </w:rPr>
              <w:t>辅助工程</w:t>
            </w:r>
          </w:p>
        </w:tc>
        <w:tc>
          <w:tcPr>
            <w:tcW w:w="1238" w:type="dxa"/>
            <w:tcMar>
              <w:top w:w="57" w:type="dxa"/>
              <w:bottom w:w="57" w:type="dxa"/>
            </w:tcMar>
            <w:vAlign w:val="center"/>
          </w:tcPr>
          <w:p w14:paraId="600DE61E" w14:textId="77777777" w:rsidR="00E579B9" w:rsidRDefault="006A1398">
            <w:pPr>
              <w:pStyle w:val="aa"/>
            </w:pPr>
            <w:proofErr w:type="gramStart"/>
            <w:r>
              <w:rPr>
                <w:rFonts w:hint="eastAsia"/>
              </w:rPr>
              <w:t>表土场</w:t>
            </w:r>
            <w:proofErr w:type="gramEnd"/>
          </w:p>
        </w:tc>
        <w:tc>
          <w:tcPr>
            <w:tcW w:w="6780" w:type="dxa"/>
            <w:gridSpan w:val="2"/>
            <w:tcMar>
              <w:top w:w="57" w:type="dxa"/>
              <w:bottom w:w="57" w:type="dxa"/>
            </w:tcMar>
            <w:vAlign w:val="center"/>
          </w:tcPr>
          <w:p w14:paraId="1041FA26" w14:textId="77777777" w:rsidR="00E579B9" w:rsidRDefault="006A1398">
            <w:pPr>
              <w:pStyle w:val="aa"/>
              <w:rPr>
                <w:vertAlign w:val="superscript"/>
              </w:rPr>
            </w:pPr>
            <w:r>
              <w:rPr>
                <w:rFonts w:hint="eastAsia"/>
              </w:rPr>
              <w:t>位于矿区南侧</w:t>
            </w:r>
            <w:proofErr w:type="gramStart"/>
            <w:r>
              <w:rPr>
                <w:rFonts w:hint="eastAsia"/>
              </w:rPr>
              <w:t>一</w:t>
            </w:r>
            <w:proofErr w:type="gramEnd"/>
            <w:r>
              <w:rPr>
                <w:rFonts w:hint="eastAsia"/>
              </w:rPr>
              <w:t>平坦空地处。表土临时堆场占地面积约</w:t>
            </w:r>
            <w:r>
              <w:rPr>
                <w:rFonts w:hint="eastAsia"/>
              </w:rPr>
              <w:t>100</w:t>
            </w:r>
            <w:r>
              <w:t>00m</w:t>
            </w:r>
            <w:r>
              <w:rPr>
                <w:position w:val="7"/>
                <w:sz w:val="13"/>
                <w:szCs w:val="13"/>
              </w:rPr>
              <w:t>2</w:t>
            </w:r>
            <w:r>
              <w:rPr>
                <w:rFonts w:hint="eastAsia"/>
              </w:rPr>
              <w:t>，设计表土最大堆高</w:t>
            </w:r>
            <w:r>
              <w:t>3m</w:t>
            </w:r>
            <w:r>
              <w:rPr>
                <w:rFonts w:hint="eastAsia"/>
              </w:rPr>
              <w:t>，容积约</w:t>
            </w:r>
            <w:r>
              <w:rPr>
                <w:rFonts w:hint="eastAsia"/>
              </w:rPr>
              <w:t>2.5</w:t>
            </w:r>
            <w:r>
              <w:rPr>
                <w:rFonts w:hint="eastAsia"/>
              </w:rPr>
              <w:t>万</w:t>
            </w:r>
            <w:r>
              <w:t>m</w:t>
            </w:r>
            <w:r>
              <w:rPr>
                <w:position w:val="7"/>
                <w:sz w:val="13"/>
                <w:szCs w:val="13"/>
              </w:rPr>
              <w:t>3</w:t>
            </w:r>
            <w:r>
              <w:rPr>
                <w:rFonts w:hint="eastAsia"/>
              </w:rPr>
              <w:t>。</w:t>
            </w:r>
          </w:p>
        </w:tc>
      </w:tr>
      <w:tr w:rsidR="00E579B9" w14:paraId="60BD0EBE" w14:textId="77777777">
        <w:trPr>
          <w:cantSplit/>
          <w:jc w:val="center"/>
        </w:trPr>
        <w:tc>
          <w:tcPr>
            <w:tcW w:w="702" w:type="dxa"/>
            <w:vMerge/>
            <w:tcMar>
              <w:top w:w="57" w:type="dxa"/>
              <w:bottom w:w="57" w:type="dxa"/>
            </w:tcMar>
            <w:vAlign w:val="center"/>
          </w:tcPr>
          <w:p w14:paraId="2A2C61F4" w14:textId="77777777" w:rsidR="00E579B9" w:rsidRDefault="00E579B9">
            <w:pPr>
              <w:pStyle w:val="aa"/>
            </w:pPr>
          </w:p>
        </w:tc>
        <w:tc>
          <w:tcPr>
            <w:tcW w:w="1238" w:type="dxa"/>
            <w:tcMar>
              <w:top w:w="57" w:type="dxa"/>
              <w:bottom w:w="57" w:type="dxa"/>
            </w:tcMar>
            <w:vAlign w:val="center"/>
          </w:tcPr>
          <w:p w14:paraId="03B689D0" w14:textId="77777777" w:rsidR="00E579B9" w:rsidRDefault="006A1398">
            <w:pPr>
              <w:pStyle w:val="aa"/>
              <w:rPr>
                <w:highlight w:val="yellow"/>
              </w:rPr>
            </w:pPr>
            <w:r>
              <w:rPr>
                <w:rFonts w:hint="eastAsia"/>
              </w:rPr>
              <w:t>破碎</w:t>
            </w:r>
            <w:r>
              <w:t>加工区</w:t>
            </w:r>
          </w:p>
        </w:tc>
        <w:tc>
          <w:tcPr>
            <w:tcW w:w="6780" w:type="dxa"/>
            <w:gridSpan w:val="2"/>
            <w:tcMar>
              <w:top w:w="57" w:type="dxa"/>
              <w:bottom w:w="57" w:type="dxa"/>
            </w:tcMar>
            <w:vAlign w:val="center"/>
          </w:tcPr>
          <w:p w14:paraId="0CD19E92" w14:textId="77777777" w:rsidR="00E579B9" w:rsidRDefault="006A1398">
            <w:pPr>
              <w:pStyle w:val="aa"/>
              <w:rPr>
                <w:vertAlign w:val="superscript"/>
              </w:rPr>
            </w:pPr>
            <w:r>
              <w:rPr>
                <w:rFonts w:hint="eastAsia"/>
              </w:rPr>
              <w:t>破碎加工区布置在矿区南部，爆破警戒线以外，占地</w:t>
            </w:r>
            <w:r>
              <w:t>面积</w:t>
            </w:r>
            <w:r>
              <w:rPr>
                <w:rFonts w:hint="eastAsia"/>
              </w:rPr>
              <w:t>70</w:t>
            </w:r>
            <w:r>
              <w:rPr>
                <w:rFonts w:hint="eastAsia"/>
              </w:rPr>
              <w:t>亩</w:t>
            </w:r>
            <w:r>
              <w:t>，</w:t>
            </w:r>
            <w:r>
              <w:rPr>
                <w:rFonts w:hint="eastAsia"/>
              </w:rPr>
              <w:t>场区内布置办公室、厂房、仓库</w:t>
            </w:r>
            <w:r>
              <w:t>、</w:t>
            </w:r>
            <w:r>
              <w:rPr>
                <w:rFonts w:hint="eastAsia"/>
              </w:rPr>
              <w:t>变电室等。破碎</w:t>
            </w:r>
            <w:r>
              <w:t>加工区建筑面积为</w:t>
            </w:r>
            <w:r>
              <w:rPr>
                <w:rFonts w:hint="eastAsia"/>
              </w:rPr>
              <w:t>26666.8m</w:t>
            </w:r>
            <w:r>
              <w:rPr>
                <w:vertAlign w:val="superscript"/>
              </w:rPr>
              <w:t>2</w:t>
            </w:r>
            <w:r>
              <w:rPr>
                <w:rFonts w:hint="eastAsia"/>
              </w:rPr>
              <w:t>。</w:t>
            </w:r>
          </w:p>
        </w:tc>
      </w:tr>
      <w:tr w:rsidR="00E579B9" w14:paraId="138B1618" w14:textId="77777777">
        <w:trPr>
          <w:cantSplit/>
          <w:jc w:val="center"/>
        </w:trPr>
        <w:tc>
          <w:tcPr>
            <w:tcW w:w="702" w:type="dxa"/>
            <w:vMerge/>
            <w:tcMar>
              <w:top w:w="57" w:type="dxa"/>
              <w:bottom w:w="57" w:type="dxa"/>
            </w:tcMar>
            <w:vAlign w:val="center"/>
          </w:tcPr>
          <w:p w14:paraId="4FEB88B5" w14:textId="77777777" w:rsidR="00E579B9" w:rsidRDefault="00E579B9">
            <w:pPr>
              <w:pStyle w:val="aa"/>
            </w:pPr>
          </w:p>
        </w:tc>
        <w:tc>
          <w:tcPr>
            <w:tcW w:w="1238" w:type="dxa"/>
            <w:tcMar>
              <w:top w:w="57" w:type="dxa"/>
              <w:bottom w:w="57" w:type="dxa"/>
            </w:tcMar>
            <w:vAlign w:val="center"/>
          </w:tcPr>
          <w:p w14:paraId="19E860FF" w14:textId="77777777" w:rsidR="00E579B9" w:rsidRDefault="006A1398">
            <w:pPr>
              <w:pStyle w:val="aa"/>
            </w:pPr>
            <w:r>
              <w:rPr>
                <w:rFonts w:hint="eastAsia"/>
              </w:rPr>
              <w:t>办公区</w:t>
            </w:r>
          </w:p>
        </w:tc>
        <w:tc>
          <w:tcPr>
            <w:tcW w:w="6780" w:type="dxa"/>
            <w:gridSpan w:val="2"/>
            <w:tcMar>
              <w:top w:w="57" w:type="dxa"/>
              <w:bottom w:w="57" w:type="dxa"/>
            </w:tcMar>
            <w:vAlign w:val="center"/>
          </w:tcPr>
          <w:p w14:paraId="02DDD6EE" w14:textId="77777777" w:rsidR="00E579B9" w:rsidRDefault="006A1398">
            <w:pPr>
              <w:pStyle w:val="aa"/>
            </w:pPr>
            <w:r>
              <w:rPr>
                <w:rFonts w:hint="eastAsia"/>
              </w:rPr>
              <w:t>办公区建筑面积约</w:t>
            </w:r>
            <w:r>
              <w:t>2</w:t>
            </w:r>
            <w:r>
              <w:rPr>
                <w:rFonts w:hint="eastAsia"/>
              </w:rPr>
              <w:t>00m</w:t>
            </w:r>
            <w:r>
              <w:rPr>
                <w:rFonts w:hint="eastAsia"/>
                <w:vertAlign w:val="superscript"/>
              </w:rPr>
              <w:t>2</w:t>
            </w:r>
            <w:r>
              <w:rPr>
                <w:rFonts w:hint="eastAsia"/>
              </w:rPr>
              <w:t>。</w:t>
            </w:r>
          </w:p>
        </w:tc>
      </w:tr>
      <w:tr w:rsidR="00E579B9" w14:paraId="3C930B4A" w14:textId="77777777">
        <w:trPr>
          <w:cantSplit/>
          <w:jc w:val="center"/>
        </w:trPr>
        <w:tc>
          <w:tcPr>
            <w:tcW w:w="702" w:type="dxa"/>
            <w:tcMar>
              <w:top w:w="57" w:type="dxa"/>
              <w:bottom w:w="57" w:type="dxa"/>
            </w:tcMar>
            <w:vAlign w:val="center"/>
          </w:tcPr>
          <w:p w14:paraId="59DB61F3" w14:textId="77777777" w:rsidR="00E579B9" w:rsidRDefault="006A1398">
            <w:pPr>
              <w:pStyle w:val="aa"/>
              <w:rPr>
                <w:szCs w:val="21"/>
              </w:rPr>
            </w:pPr>
            <w:r>
              <w:rPr>
                <w:rFonts w:hint="eastAsia"/>
              </w:rPr>
              <w:t>储运工程</w:t>
            </w:r>
          </w:p>
        </w:tc>
        <w:tc>
          <w:tcPr>
            <w:tcW w:w="1238" w:type="dxa"/>
            <w:tcMar>
              <w:top w:w="57" w:type="dxa"/>
              <w:bottom w:w="57" w:type="dxa"/>
            </w:tcMar>
            <w:vAlign w:val="center"/>
          </w:tcPr>
          <w:p w14:paraId="50497FD8" w14:textId="77777777" w:rsidR="00E579B9" w:rsidRDefault="006A1398">
            <w:pPr>
              <w:pStyle w:val="aa"/>
              <w:rPr>
                <w:szCs w:val="21"/>
                <w:highlight w:val="yellow"/>
              </w:rPr>
            </w:pPr>
            <w:r>
              <w:rPr>
                <w:rFonts w:hint="eastAsia"/>
              </w:rPr>
              <w:t>运输道路</w:t>
            </w:r>
          </w:p>
        </w:tc>
        <w:tc>
          <w:tcPr>
            <w:tcW w:w="6780" w:type="dxa"/>
            <w:gridSpan w:val="2"/>
            <w:tcMar>
              <w:top w:w="57" w:type="dxa"/>
              <w:bottom w:w="57" w:type="dxa"/>
            </w:tcMar>
            <w:vAlign w:val="center"/>
          </w:tcPr>
          <w:p w14:paraId="2EBA4FC5" w14:textId="77777777" w:rsidR="00E579B9" w:rsidRDefault="006A1398">
            <w:pPr>
              <w:pStyle w:val="aa"/>
            </w:pPr>
            <w:r>
              <w:rPr>
                <w:rFonts w:hint="eastAsia"/>
              </w:rPr>
              <w:t>采区矿石和废石由挖掘机装入自卸汽车，通过运矿道路，矿石运至破碎站，经破碎加工、筛分等工序后形成成品进行销售；表土采用挖掘机直接挖掘，由自卸汽车运往表土场。部分道路已建成，需扩建道路</w:t>
            </w:r>
            <w:r>
              <w:rPr>
                <w:rFonts w:hint="eastAsia"/>
              </w:rPr>
              <w:t>1500m</w:t>
            </w:r>
            <w:r>
              <w:rPr>
                <w:rFonts w:hint="eastAsia"/>
              </w:rPr>
              <w:t>，新修连接</w:t>
            </w:r>
            <w:r>
              <w:rPr>
                <w:rFonts w:hint="eastAsia"/>
              </w:rPr>
              <w:t>+500</w:t>
            </w:r>
            <w:r>
              <w:rPr>
                <w:rFonts w:hint="eastAsia"/>
              </w:rPr>
              <w:t>平台道路</w:t>
            </w:r>
            <w:r>
              <w:rPr>
                <w:rFonts w:hint="eastAsia"/>
              </w:rPr>
              <w:t>960m</w:t>
            </w:r>
            <w:r>
              <w:rPr>
                <w:rFonts w:hint="eastAsia"/>
              </w:rPr>
              <w:t>。</w:t>
            </w:r>
          </w:p>
        </w:tc>
      </w:tr>
      <w:tr w:rsidR="00E579B9" w14:paraId="0C24014B" w14:textId="77777777">
        <w:trPr>
          <w:cantSplit/>
          <w:jc w:val="center"/>
        </w:trPr>
        <w:tc>
          <w:tcPr>
            <w:tcW w:w="702" w:type="dxa"/>
            <w:vMerge w:val="restart"/>
            <w:tcMar>
              <w:top w:w="57" w:type="dxa"/>
              <w:bottom w:w="57" w:type="dxa"/>
            </w:tcMar>
            <w:vAlign w:val="center"/>
          </w:tcPr>
          <w:p w14:paraId="7024DDBD" w14:textId="77777777" w:rsidR="00E579B9" w:rsidRDefault="006A1398">
            <w:pPr>
              <w:pStyle w:val="aa"/>
            </w:pPr>
            <w:r>
              <w:rPr>
                <w:rFonts w:hint="eastAsia"/>
              </w:rPr>
              <w:t>公用工程</w:t>
            </w:r>
          </w:p>
        </w:tc>
        <w:tc>
          <w:tcPr>
            <w:tcW w:w="1238" w:type="dxa"/>
            <w:tcMar>
              <w:top w:w="57" w:type="dxa"/>
              <w:bottom w:w="57" w:type="dxa"/>
            </w:tcMar>
            <w:vAlign w:val="center"/>
          </w:tcPr>
          <w:p w14:paraId="515B7CEB" w14:textId="77777777" w:rsidR="00E579B9" w:rsidRDefault="006A1398">
            <w:pPr>
              <w:pStyle w:val="aa"/>
            </w:pPr>
            <w:r>
              <w:rPr>
                <w:rFonts w:hint="eastAsia"/>
              </w:rPr>
              <w:t>供水</w:t>
            </w:r>
          </w:p>
        </w:tc>
        <w:tc>
          <w:tcPr>
            <w:tcW w:w="6780" w:type="dxa"/>
            <w:gridSpan w:val="2"/>
            <w:tcMar>
              <w:top w:w="57" w:type="dxa"/>
              <w:bottom w:w="57" w:type="dxa"/>
            </w:tcMar>
            <w:vAlign w:val="center"/>
          </w:tcPr>
          <w:p w14:paraId="3DD41485" w14:textId="77777777" w:rsidR="00E579B9" w:rsidRDefault="006A1398">
            <w:pPr>
              <w:pStyle w:val="aa"/>
            </w:pPr>
            <w:r>
              <w:rPr>
                <w:rFonts w:hint="eastAsia"/>
              </w:rPr>
              <w:t>矿区及附近生产、生活用水主要来源于地下水。</w:t>
            </w:r>
          </w:p>
        </w:tc>
      </w:tr>
      <w:tr w:rsidR="00E579B9" w14:paraId="228C56DA" w14:textId="77777777">
        <w:trPr>
          <w:cantSplit/>
          <w:jc w:val="center"/>
        </w:trPr>
        <w:tc>
          <w:tcPr>
            <w:tcW w:w="702" w:type="dxa"/>
            <w:vMerge/>
            <w:tcMar>
              <w:top w:w="57" w:type="dxa"/>
              <w:bottom w:w="57" w:type="dxa"/>
            </w:tcMar>
            <w:vAlign w:val="center"/>
          </w:tcPr>
          <w:p w14:paraId="5C525EF4" w14:textId="77777777" w:rsidR="00E579B9" w:rsidRDefault="00E579B9">
            <w:pPr>
              <w:pStyle w:val="aa"/>
            </w:pPr>
          </w:p>
        </w:tc>
        <w:tc>
          <w:tcPr>
            <w:tcW w:w="1238" w:type="dxa"/>
            <w:tcMar>
              <w:top w:w="57" w:type="dxa"/>
              <w:bottom w:w="57" w:type="dxa"/>
            </w:tcMar>
            <w:vAlign w:val="center"/>
          </w:tcPr>
          <w:p w14:paraId="5F11A622" w14:textId="77777777" w:rsidR="00E579B9" w:rsidRDefault="006A1398">
            <w:pPr>
              <w:pStyle w:val="aa"/>
            </w:pPr>
            <w:r>
              <w:rPr>
                <w:rFonts w:hint="eastAsia"/>
              </w:rPr>
              <w:t>供热</w:t>
            </w:r>
          </w:p>
        </w:tc>
        <w:tc>
          <w:tcPr>
            <w:tcW w:w="6780" w:type="dxa"/>
            <w:gridSpan w:val="2"/>
            <w:tcMar>
              <w:top w:w="57" w:type="dxa"/>
              <w:bottom w:w="57" w:type="dxa"/>
            </w:tcMar>
            <w:vAlign w:val="center"/>
          </w:tcPr>
          <w:p w14:paraId="431F4AFB" w14:textId="77777777" w:rsidR="00E579B9" w:rsidRDefault="006A1398">
            <w:pPr>
              <w:pStyle w:val="aa"/>
            </w:pPr>
            <w:r>
              <w:rPr>
                <w:rFonts w:hint="eastAsia"/>
              </w:rPr>
              <w:t>厂区内不设锅炉，办公生活区采用空调。</w:t>
            </w:r>
          </w:p>
        </w:tc>
      </w:tr>
      <w:tr w:rsidR="00E579B9" w14:paraId="404200E5" w14:textId="77777777">
        <w:trPr>
          <w:cantSplit/>
          <w:jc w:val="center"/>
        </w:trPr>
        <w:tc>
          <w:tcPr>
            <w:tcW w:w="702" w:type="dxa"/>
            <w:vMerge/>
            <w:tcMar>
              <w:top w:w="57" w:type="dxa"/>
              <w:bottom w:w="57" w:type="dxa"/>
            </w:tcMar>
            <w:vAlign w:val="center"/>
          </w:tcPr>
          <w:p w14:paraId="7CECB099" w14:textId="77777777" w:rsidR="00E579B9" w:rsidRDefault="00E579B9">
            <w:pPr>
              <w:pStyle w:val="aa"/>
            </w:pPr>
          </w:p>
        </w:tc>
        <w:tc>
          <w:tcPr>
            <w:tcW w:w="1238" w:type="dxa"/>
            <w:tcMar>
              <w:top w:w="57" w:type="dxa"/>
              <w:bottom w:w="57" w:type="dxa"/>
            </w:tcMar>
            <w:vAlign w:val="center"/>
          </w:tcPr>
          <w:p w14:paraId="1F3FE1C2" w14:textId="77777777" w:rsidR="00E579B9" w:rsidRDefault="006A1398">
            <w:pPr>
              <w:pStyle w:val="aa"/>
            </w:pPr>
            <w:r>
              <w:rPr>
                <w:rFonts w:hint="eastAsia"/>
              </w:rPr>
              <w:t>供电</w:t>
            </w:r>
          </w:p>
        </w:tc>
        <w:tc>
          <w:tcPr>
            <w:tcW w:w="6780" w:type="dxa"/>
            <w:gridSpan w:val="2"/>
            <w:tcMar>
              <w:top w:w="57" w:type="dxa"/>
              <w:bottom w:w="57" w:type="dxa"/>
            </w:tcMar>
            <w:vAlign w:val="center"/>
          </w:tcPr>
          <w:p w14:paraId="70C492D6" w14:textId="77777777" w:rsidR="00E579B9" w:rsidRDefault="006A1398">
            <w:pPr>
              <w:pStyle w:val="aa"/>
            </w:pPr>
            <w:r>
              <w:rPr>
                <w:rFonts w:hint="eastAsia"/>
              </w:rPr>
              <w:t>矿权区内电力有高压输电线路与省内电网连通，</w:t>
            </w:r>
            <w:r>
              <w:rPr>
                <w:rFonts w:hint="eastAsia"/>
              </w:rPr>
              <w:t>220V</w:t>
            </w:r>
            <w:r>
              <w:rPr>
                <w:rFonts w:hint="eastAsia"/>
              </w:rPr>
              <w:t>电力直通矿区，引一趟</w:t>
            </w:r>
            <w:r>
              <w:rPr>
                <w:rFonts w:hint="eastAsia"/>
              </w:rPr>
              <w:t>10kV</w:t>
            </w:r>
            <w:r>
              <w:rPr>
                <w:rFonts w:hint="eastAsia"/>
              </w:rPr>
              <w:t>架空供电线路，至破碎站。</w:t>
            </w:r>
          </w:p>
        </w:tc>
      </w:tr>
      <w:tr w:rsidR="00E579B9" w14:paraId="04946978" w14:textId="77777777">
        <w:trPr>
          <w:cantSplit/>
          <w:jc w:val="center"/>
        </w:trPr>
        <w:tc>
          <w:tcPr>
            <w:tcW w:w="702" w:type="dxa"/>
            <w:vMerge w:val="restart"/>
            <w:tcMar>
              <w:top w:w="57" w:type="dxa"/>
              <w:bottom w:w="57" w:type="dxa"/>
            </w:tcMar>
            <w:vAlign w:val="center"/>
          </w:tcPr>
          <w:p w14:paraId="3F29336C" w14:textId="77777777" w:rsidR="00E579B9" w:rsidRDefault="006A1398">
            <w:pPr>
              <w:pStyle w:val="aa"/>
            </w:pPr>
            <w:r>
              <w:rPr>
                <w:rFonts w:hint="eastAsia"/>
              </w:rPr>
              <w:t>环保工程</w:t>
            </w:r>
          </w:p>
        </w:tc>
        <w:tc>
          <w:tcPr>
            <w:tcW w:w="1238" w:type="dxa"/>
            <w:tcMar>
              <w:top w:w="57" w:type="dxa"/>
              <w:bottom w:w="57" w:type="dxa"/>
            </w:tcMar>
            <w:vAlign w:val="center"/>
          </w:tcPr>
          <w:p w14:paraId="2AA69518" w14:textId="77777777" w:rsidR="00E579B9" w:rsidRDefault="006A1398">
            <w:pPr>
              <w:pStyle w:val="aa"/>
            </w:pPr>
            <w:r>
              <w:rPr>
                <w:rFonts w:hint="eastAsia"/>
              </w:rPr>
              <w:t>废气</w:t>
            </w:r>
          </w:p>
        </w:tc>
        <w:tc>
          <w:tcPr>
            <w:tcW w:w="6780" w:type="dxa"/>
            <w:gridSpan w:val="2"/>
            <w:tcMar>
              <w:top w:w="57" w:type="dxa"/>
              <w:bottom w:w="57" w:type="dxa"/>
            </w:tcMar>
            <w:vAlign w:val="center"/>
          </w:tcPr>
          <w:p w14:paraId="53B291E9" w14:textId="77777777" w:rsidR="00E579B9" w:rsidRDefault="006A1398">
            <w:pPr>
              <w:pStyle w:val="aa"/>
            </w:pPr>
            <w:r>
              <w:t>潜</w:t>
            </w:r>
            <w:proofErr w:type="gramStart"/>
            <w:r>
              <w:t>孔钻自</w:t>
            </w:r>
            <w:proofErr w:type="gramEnd"/>
            <w:r>
              <w:t>带除尘设备</w:t>
            </w:r>
            <w:r>
              <w:rPr>
                <w:rFonts w:hint="eastAsia"/>
              </w:rPr>
              <w:t>；合理安排爆破时间，避开大风干燥天气，</w:t>
            </w:r>
            <w:proofErr w:type="gramStart"/>
            <w:r>
              <w:rPr>
                <w:rFonts w:hint="eastAsia"/>
              </w:rPr>
              <w:t>爆破区</w:t>
            </w:r>
            <w:proofErr w:type="gramEnd"/>
            <w:r>
              <w:rPr>
                <w:rFonts w:hint="eastAsia"/>
              </w:rPr>
              <w:t>设水袋，并对爆堆进行洒水降尘；</w:t>
            </w:r>
            <w:r>
              <w:rPr>
                <w:rFonts w:ascii="宋体" w:hAnsi="宋体" w:hint="eastAsia"/>
              </w:rPr>
              <w:t>矿区设置一辆洒水车，定期在矿区道路、表土临时堆场、装载区、</w:t>
            </w:r>
            <w:proofErr w:type="gramStart"/>
            <w:r>
              <w:rPr>
                <w:rFonts w:ascii="宋体" w:hAnsi="宋体" w:hint="eastAsia"/>
              </w:rPr>
              <w:t>爆破区</w:t>
            </w:r>
            <w:proofErr w:type="gramEnd"/>
            <w:r>
              <w:rPr>
                <w:rFonts w:ascii="宋体" w:hAnsi="宋体" w:hint="eastAsia"/>
              </w:rPr>
              <w:t>等洒水除尘；破碎筛分工序经袋式除尘器处理后通过15米高排气筒排放。</w:t>
            </w:r>
          </w:p>
        </w:tc>
      </w:tr>
      <w:tr w:rsidR="00E579B9" w14:paraId="79AA1DCF" w14:textId="77777777">
        <w:trPr>
          <w:cantSplit/>
          <w:jc w:val="center"/>
        </w:trPr>
        <w:tc>
          <w:tcPr>
            <w:tcW w:w="702" w:type="dxa"/>
            <w:vMerge/>
            <w:tcMar>
              <w:top w:w="57" w:type="dxa"/>
              <w:bottom w:w="57" w:type="dxa"/>
            </w:tcMar>
            <w:vAlign w:val="center"/>
          </w:tcPr>
          <w:p w14:paraId="4C9EE18E" w14:textId="77777777" w:rsidR="00E579B9" w:rsidRDefault="00E579B9">
            <w:pPr>
              <w:pStyle w:val="aa"/>
            </w:pPr>
          </w:p>
        </w:tc>
        <w:tc>
          <w:tcPr>
            <w:tcW w:w="1238" w:type="dxa"/>
            <w:vMerge w:val="restart"/>
            <w:tcMar>
              <w:top w:w="57" w:type="dxa"/>
              <w:bottom w:w="57" w:type="dxa"/>
            </w:tcMar>
            <w:vAlign w:val="center"/>
          </w:tcPr>
          <w:p w14:paraId="063FF0F0" w14:textId="77777777" w:rsidR="00E579B9" w:rsidRDefault="006A1398">
            <w:pPr>
              <w:pStyle w:val="aa"/>
            </w:pPr>
            <w:r>
              <w:rPr>
                <w:rFonts w:hint="eastAsia"/>
              </w:rPr>
              <w:t>废水</w:t>
            </w:r>
          </w:p>
        </w:tc>
        <w:tc>
          <w:tcPr>
            <w:tcW w:w="1032" w:type="dxa"/>
            <w:tcMar>
              <w:top w:w="57" w:type="dxa"/>
              <w:bottom w:w="57" w:type="dxa"/>
            </w:tcMar>
            <w:vAlign w:val="center"/>
          </w:tcPr>
          <w:p w14:paraId="5E0ACD53" w14:textId="77777777" w:rsidR="00E579B9" w:rsidRDefault="006A1398">
            <w:pPr>
              <w:pStyle w:val="aa"/>
            </w:pPr>
            <w:r>
              <w:rPr>
                <w:rFonts w:hint="eastAsia"/>
              </w:rPr>
              <w:t>初期雨水</w:t>
            </w:r>
          </w:p>
        </w:tc>
        <w:tc>
          <w:tcPr>
            <w:tcW w:w="5748" w:type="dxa"/>
            <w:tcMar>
              <w:top w:w="57" w:type="dxa"/>
              <w:bottom w:w="57" w:type="dxa"/>
            </w:tcMar>
            <w:vAlign w:val="center"/>
          </w:tcPr>
          <w:p w14:paraId="5F73D473" w14:textId="77777777" w:rsidR="00E579B9" w:rsidRDefault="006A1398">
            <w:pPr>
              <w:pStyle w:val="aa"/>
              <w:jc w:val="both"/>
            </w:pPr>
            <w:r>
              <w:rPr>
                <w:rFonts w:hint="eastAsia"/>
              </w:rPr>
              <w:t>初期</w:t>
            </w:r>
            <w:r>
              <w:t>雨水</w:t>
            </w:r>
            <w:r>
              <w:rPr>
                <w:rFonts w:hint="eastAsia"/>
              </w:rPr>
              <w:t>：在采场周边开采境界以外</w:t>
            </w:r>
            <w:r>
              <w:rPr>
                <w:rFonts w:hint="eastAsia"/>
              </w:rPr>
              <w:t>2.0m</w:t>
            </w:r>
            <w:r>
              <w:rPr>
                <w:rFonts w:hint="eastAsia"/>
              </w:rPr>
              <w:t>的位置，设置</w:t>
            </w:r>
            <w:proofErr w:type="gramStart"/>
            <w:r>
              <w:rPr>
                <w:rFonts w:hint="eastAsia"/>
              </w:rPr>
              <w:t>截</w:t>
            </w:r>
            <w:proofErr w:type="gramEnd"/>
            <w:r>
              <w:rPr>
                <w:rFonts w:hint="eastAsia"/>
              </w:rPr>
              <w:t>排水沟，将</w:t>
            </w:r>
            <w:proofErr w:type="gramStart"/>
            <w:r>
              <w:rPr>
                <w:rFonts w:hint="eastAsia"/>
              </w:rPr>
              <w:t>雨水排离采场</w:t>
            </w:r>
            <w:proofErr w:type="gramEnd"/>
            <w:r>
              <w:rPr>
                <w:rFonts w:hint="eastAsia"/>
              </w:rPr>
              <w:t>。设</w:t>
            </w:r>
            <w:bookmarkStart w:id="90" w:name="OLE_LINK11"/>
            <w:bookmarkStart w:id="91" w:name="OLE_LINK12"/>
            <w:r>
              <w:rPr>
                <w:rFonts w:hint="eastAsia"/>
              </w:rPr>
              <w:t>置</w:t>
            </w:r>
            <w:r>
              <w:t>400</w:t>
            </w:r>
            <w:r>
              <w:rPr>
                <w:rFonts w:hint="eastAsia"/>
              </w:rPr>
              <w:t>m</w:t>
            </w:r>
            <w:r>
              <w:rPr>
                <w:rFonts w:hint="eastAsia"/>
                <w:vertAlign w:val="superscript"/>
              </w:rPr>
              <w:t>3</w:t>
            </w:r>
            <w:bookmarkEnd w:id="90"/>
            <w:bookmarkEnd w:id="91"/>
            <w:r>
              <w:rPr>
                <w:rFonts w:hint="eastAsia"/>
              </w:rPr>
              <w:t>初期雨水收集池沉淀后用于厂区洒水，后期雨水自然</w:t>
            </w:r>
            <w:r>
              <w:t>汇流至矿区外季节排水沟</w:t>
            </w:r>
            <w:r>
              <w:rPr>
                <w:rFonts w:hint="eastAsia"/>
              </w:rPr>
              <w:t>；</w:t>
            </w:r>
          </w:p>
        </w:tc>
      </w:tr>
      <w:tr w:rsidR="00E579B9" w14:paraId="4F00F772" w14:textId="77777777">
        <w:trPr>
          <w:cantSplit/>
          <w:jc w:val="center"/>
        </w:trPr>
        <w:tc>
          <w:tcPr>
            <w:tcW w:w="702" w:type="dxa"/>
            <w:vMerge/>
            <w:tcMar>
              <w:top w:w="57" w:type="dxa"/>
              <w:bottom w:w="57" w:type="dxa"/>
            </w:tcMar>
            <w:vAlign w:val="center"/>
          </w:tcPr>
          <w:p w14:paraId="0E468CD5" w14:textId="77777777" w:rsidR="00E579B9" w:rsidRDefault="00E579B9">
            <w:pPr>
              <w:pStyle w:val="aa"/>
            </w:pPr>
          </w:p>
        </w:tc>
        <w:tc>
          <w:tcPr>
            <w:tcW w:w="1238" w:type="dxa"/>
            <w:vMerge/>
            <w:tcMar>
              <w:top w:w="57" w:type="dxa"/>
              <w:bottom w:w="57" w:type="dxa"/>
            </w:tcMar>
            <w:vAlign w:val="center"/>
          </w:tcPr>
          <w:p w14:paraId="439579F5" w14:textId="77777777" w:rsidR="00E579B9" w:rsidRDefault="00E579B9">
            <w:pPr>
              <w:pStyle w:val="aa"/>
            </w:pPr>
          </w:p>
        </w:tc>
        <w:tc>
          <w:tcPr>
            <w:tcW w:w="1032" w:type="dxa"/>
            <w:tcMar>
              <w:top w:w="57" w:type="dxa"/>
              <w:bottom w:w="57" w:type="dxa"/>
            </w:tcMar>
            <w:vAlign w:val="center"/>
          </w:tcPr>
          <w:p w14:paraId="587476C8" w14:textId="77777777" w:rsidR="00E579B9" w:rsidRDefault="006A1398">
            <w:pPr>
              <w:pStyle w:val="aa"/>
            </w:pPr>
            <w:r>
              <w:rPr>
                <w:rFonts w:hint="eastAsia"/>
              </w:rPr>
              <w:t>生活污水</w:t>
            </w:r>
          </w:p>
        </w:tc>
        <w:tc>
          <w:tcPr>
            <w:tcW w:w="5748" w:type="dxa"/>
            <w:tcMar>
              <w:top w:w="57" w:type="dxa"/>
              <w:bottom w:w="57" w:type="dxa"/>
            </w:tcMar>
            <w:vAlign w:val="center"/>
          </w:tcPr>
          <w:p w14:paraId="06FDBB24" w14:textId="77777777" w:rsidR="00E579B9" w:rsidRDefault="006A1398">
            <w:pPr>
              <w:pStyle w:val="aa"/>
            </w:pPr>
            <w:r>
              <w:rPr>
                <w:rFonts w:hint="eastAsia"/>
              </w:rPr>
              <w:t>车辆冲洗废水在沉淀池中沉淀后循环使用，生活污水经一体化污水处理站处理后用于厂区洒水抑尘，不外排。</w:t>
            </w:r>
          </w:p>
        </w:tc>
      </w:tr>
      <w:tr w:rsidR="00E579B9" w14:paraId="01E67B1D" w14:textId="77777777">
        <w:trPr>
          <w:cantSplit/>
          <w:trHeight w:val="252"/>
          <w:jc w:val="center"/>
        </w:trPr>
        <w:tc>
          <w:tcPr>
            <w:tcW w:w="702" w:type="dxa"/>
            <w:vMerge/>
            <w:tcMar>
              <w:top w:w="57" w:type="dxa"/>
              <w:bottom w:w="57" w:type="dxa"/>
            </w:tcMar>
            <w:vAlign w:val="center"/>
          </w:tcPr>
          <w:p w14:paraId="7321A00F" w14:textId="77777777" w:rsidR="00E579B9" w:rsidRDefault="00E579B9">
            <w:pPr>
              <w:pStyle w:val="aa"/>
            </w:pPr>
          </w:p>
        </w:tc>
        <w:tc>
          <w:tcPr>
            <w:tcW w:w="1238" w:type="dxa"/>
            <w:tcMar>
              <w:top w:w="57" w:type="dxa"/>
              <w:bottom w:w="57" w:type="dxa"/>
            </w:tcMar>
            <w:vAlign w:val="center"/>
          </w:tcPr>
          <w:p w14:paraId="6C0662DF" w14:textId="77777777" w:rsidR="00E579B9" w:rsidRDefault="006A1398">
            <w:pPr>
              <w:pStyle w:val="aa"/>
            </w:pPr>
            <w:r>
              <w:rPr>
                <w:rFonts w:hint="eastAsia"/>
              </w:rPr>
              <w:t>噪声</w:t>
            </w:r>
          </w:p>
        </w:tc>
        <w:tc>
          <w:tcPr>
            <w:tcW w:w="6780" w:type="dxa"/>
            <w:gridSpan w:val="2"/>
            <w:tcMar>
              <w:top w:w="57" w:type="dxa"/>
              <w:bottom w:w="57" w:type="dxa"/>
            </w:tcMar>
            <w:vAlign w:val="center"/>
          </w:tcPr>
          <w:p w14:paraId="4C0BF5EE" w14:textId="77777777" w:rsidR="00E579B9" w:rsidRDefault="006A1398">
            <w:pPr>
              <w:pStyle w:val="aa"/>
            </w:pPr>
            <w:r>
              <w:rPr>
                <w:rFonts w:hint="eastAsia"/>
              </w:rPr>
              <w:t>主要为爆破噪声和采矿设备噪声，设计选用低噪声设备、运输噪声设立减速慢行标志。</w:t>
            </w:r>
          </w:p>
        </w:tc>
      </w:tr>
      <w:tr w:rsidR="00E579B9" w14:paraId="7348FDAA" w14:textId="77777777">
        <w:trPr>
          <w:cantSplit/>
          <w:jc w:val="center"/>
        </w:trPr>
        <w:tc>
          <w:tcPr>
            <w:tcW w:w="702" w:type="dxa"/>
            <w:vMerge/>
            <w:tcMar>
              <w:top w:w="57" w:type="dxa"/>
              <w:bottom w:w="57" w:type="dxa"/>
            </w:tcMar>
            <w:vAlign w:val="center"/>
          </w:tcPr>
          <w:p w14:paraId="020DBE3D" w14:textId="77777777" w:rsidR="00E579B9" w:rsidRDefault="00E579B9">
            <w:pPr>
              <w:pStyle w:val="aa"/>
            </w:pPr>
          </w:p>
        </w:tc>
        <w:tc>
          <w:tcPr>
            <w:tcW w:w="1238" w:type="dxa"/>
            <w:tcMar>
              <w:top w:w="57" w:type="dxa"/>
              <w:bottom w:w="57" w:type="dxa"/>
            </w:tcMar>
            <w:vAlign w:val="center"/>
          </w:tcPr>
          <w:p w14:paraId="6447CE33" w14:textId="77777777" w:rsidR="00E579B9" w:rsidRDefault="006A1398">
            <w:pPr>
              <w:pStyle w:val="aa"/>
            </w:pPr>
            <w:r>
              <w:rPr>
                <w:rFonts w:hint="eastAsia"/>
              </w:rPr>
              <w:t>固</w:t>
            </w:r>
            <w:proofErr w:type="gramStart"/>
            <w:r>
              <w:rPr>
                <w:rFonts w:hint="eastAsia"/>
              </w:rPr>
              <w:t>废处理</w:t>
            </w:r>
            <w:proofErr w:type="gramEnd"/>
            <w:r>
              <w:rPr>
                <w:rFonts w:hint="eastAsia"/>
              </w:rPr>
              <w:t>措施</w:t>
            </w:r>
          </w:p>
        </w:tc>
        <w:tc>
          <w:tcPr>
            <w:tcW w:w="6780" w:type="dxa"/>
            <w:gridSpan w:val="2"/>
            <w:tcMar>
              <w:top w:w="57" w:type="dxa"/>
              <w:bottom w:w="57" w:type="dxa"/>
            </w:tcMar>
            <w:vAlign w:val="center"/>
          </w:tcPr>
          <w:p w14:paraId="31BE7987" w14:textId="77777777" w:rsidR="00E579B9" w:rsidRDefault="006A1398">
            <w:pPr>
              <w:pStyle w:val="aa"/>
            </w:pPr>
            <w:r>
              <w:rPr>
                <w:rFonts w:hint="eastAsia"/>
              </w:rPr>
              <w:t>施工期表土运至表土场；运营期表土直接用于已开采台阶的生态恢复覆土；矿区设置生活垃圾桶，用于暂存生活垃圾；袋式除尘器收集的粉尘直接外售。</w:t>
            </w:r>
          </w:p>
        </w:tc>
      </w:tr>
      <w:tr w:rsidR="00E579B9" w14:paraId="3F07C9AF" w14:textId="77777777">
        <w:trPr>
          <w:cantSplit/>
          <w:jc w:val="center"/>
        </w:trPr>
        <w:tc>
          <w:tcPr>
            <w:tcW w:w="702" w:type="dxa"/>
            <w:vMerge/>
            <w:tcMar>
              <w:top w:w="57" w:type="dxa"/>
              <w:bottom w:w="57" w:type="dxa"/>
            </w:tcMar>
            <w:vAlign w:val="center"/>
          </w:tcPr>
          <w:p w14:paraId="523869DA" w14:textId="77777777" w:rsidR="00E579B9" w:rsidRDefault="00E579B9">
            <w:pPr>
              <w:pStyle w:val="aa"/>
            </w:pPr>
          </w:p>
        </w:tc>
        <w:tc>
          <w:tcPr>
            <w:tcW w:w="1238" w:type="dxa"/>
            <w:tcMar>
              <w:top w:w="57" w:type="dxa"/>
              <w:bottom w:w="57" w:type="dxa"/>
            </w:tcMar>
            <w:vAlign w:val="center"/>
          </w:tcPr>
          <w:p w14:paraId="5941BD37" w14:textId="77777777" w:rsidR="00E579B9" w:rsidRDefault="006A1398">
            <w:pPr>
              <w:pStyle w:val="aa"/>
            </w:pPr>
            <w:r>
              <w:rPr>
                <w:rFonts w:hint="eastAsia"/>
              </w:rPr>
              <w:t>生态保护</w:t>
            </w:r>
          </w:p>
        </w:tc>
        <w:tc>
          <w:tcPr>
            <w:tcW w:w="6780" w:type="dxa"/>
            <w:gridSpan w:val="2"/>
            <w:tcMar>
              <w:top w:w="57" w:type="dxa"/>
              <w:bottom w:w="57" w:type="dxa"/>
            </w:tcMar>
            <w:vAlign w:val="center"/>
          </w:tcPr>
          <w:p w14:paraId="4A04CBD5" w14:textId="1F830822" w:rsidR="00E579B9" w:rsidRDefault="006A1398">
            <w:pPr>
              <w:pStyle w:val="aa"/>
            </w:pPr>
            <w:r>
              <w:rPr>
                <w:rFonts w:hint="eastAsia"/>
              </w:rPr>
              <w:t>边开采边对开采台阶进行恢复；及时对台阶覆土绿化，在边坡处种植攀沿植物，运营期满后对全矿区、表土场、破碎加工区进行</w:t>
            </w:r>
            <w:r w:rsidR="00F554CB" w:rsidRPr="00F554CB">
              <w:t>100%</w:t>
            </w:r>
            <w:r>
              <w:rPr>
                <w:rFonts w:hint="eastAsia"/>
              </w:rPr>
              <w:t>生态恢复</w:t>
            </w:r>
            <w:r w:rsidR="006103B9" w:rsidRPr="00F554CB">
              <w:rPr>
                <w:rFonts w:hint="eastAsia"/>
              </w:rPr>
              <w:t>。</w:t>
            </w:r>
          </w:p>
        </w:tc>
      </w:tr>
    </w:tbl>
    <w:p w14:paraId="28D11D83" w14:textId="1ACFCCA9" w:rsidR="00E579B9" w:rsidRDefault="0003710F">
      <w:pPr>
        <w:pStyle w:val="3"/>
        <w:ind w:firstLine="560"/>
      </w:pPr>
      <w:bookmarkStart w:id="92" w:name="_Toc30153"/>
      <w:bookmarkStart w:id="93" w:name="_Toc531939309"/>
      <w:bookmarkEnd w:id="89"/>
      <w:r>
        <w:rPr>
          <w:rFonts w:hint="eastAsia"/>
        </w:rPr>
        <w:t>3.2</w:t>
      </w:r>
      <w:r w:rsidR="006A1398">
        <w:t>.6</w:t>
      </w:r>
      <w:r w:rsidR="006A1398">
        <w:t>产品方案及规模</w:t>
      </w:r>
      <w:bookmarkEnd w:id="92"/>
      <w:bookmarkEnd w:id="93"/>
    </w:p>
    <w:p w14:paraId="7965E362" w14:textId="47C81522" w:rsidR="00E579B9" w:rsidRDefault="006A1398">
      <w:pPr>
        <w:pStyle w:val="21"/>
      </w:pPr>
      <w:r>
        <w:t>表</w:t>
      </w:r>
      <w:r w:rsidR="0003710F">
        <w:t>3.2</w:t>
      </w:r>
      <w:r>
        <w:t>-4</w:t>
      </w:r>
      <w:r>
        <w:t>本项目产品方案一览表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28"/>
        <w:gridCol w:w="2426"/>
        <w:gridCol w:w="3246"/>
        <w:gridCol w:w="2220"/>
      </w:tblGrid>
      <w:tr w:rsidR="00E579B9" w14:paraId="67F5E54D" w14:textId="77777777">
        <w:trPr>
          <w:trHeight w:val="74"/>
          <w:jc w:val="center"/>
        </w:trPr>
        <w:tc>
          <w:tcPr>
            <w:tcW w:w="828" w:type="dxa"/>
          </w:tcPr>
          <w:p w14:paraId="54D11AAA" w14:textId="77777777" w:rsidR="00E579B9" w:rsidRDefault="006A1398">
            <w:pPr>
              <w:pStyle w:val="aa"/>
            </w:pPr>
            <w:r>
              <w:rPr>
                <w:rFonts w:hint="eastAsia"/>
              </w:rPr>
              <w:lastRenderedPageBreak/>
              <w:t>序号</w:t>
            </w:r>
          </w:p>
        </w:tc>
        <w:tc>
          <w:tcPr>
            <w:tcW w:w="2426" w:type="dxa"/>
            <w:vAlign w:val="center"/>
          </w:tcPr>
          <w:p w14:paraId="74F8D388" w14:textId="77777777" w:rsidR="00E579B9" w:rsidRDefault="006A1398">
            <w:pPr>
              <w:pStyle w:val="aa"/>
            </w:pPr>
            <w:r>
              <w:rPr>
                <w:rFonts w:hint="eastAsia"/>
              </w:rPr>
              <w:t>产品种类</w:t>
            </w:r>
          </w:p>
        </w:tc>
        <w:tc>
          <w:tcPr>
            <w:tcW w:w="3246" w:type="dxa"/>
          </w:tcPr>
          <w:p w14:paraId="08D7F834" w14:textId="77777777" w:rsidR="00E579B9" w:rsidRDefault="006A1398">
            <w:pPr>
              <w:pStyle w:val="aa"/>
            </w:pPr>
            <w:r>
              <w:rPr>
                <w:rFonts w:hint="eastAsia"/>
              </w:rPr>
              <w:t>粒径</w:t>
            </w:r>
            <w:r>
              <w:t>（</w:t>
            </w:r>
            <w:r>
              <w:rPr>
                <w:rFonts w:hint="eastAsia"/>
              </w:rPr>
              <w:t>cm</w:t>
            </w:r>
            <w:r>
              <w:t>）</w:t>
            </w:r>
          </w:p>
        </w:tc>
        <w:tc>
          <w:tcPr>
            <w:tcW w:w="2220" w:type="dxa"/>
            <w:vAlign w:val="center"/>
          </w:tcPr>
          <w:p w14:paraId="605996AA" w14:textId="77777777" w:rsidR="00E579B9" w:rsidRDefault="006A1398">
            <w:pPr>
              <w:pStyle w:val="aa"/>
            </w:pPr>
            <w:r>
              <w:rPr>
                <w:rFonts w:hint="eastAsia"/>
              </w:rPr>
              <w:t>产量（万</w:t>
            </w:r>
            <w:r>
              <w:rPr>
                <w:rFonts w:hint="eastAsia"/>
              </w:rPr>
              <w:t>t/a</w:t>
            </w:r>
            <w:r>
              <w:rPr>
                <w:rFonts w:hint="eastAsia"/>
              </w:rPr>
              <w:t>）</w:t>
            </w:r>
          </w:p>
        </w:tc>
      </w:tr>
      <w:tr w:rsidR="00E579B9" w14:paraId="51E8180B" w14:textId="77777777">
        <w:trPr>
          <w:trHeight w:val="23"/>
          <w:jc w:val="center"/>
        </w:trPr>
        <w:tc>
          <w:tcPr>
            <w:tcW w:w="828" w:type="dxa"/>
          </w:tcPr>
          <w:p w14:paraId="5F6AAA3D" w14:textId="77777777" w:rsidR="00E579B9" w:rsidRDefault="00E579B9">
            <w:pPr>
              <w:pStyle w:val="aa"/>
              <w:numPr>
                <w:ilvl w:val="0"/>
                <w:numId w:val="2"/>
              </w:numPr>
            </w:pPr>
          </w:p>
        </w:tc>
        <w:tc>
          <w:tcPr>
            <w:tcW w:w="2426" w:type="dxa"/>
            <w:vMerge w:val="restart"/>
            <w:vAlign w:val="center"/>
          </w:tcPr>
          <w:p w14:paraId="1A11DC40" w14:textId="77777777" w:rsidR="00E579B9" w:rsidRDefault="006A1398">
            <w:pPr>
              <w:pStyle w:val="aa"/>
            </w:pPr>
            <w:r>
              <w:rPr>
                <w:rFonts w:hint="eastAsia"/>
              </w:rPr>
              <w:t>建筑用大理岩</w:t>
            </w:r>
            <w:r>
              <w:t>原矿</w:t>
            </w:r>
          </w:p>
        </w:tc>
        <w:tc>
          <w:tcPr>
            <w:tcW w:w="3246" w:type="dxa"/>
          </w:tcPr>
          <w:p w14:paraId="3A3B40EB" w14:textId="77777777" w:rsidR="00E579B9" w:rsidRDefault="006A1398">
            <w:pPr>
              <w:pStyle w:val="aa"/>
            </w:pPr>
            <w:r>
              <w:rPr>
                <w:rFonts w:hint="eastAsia"/>
              </w:rPr>
              <w:t>0-5</w:t>
            </w:r>
          </w:p>
        </w:tc>
        <w:tc>
          <w:tcPr>
            <w:tcW w:w="2220" w:type="dxa"/>
            <w:vAlign w:val="center"/>
          </w:tcPr>
          <w:p w14:paraId="0E363DA8" w14:textId="77777777" w:rsidR="00E579B9" w:rsidRDefault="006A1398">
            <w:pPr>
              <w:pStyle w:val="aa"/>
            </w:pPr>
            <w:r>
              <w:t>46</w:t>
            </w:r>
          </w:p>
        </w:tc>
      </w:tr>
      <w:tr w:rsidR="00E579B9" w14:paraId="6E02EE34" w14:textId="77777777">
        <w:trPr>
          <w:trHeight w:val="23"/>
          <w:jc w:val="center"/>
        </w:trPr>
        <w:tc>
          <w:tcPr>
            <w:tcW w:w="828" w:type="dxa"/>
          </w:tcPr>
          <w:p w14:paraId="4FEF38CF" w14:textId="77777777" w:rsidR="00E579B9" w:rsidRDefault="00E579B9">
            <w:pPr>
              <w:pStyle w:val="aa"/>
              <w:numPr>
                <w:ilvl w:val="0"/>
                <w:numId w:val="2"/>
              </w:numPr>
            </w:pPr>
          </w:p>
        </w:tc>
        <w:tc>
          <w:tcPr>
            <w:tcW w:w="2426" w:type="dxa"/>
            <w:vMerge/>
            <w:vAlign w:val="center"/>
          </w:tcPr>
          <w:p w14:paraId="27633CBC" w14:textId="77777777" w:rsidR="00E579B9" w:rsidRDefault="00E579B9">
            <w:pPr>
              <w:pStyle w:val="aa"/>
            </w:pPr>
          </w:p>
        </w:tc>
        <w:tc>
          <w:tcPr>
            <w:tcW w:w="3246" w:type="dxa"/>
          </w:tcPr>
          <w:p w14:paraId="251DC27A" w14:textId="77777777" w:rsidR="00E579B9" w:rsidRDefault="006A1398">
            <w:pPr>
              <w:pStyle w:val="aa"/>
            </w:pPr>
            <w:r>
              <w:rPr>
                <w:rFonts w:hint="eastAsia"/>
              </w:rPr>
              <w:t>5-10</w:t>
            </w:r>
          </w:p>
        </w:tc>
        <w:tc>
          <w:tcPr>
            <w:tcW w:w="2220" w:type="dxa"/>
            <w:vAlign w:val="center"/>
          </w:tcPr>
          <w:p w14:paraId="01BA956B" w14:textId="77777777" w:rsidR="00E579B9" w:rsidRDefault="006A1398">
            <w:pPr>
              <w:pStyle w:val="aa"/>
            </w:pPr>
            <w:r>
              <w:rPr>
                <w:rFonts w:hint="eastAsia"/>
              </w:rPr>
              <w:t>46</w:t>
            </w:r>
          </w:p>
        </w:tc>
      </w:tr>
      <w:tr w:rsidR="00E579B9" w14:paraId="742C74C8" w14:textId="77777777">
        <w:trPr>
          <w:trHeight w:val="23"/>
          <w:jc w:val="center"/>
        </w:trPr>
        <w:tc>
          <w:tcPr>
            <w:tcW w:w="828" w:type="dxa"/>
          </w:tcPr>
          <w:p w14:paraId="017933E9" w14:textId="77777777" w:rsidR="00E579B9" w:rsidRDefault="00E579B9">
            <w:pPr>
              <w:pStyle w:val="aa"/>
              <w:numPr>
                <w:ilvl w:val="0"/>
                <w:numId w:val="2"/>
              </w:numPr>
            </w:pPr>
          </w:p>
        </w:tc>
        <w:tc>
          <w:tcPr>
            <w:tcW w:w="2426" w:type="dxa"/>
            <w:vMerge/>
            <w:vAlign w:val="center"/>
          </w:tcPr>
          <w:p w14:paraId="21C93528" w14:textId="77777777" w:rsidR="00E579B9" w:rsidRDefault="00E579B9">
            <w:pPr>
              <w:pStyle w:val="aa"/>
            </w:pPr>
          </w:p>
        </w:tc>
        <w:tc>
          <w:tcPr>
            <w:tcW w:w="3246" w:type="dxa"/>
          </w:tcPr>
          <w:p w14:paraId="3F090C42" w14:textId="77777777" w:rsidR="00E579B9" w:rsidRDefault="006A1398">
            <w:pPr>
              <w:pStyle w:val="aa"/>
            </w:pPr>
            <w:r>
              <w:rPr>
                <w:rFonts w:hint="eastAsia"/>
              </w:rPr>
              <w:t>10-20</w:t>
            </w:r>
          </w:p>
        </w:tc>
        <w:tc>
          <w:tcPr>
            <w:tcW w:w="2220" w:type="dxa"/>
            <w:vAlign w:val="center"/>
          </w:tcPr>
          <w:p w14:paraId="59282551" w14:textId="77777777" w:rsidR="00E579B9" w:rsidRDefault="006A1398">
            <w:pPr>
              <w:pStyle w:val="aa"/>
            </w:pPr>
            <w:r>
              <w:rPr>
                <w:rFonts w:hint="eastAsia"/>
              </w:rPr>
              <w:t>46</w:t>
            </w:r>
          </w:p>
        </w:tc>
      </w:tr>
      <w:tr w:rsidR="00E579B9" w14:paraId="5FBD0706" w14:textId="77777777">
        <w:trPr>
          <w:trHeight w:val="23"/>
          <w:jc w:val="center"/>
        </w:trPr>
        <w:tc>
          <w:tcPr>
            <w:tcW w:w="828" w:type="dxa"/>
          </w:tcPr>
          <w:p w14:paraId="68890D1F" w14:textId="77777777" w:rsidR="00E579B9" w:rsidRDefault="00E579B9">
            <w:pPr>
              <w:pStyle w:val="aa"/>
              <w:numPr>
                <w:ilvl w:val="0"/>
                <w:numId w:val="2"/>
              </w:numPr>
            </w:pPr>
          </w:p>
        </w:tc>
        <w:tc>
          <w:tcPr>
            <w:tcW w:w="2426" w:type="dxa"/>
            <w:vMerge/>
            <w:vAlign w:val="center"/>
          </w:tcPr>
          <w:p w14:paraId="6CC950D3" w14:textId="77777777" w:rsidR="00E579B9" w:rsidRDefault="00E579B9">
            <w:pPr>
              <w:pStyle w:val="aa"/>
            </w:pPr>
          </w:p>
        </w:tc>
        <w:tc>
          <w:tcPr>
            <w:tcW w:w="3246" w:type="dxa"/>
          </w:tcPr>
          <w:p w14:paraId="022EA472" w14:textId="77777777" w:rsidR="00E579B9" w:rsidRDefault="006A1398">
            <w:pPr>
              <w:pStyle w:val="aa"/>
            </w:pPr>
            <w:r>
              <w:rPr>
                <w:rFonts w:hint="eastAsia"/>
              </w:rPr>
              <w:t>20-31.5</w:t>
            </w:r>
          </w:p>
        </w:tc>
        <w:tc>
          <w:tcPr>
            <w:tcW w:w="2220" w:type="dxa"/>
            <w:vAlign w:val="center"/>
          </w:tcPr>
          <w:p w14:paraId="52674B35" w14:textId="77777777" w:rsidR="00E579B9" w:rsidRDefault="006A1398">
            <w:pPr>
              <w:pStyle w:val="aa"/>
            </w:pPr>
            <w:r>
              <w:rPr>
                <w:rFonts w:hint="eastAsia"/>
              </w:rPr>
              <w:t>92</w:t>
            </w:r>
          </w:p>
        </w:tc>
      </w:tr>
      <w:tr w:rsidR="00E579B9" w14:paraId="0FE2C61B" w14:textId="77777777">
        <w:trPr>
          <w:trHeight w:val="23"/>
          <w:jc w:val="center"/>
        </w:trPr>
        <w:tc>
          <w:tcPr>
            <w:tcW w:w="828" w:type="dxa"/>
          </w:tcPr>
          <w:p w14:paraId="71C348B1" w14:textId="77777777" w:rsidR="00E579B9" w:rsidRDefault="00E579B9">
            <w:pPr>
              <w:pStyle w:val="aa"/>
              <w:numPr>
                <w:ilvl w:val="0"/>
                <w:numId w:val="2"/>
              </w:numPr>
            </w:pPr>
          </w:p>
        </w:tc>
        <w:tc>
          <w:tcPr>
            <w:tcW w:w="2426" w:type="dxa"/>
            <w:vAlign w:val="center"/>
          </w:tcPr>
          <w:p w14:paraId="6BC8B47F" w14:textId="77777777" w:rsidR="00E579B9" w:rsidRDefault="006A1398">
            <w:pPr>
              <w:pStyle w:val="aa"/>
            </w:pPr>
            <w:r>
              <w:rPr>
                <w:rFonts w:hint="eastAsia"/>
              </w:rPr>
              <w:t>合计</w:t>
            </w:r>
          </w:p>
        </w:tc>
        <w:tc>
          <w:tcPr>
            <w:tcW w:w="3246" w:type="dxa"/>
          </w:tcPr>
          <w:p w14:paraId="0DC15244" w14:textId="77777777" w:rsidR="00E579B9" w:rsidRDefault="006A1398">
            <w:pPr>
              <w:pStyle w:val="aa"/>
            </w:pPr>
            <w:r>
              <w:rPr>
                <w:rFonts w:hint="eastAsia"/>
              </w:rPr>
              <w:t>/</w:t>
            </w:r>
          </w:p>
        </w:tc>
        <w:tc>
          <w:tcPr>
            <w:tcW w:w="2220" w:type="dxa"/>
            <w:vAlign w:val="center"/>
          </w:tcPr>
          <w:p w14:paraId="4C7DC45B" w14:textId="77777777" w:rsidR="00E579B9" w:rsidRDefault="006A1398">
            <w:pPr>
              <w:pStyle w:val="aa"/>
            </w:pPr>
            <w:r>
              <w:rPr>
                <w:rFonts w:hint="eastAsia"/>
              </w:rPr>
              <w:t>230</w:t>
            </w:r>
          </w:p>
        </w:tc>
      </w:tr>
    </w:tbl>
    <w:p w14:paraId="09D6B4A2" w14:textId="5763E463" w:rsidR="00E579B9" w:rsidRDefault="0003710F">
      <w:pPr>
        <w:pStyle w:val="3"/>
        <w:ind w:firstLine="560"/>
      </w:pPr>
      <w:bookmarkStart w:id="94" w:name="_Toc531939310"/>
      <w:bookmarkStart w:id="95" w:name="_Toc19568"/>
      <w:r>
        <w:t>3.2</w:t>
      </w:r>
      <w:r w:rsidR="006A1398">
        <w:t>.7</w:t>
      </w:r>
      <w:r w:rsidR="006A1398">
        <w:t>平面布置</w:t>
      </w:r>
      <w:bookmarkEnd w:id="94"/>
      <w:bookmarkEnd w:id="95"/>
    </w:p>
    <w:p w14:paraId="0CDC4E85" w14:textId="57E43B52" w:rsidR="00E579B9" w:rsidRDefault="006A1398" w:rsidP="006103B9">
      <w:r>
        <w:rPr>
          <w:rFonts w:hint="eastAsia"/>
        </w:rPr>
        <w:t>根据开发利用方案资料和现场调查，矿区不设置职工住房，使用当地劳动力。矿山不设油库</w:t>
      </w:r>
      <w:r w:rsidRPr="002B5221">
        <w:rPr>
          <w:rFonts w:hint="eastAsia"/>
        </w:rPr>
        <w:t>，矿山车辆</w:t>
      </w:r>
      <w:r w:rsidR="006103B9" w:rsidRPr="002B5221">
        <w:rPr>
          <w:rFonts w:hint="eastAsia"/>
        </w:rPr>
        <w:t>通过矿区</w:t>
      </w:r>
      <w:r w:rsidR="006103B9" w:rsidRPr="002B5221">
        <w:rPr>
          <w:rFonts w:hint="eastAsia"/>
        </w:rPr>
        <w:t>10</w:t>
      </w:r>
      <w:r w:rsidR="006103B9" w:rsidRPr="002B5221">
        <w:t>m</w:t>
      </w:r>
      <w:r w:rsidR="006103B9" w:rsidRPr="002B5221">
        <w:rPr>
          <w:vertAlign w:val="superscript"/>
        </w:rPr>
        <w:t>3</w:t>
      </w:r>
      <w:r w:rsidR="006103B9" w:rsidRPr="002B5221">
        <w:rPr>
          <w:rFonts w:hint="eastAsia"/>
        </w:rPr>
        <w:t>的油罐车加油</w:t>
      </w:r>
      <w:r w:rsidRPr="002B5221">
        <w:rPr>
          <w:rFonts w:hint="eastAsia"/>
        </w:rPr>
        <w:t>。矿山不设爆</w:t>
      </w:r>
      <w:r>
        <w:rPr>
          <w:rFonts w:hint="eastAsia"/>
        </w:rPr>
        <w:t>破材料库，爆破作业由民</w:t>
      </w:r>
      <w:proofErr w:type="gramStart"/>
      <w:r>
        <w:rPr>
          <w:rFonts w:hint="eastAsia"/>
        </w:rPr>
        <w:t>爆公司</w:t>
      </w:r>
      <w:proofErr w:type="gramEnd"/>
      <w:r>
        <w:rPr>
          <w:rFonts w:hint="eastAsia"/>
        </w:rPr>
        <w:t>负责，每次所用爆破物品由民</w:t>
      </w:r>
      <w:proofErr w:type="gramStart"/>
      <w:r>
        <w:rPr>
          <w:rFonts w:hint="eastAsia"/>
        </w:rPr>
        <w:t>爆公司炸药库根据</w:t>
      </w:r>
      <w:proofErr w:type="gramEnd"/>
      <w:r>
        <w:rPr>
          <w:rFonts w:hint="eastAsia"/>
        </w:rPr>
        <w:t>企业当天所需用</w:t>
      </w:r>
      <w:proofErr w:type="gramStart"/>
      <w:r>
        <w:rPr>
          <w:rFonts w:hint="eastAsia"/>
        </w:rPr>
        <w:t>量负责</w:t>
      </w:r>
      <w:proofErr w:type="gramEnd"/>
      <w:r>
        <w:rPr>
          <w:rFonts w:hint="eastAsia"/>
        </w:rPr>
        <w:t>运至爆破作业现场，爆破工作完毕后，剩余爆破器材由民</w:t>
      </w:r>
      <w:proofErr w:type="gramStart"/>
      <w:r>
        <w:rPr>
          <w:rFonts w:hint="eastAsia"/>
        </w:rPr>
        <w:t>爆公司</w:t>
      </w:r>
      <w:proofErr w:type="gramEnd"/>
      <w:r>
        <w:rPr>
          <w:rFonts w:hint="eastAsia"/>
        </w:rPr>
        <w:t>当天统一收回。</w:t>
      </w:r>
    </w:p>
    <w:p w14:paraId="412159E6" w14:textId="77777777" w:rsidR="00E579B9" w:rsidRDefault="006A1398">
      <w:r>
        <w:rPr>
          <w:rFonts w:hint="eastAsia"/>
        </w:rPr>
        <w:t>本项目组成可分为露采区、表土</w:t>
      </w:r>
      <w:r>
        <w:t>临时堆场</w:t>
      </w:r>
      <w:r>
        <w:rPr>
          <w:rFonts w:hint="eastAsia"/>
        </w:rPr>
        <w:t>、破碎加工厂区及</w:t>
      </w:r>
      <w:r>
        <w:t>办公区</w:t>
      </w:r>
      <w:r>
        <w:rPr>
          <w:rFonts w:hint="eastAsia"/>
        </w:rPr>
        <w:t>、运输道路四部分。</w:t>
      </w:r>
    </w:p>
    <w:p w14:paraId="3782989C" w14:textId="77777777" w:rsidR="00E579B9" w:rsidRDefault="006A1398">
      <w:pPr>
        <w:pStyle w:val="af3"/>
        <w:numPr>
          <w:ilvl w:val="0"/>
          <w:numId w:val="3"/>
        </w:numPr>
        <w:ind w:firstLineChars="0"/>
      </w:pPr>
      <w:r>
        <w:t>露天采场</w:t>
      </w:r>
    </w:p>
    <w:p w14:paraId="28255A29" w14:textId="77777777" w:rsidR="00E579B9" w:rsidRDefault="006A1398">
      <w:pPr>
        <w:rPr>
          <w:rFonts w:ascii="Arial"/>
        </w:rPr>
      </w:pPr>
      <w:r>
        <w:rPr>
          <w:rFonts w:hint="eastAsia"/>
        </w:rPr>
        <w:t>本项目</w:t>
      </w:r>
      <w:r>
        <w:t>设计</w:t>
      </w:r>
      <w:r>
        <w:rPr>
          <w:rFonts w:hint="eastAsia"/>
        </w:rPr>
        <w:t>一个露采场</w:t>
      </w:r>
      <w:r>
        <w:t>，</w:t>
      </w:r>
      <w:r>
        <w:rPr>
          <w:rFonts w:hint="eastAsia"/>
        </w:rPr>
        <w:t>露天采场最终形成</w:t>
      </w:r>
      <w:r>
        <w:rPr>
          <w:rFonts w:hint="eastAsia"/>
        </w:rPr>
        <w:t>15</w:t>
      </w:r>
      <w:r>
        <w:rPr>
          <w:rFonts w:hint="eastAsia"/>
        </w:rPr>
        <w:t>个台阶，分别为：</w:t>
      </w:r>
      <w:r>
        <w:rPr>
          <w:rFonts w:hint="eastAsia"/>
        </w:rPr>
        <w:t>+290m</w:t>
      </w:r>
      <w:r>
        <w:rPr>
          <w:rFonts w:hint="eastAsia"/>
        </w:rPr>
        <w:t>、</w:t>
      </w:r>
      <w:r>
        <w:rPr>
          <w:rFonts w:hint="eastAsia"/>
        </w:rPr>
        <w:t>+305m</w:t>
      </w:r>
      <w:r>
        <w:rPr>
          <w:rFonts w:hint="eastAsia"/>
        </w:rPr>
        <w:t>、</w:t>
      </w:r>
      <w:r>
        <w:rPr>
          <w:rFonts w:hint="eastAsia"/>
        </w:rPr>
        <w:t>+320m</w:t>
      </w:r>
      <w:r>
        <w:rPr>
          <w:rFonts w:hint="eastAsia"/>
        </w:rPr>
        <w:t>、</w:t>
      </w:r>
      <w:r>
        <w:rPr>
          <w:rFonts w:hint="eastAsia"/>
        </w:rPr>
        <w:t>+335m</w:t>
      </w:r>
      <w:r>
        <w:rPr>
          <w:rFonts w:hint="eastAsia"/>
        </w:rPr>
        <w:t>、</w:t>
      </w:r>
      <w:r>
        <w:rPr>
          <w:rFonts w:hint="eastAsia"/>
        </w:rPr>
        <w:t>+350m</w:t>
      </w:r>
      <w:r>
        <w:rPr>
          <w:rFonts w:hint="eastAsia"/>
        </w:rPr>
        <w:t>、</w:t>
      </w:r>
      <w:r>
        <w:rPr>
          <w:rFonts w:hint="eastAsia"/>
        </w:rPr>
        <w:t>+365m</w:t>
      </w:r>
      <w:r>
        <w:rPr>
          <w:rFonts w:hint="eastAsia"/>
        </w:rPr>
        <w:t>、</w:t>
      </w:r>
      <w:r>
        <w:rPr>
          <w:rFonts w:hint="eastAsia"/>
        </w:rPr>
        <w:t>+380m</w:t>
      </w:r>
      <w:r>
        <w:rPr>
          <w:rFonts w:hint="eastAsia"/>
        </w:rPr>
        <w:t>、</w:t>
      </w:r>
      <w:r>
        <w:rPr>
          <w:rFonts w:hint="eastAsia"/>
        </w:rPr>
        <w:t>+395m</w:t>
      </w:r>
      <w:r>
        <w:rPr>
          <w:rFonts w:hint="eastAsia"/>
        </w:rPr>
        <w:t>、</w:t>
      </w:r>
      <w:r>
        <w:rPr>
          <w:rFonts w:hint="eastAsia"/>
        </w:rPr>
        <w:t>+410m</w:t>
      </w:r>
      <w:r>
        <w:rPr>
          <w:rFonts w:hint="eastAsia"/>
        </w:rPr>
        <w:t>、</w:t>
      </w:r>
      <w:r>
        <w:rPr>
          <w:rFonts w:hint="eastAsia"/>
        </w:rPr>
        <w:t>+425m</w:t>
      </w:r>
      <w:r>
        <w:rPr>
          <w:rFonts w:hint="eastAsia"/>
        </w:rPr>
        <w:t>、</w:t>
      </w:r>
      <w:r>
        <w:rPr>
          <w:rFonts w:hint="eastAsia"/>
        </w:rPr>
        <w:t>+440m</w:t>
      </w:r>
      <w:r>
        <w:rPr>
          <w:rFonts w:hint="eastAsia"/>
        </w:rPr>
        <w:t>、</w:t>
      </w:r>
      <w:r>
        <w:rPr>
          <w:rFonts w:hint="eastAsia"/>
        </w:rPr>
        <w:t>+455m</w:t>
      </w:r>
      <w:r>
        <w:rPr>
          <w:rFonts w:hint="eastAsia"/>
        </w:rPr>
        <w:t>、</w:t>
      </w:r>
      <w:r>
        <w:rPr>
          <w:rFonts w:hint="eastAsia"/>
        </w:rPr>
        <w:t>+470m</w:t>
      </w:r>
      <w:r>
        <w:rPr>
          <w:rFonts w:hint="eastAsia"/>
        </w:rPr>
        <w:t>、</w:t>
      </w:r>
      <w:r>
        <w:rPr>
          <w:rFonts w:hint="eastAsia"/>
        </w:rPr>
        <w:t>+485m</w:t>
      </w:r>
      <w:r>
        <w:rPr>
          <w:rFonts w:hint="eastAsia"/>
        </w:rPr>
        <w:t>和</w:t>
      </w:r>
      <w:r>
        <w:rPr>
          <w:rFonts w:hint="eastAsia"/>
        </w:rPr>
        <w:t>+500m</w:t>
      </w:r>
      <w:r>
        <w:rPr>
          <w:rFonts w:hint="eastAsia"/>
        </w:rPr>
        <w:t>。其中清扫平台为</w:t>
      </w:r>
      <w:r>
        <w:rPr>
          <w:rFonts w:hint="eastAsia"/>
        </w:rPr>
        <w:t>+335m</w:t>
      </w:r>
      <w:r>
        <w:rPr>
          <w:rFonts w:hint="eastAsia"/>
        </w:rPr>
        <w:t>、</w:t>
      </w:r>
      <w:r>
        <w:rPr>
          <w:rFonts w:hint="eastAsia"/>
        </w:rPr>
        <w:t>+380m</w:t>
      </w:r>
      <w:r>
        <w:rPr>
          <w:rFonts w:hint="eastAsia"/>
        </w:rPr>
        <w:t>、</w:t>
      </w:r>
      <w:r>
        <w:rPr>
          <w:rFonts w:hint="eastAsia"/>
        </w:rPr>
        <w:t>+425m</w:t>
      </w:r>
      <w:r>
        <w:rPr>
          <w:rFonts w:hint="eastAsia"/>
        </w:rPr>
        <w:t>、</w:t>
      </w:r>
      <w:r>
        <w:rPr>
          <w:rFonts w:hint="eastAsia"/>
        </w:rPr>
        <w:t>+470m</w:t>
      </w:r>
      <w:r>
        <w:rPr>
          <w:rFonts w:hint="eastAsia"/>
        </w:rPr>
        <w:t>；其余为安全平台。最终形成自然山坡型露天矿。</w:t>
      </w:r>
    </w:p>
    <w:p w14:paraId="3C00A74B" w14:textId="77777777" w:rsidR="00E579B9" w:rsidRDefault="006A1398">
      <w:r>
        <w:rPr>
          <w:rFonts w:hint="eastAsia"/>
        </w:rPr>
        <w:t>（</w:t>
      </w:r>
      <w:r>
        <w:rPr>
          <w:rFonts w:hint="eastAsia"/>
        </w:rPr>
        <w:t>2</w:t>
      </w:r>
      <w:r>
        <w:rPr>
          <w:rFonts w:hint="eastAsia"/>
        </w:rPr>
        <w:t>）表土临时堆场</w:t>
      </w:r>
    </w:p>
    <w:p w14:paraId="001EBE45" w14:textId="77777777" w:rsidR="00E579B9" w:rsidRDefault="006A1398">
      <w:r>
        <w:rPr>
          <w:rFonts w:hint="eastAsia"/>
        </w:rPr>
        <w:t>矿体在矿区大面积分布，裸露于地表，存在一定覆盖层和夹层，夹层较多，根据矿山开采统计和现有</w:t>
      </w:r>
      <w:proofErr w:type="gramStart"/>
      <w:r>
        <w:rPr>
          <w:rFonts w:hint="eastAsia"/>
        </w:rPr>
        <w:t>采坑调查</w:t>
      </w:r>
      <w:proofErr w:type="gramEnd"/>
      <w:r>
        <w:rPr>
          <w:rFonts w:hint="eastAsia"/>
        </w:rPr>
        <w:t>显示，有一薄层残坡积物覆盖，覆盖层厚度平均为</w:t>
      </w:r>
      <w:r>
        <w:rPr>
          <w:rFonts w:hint="eastAsia"/>
        </w:rPr>
        <w:t>1m</w:t>
      </w:r>
      <w:r>
        <w:rPr>
          <w:rFonts w:hint="eastAsia"/>
        </w:rPr>
        <w:t>，矿体中间多件石英岩夹层。</w:t>
      </w:r>
    </w:p>
    <w:p w14:paraId="3675FE43" w14:textId="77777777" w:rsidR="00E579B9" w:rsidRDefault="006A1398">
      <w:r>
        <w:rPr>
          <w:rFonts w:hint="eastAsia"/>
        </w:rPr>
        <w:t>未来矿山开采会产生一部分废石，其中主要为残坡积物和石英岩，</w:t>
      </w:r>
      <w:proofErr w:type="gramStart"/>
      <w:r>
        <w:rPr>
          <w:rFonts w:hint="eastAsia"/>
        </w:rPr>
        <w:t>剥离物中残坡积物</w:t>
      </w:r>
      <w:proofErr w:type="gramEnd"/>
      <w:r>
        <w:rPr>
          <w:rFonts w:hint="eastAsia"/>
        </w:rPr>
        <w:t>可在废石剥离后随即运至终了台阶用作覆土绿化，前期可暂时堆放于表土堆场；碳质泥岩和页岩可直接卖给当地页岩砖厂，因此矿山不设</w:t>
      </w:r>
      <w:proofErr w:type="gramStart"/>
      <w:r>
        <w:rPr>
          <w:rFonts w:hint="eastAsia"/>
        </w:rPr>
        <w:t>表土场</w:t>
      </w:r>
      <w:proofErr w:type="gramEnd"/>
      <w:r>
        <w:rPr>
          <w:rFonts w:hint="eastAsia"/>
        </w:rPr>
        <w:t>和</w:t>
      </w:r>
      <w:r>
        <w:t>废石场</w:t>
      </w:r>
      <w:r>
        <w:rPr>
          <w:rFonts w:hint="eastAsia"/>
        </w:rPr>
        <w:t>，矿区外较平缓地带设置表土堆场。</w:t>
      </w:r>
      <w:r>
        <w:rPr>
          <w:rFonts w:hint="eastAsia"/>
          <w:spacing w:val="2"/>
        </w:rPr>
        <w:t>表土临时堆场占地面积约</w:t>
      </w:r>
      <w:r>
        <w:rPr>
          <w:rFonts w:hint="eastAsia"/>
        </w:rPr>
        <w:t>100</w:t>
      </w:r>
      <w:r>
        <w:t>00m</w:t>
      </w:r>
      <w:r>
        <w:rPr>
          <w:position w:val="8"/>
          <w:sz w:val="15"/>
          <w:szCs w:val="15"/>
        </w:rPr>
        <w:t>2</w:t>
      </w:r>
      <w:r>
        <w:rPr>
          <w:rFonts w:hint="eastAsia"/>
        </w:rPr>
        <w:t>，设计表土最大堆高</w:t>
      </w:r>
      <w:r>
        <w:t>3m</w:t>
      </w:r>
      <w:r>
        <w:rPr>
          <w:rFonts w:hint="eastAsia"/>
        </w:rPr>
        <w:t>，边坡比</w:t>
      </w:r>
      <w:r>
        <w:t>1</w:t>
      </w:r>
      <w:r>
        <w:rPr>
          <w:rFonts w:hint="eastAsia"/>
        </w:rPr>
        <w:t>：</w:t>
      </w:r>
      <w:r>
        <w:t>1.5</w:t>
      </w:r>
      <w:r>
        <w:rPr>
          <w:rFonts w:hint="eastAsia"/>
        </w:rPr>
        <w:t>。</w:t>
      </w:r>
    </w:p>
    <w:p w14:paraId="67A815B9" w14:textId="77777777" w:rsidR="00E579B9" w:rsidRDefault="006A1398">
      <w:pPr>
        <w:ind w:firstLineChars="0"/>
      </w:pPr>
      <w:r>
        <w:rPr>
          <w:rFonts w:hint="eastAsia"/>
        </w:rPr>
        <w:lastRenderedPageBreak/>
        <w:t>（</w:t>
      </w:r>
      <w:r>
        <w:rPr>
          <w:rFonts w:hint="eastAsia"/>
        </w:rPr>
        <w:t>3</w:t>
      </w:r>
      <w:r>
        <w:rPr>
          <w:rFonts w:hint="eastAsia"/>
        </w:rPr>
        <w:t>）破碎加工厂区</w:t>
      </w:r>
    </w:p>
    <w:p w14:paraId="36564A13" w14:textId="77777777" w:rsidR="00E579B9" w:rsidRDefault="006A1398">
      <w:pPr>
        <w:rPr>
          <w:vertAlign w:val="superscript"/>
        </w:rPr>
      </w:pPr>
      <w:r>
        <w:rPr>
          <w:rFonts w:hint="eastAsia"/>
        </w:rPr>
        <w:t>破碎加工区布置在矿区南部，爆破警戒线以外，占地</w:t>
      </w:r>
      <w:r>
        <w:t>面积</w:t>
      </w:r>
      <w:r>
        <w:rPr>
          <w:rFonts w:hint="eastAsia"/>
        </w:rPr>
        <w:t>70</w:t>
      </w:r>
      <w:r>
        <w:rPr>
          <w:rFonts w:hint="eastAsia"/>
        </w:rPr>
        <w:t>亩</w:t>
      </w:r>
      <w:r>
        <w:t>，</w:t>
      </w:r>
      <w:r>
        <w:rPr>
          <w:rFonts w:hint="eastAsia"/>
        </w:rPr>
        <w:t>场区内布置办公室、厂房、仓库</w:t>
      </w:r>
      <w:r>
        <w:t>、</w:t>
      </w:r>
      <w:r>
        <w:rPr>
          <w:rFonts w:hint="eastAsia"/>
        </w:rPr>
        <w:t>变电室等。破碎</w:t>
      </w:r>
      <w:r>
        <w:t>加工区建筑面积为</w:t>
      </w:r>
      <w:r>
        <w:rPr>
          <w:rFonts w:hint="eastAsia"/>
        </w:rPr>
        <w:t>26666.8m</w:t>
      </w:r>
      <w:r>
        <w:rPr>
          <w:vertAlign w:val="superscript"/>
        </w:rPr>
        <w:t>2</w:t>
      </w:r>
      <w:r>
        <w:rPr>
          <w:rFonts w:hint="eastAsia"/>
        </w:rPr>
        <w:t>。</w:t>
      </w:r>
    </w:p>
    <w:p w14:paraId="27649C03" w14:textId="77777777" w:rsidR="00E579B9" w:rsidRDefault="006A1398">
      <w:r>
        <w:rPr>
          <w:rFonts w:hint="eastAsia"/>
        </w:rPr>
        <w:t>（</w:t>
      </w:r>
      <w:r>
        <w:rPr>
          <w:rFonts w:hint="eastAsia"/>
        </w:rPr>
        <w:t>4</w:t>
      </w:r>
      <w:r>
        <w:rPr>
          <w:rFonts w:hint="eastAsia"/>
        </w:rPr>
        <w:t>）办公区</w:t>
      </w:r>
    </w:p>
    <w:p w14:paraId="59C1E226" w14:textId="77777777" w:rsidR="00E579B9" w:rsidRDefault="006A1398">
      <w:r>
        <w:rPr>
          <w:rFonts w:hint="eastAsia"/>
        </w:rPr>
        <w:t>破碎</w:t>
      </w:r>
      <w:r>
        <w:t>加工区</w:t>
      </w:r>
      <w:r>
        <w:rPr>
          <w:rFonts w:hint="eastAsia"/>
        </w:rPr>
        <w:t>西侧建设</w:t>
      </w:r>
      <w:r>
        <w:t>有办公区，</w:t>
      </w:r>
      <w:r>
        <w:rPr>
          <w:rFonts w:hint="eastAsia"/>
        </w:rPr>
        <w:t>办公区建筑面积约</w:t>
      </w:r>
      <w:r>
        <w:t>2</w:t>
      </w:r>
      <w:r>
        <w:rPr>
          <w:rFonts w:hint="eastAsia"/>
        </w:rPr>
        <w:t>00m</w:t>
      </w:r>
      <w:r>
        <w:rPr>
          <w:rFonts w:hint="eastAsia"/>
          <w:vertAlign w:val="superscript"/>
        </w:rPr>
        <w:t>2</w:t>
      </w:r>
      <w:r>
        <w:rPr>
          <w:rFonts w:hint="eastAsia"/>
        </w:rPr>
        <w:t>。</w:t>
      </w:r>
    </w:p>
    <w:p w14:paraId="7E0DBB72" w14:textId="77777777" w:rsidR="00E579B9" w:rsidRDefault="006A1398">
      <w:r>
        <w:rPr>
          <w:rFonts w:hint="eastAsia"/>
        </w:rPr>
        <w:t>（</w:t>
      </w:r>
      <w:r>
        <w:t>5</w:t>
      </w:r>
      <w:r>
        <w:t>）运输道路</w:t>
      </w:r>
    </w:p>
    <w:p w14:paraId="6FDCF6FA" w14:textId="77777777" w:rsidR="00E579B9" w:rsidRDefault="006A1398">
      <w:r>
        <w:rPr>
          <w:rFonts w:hint="eastAsia"/>
        </w:rPr>
        <w:t>本矿区地面运输道路主要为露天采场至破碎站的矿石、物料运输，三级露天矿山道路。道路面宽</w:t>
      </w:r>
      <w:r>
        <w:rPr>
          <w:rFonts w:hint="eastAsia"/>
        </w:rPr>
        <w:t>8m</w:t>
      </w:r>
      <w:r>
        <w:rPr>
          <w:rFonts w:hint="eastAsia"/>
        </w:rPr>
        <w:t>，面基</w:t>
      </w:r>
      <w:r>
        <w:rPr>
          <w:rFonts w:hint="eastAsia"/>
        </w:rPr>
        <w:t>10m</w:t>
      </w:r>
      <w:r>
        <w:rPr>
          <w:rFonts w:hint="eastAsia"/>
        </w:rPr>
        <w:t>，泥结碎石路面。平曲线最小半径</w:t>
      </w:r>
      <w:r>
        <w:rPr>
          <w:rFonts w:hint="eastAsia"/>
        </w:rPr>
        <w:t>15m</w:t>
      </w:r>
      <w:r>
        <w:rPr>
          <w:rFonts w:hint="eastAsia"/>
        </w:rPr>
        <w:t>，最大纵坡不超过</w:t>
      </w:r>
      <w:r>
        <w:rPr>
          <w:rFonts w:hint="eastAsia"/>
        </w:rPr>
        <w:t>9%</w:t>
      </w:r>
      <w:r>
        <w:rPr>
          <w:rFonts w:hint="eastAsia"/>
        </w:rPr>
        <w:t>；</w:t>
      </w:r>
      <w:bookmarkStart w:id="96" w:name="_Toc5850"/>
      <w:bookmarkStart w:id="97" w:name="_Toc531939311"/>
      <w:r>
        <w:rPr>
          <w:rFonts w:hint="eastAsia"/>
        </w:rPr>
        <w:t>部分运输道路已建成。需扩建道路</w:t>
      </w:r>
      <w:r>
        <w:rPr>
          <w:rFonts w:hint="eastAsia"/>
        </w:rPr>
        <w:t>1500m</w:t>
      </w:r>
      <w:r>
        <w:rPr>
          <w:rFonts w:hint="eastAsia"/>
        </w:rPr>
        <w:t>，新修连接</w:t>
      </w:r>
      <w:r>
        <w:rPr>
          <w:rFonts w:hint="eastAsia"/>
        </w:rPr>
        <w:t>+500</w:t>
      </w:r>
      <w:r>
        <w:rPr>
          <w:rFonts w:hint="eastAsia"/>
        </w:rPr>
        <w:t>平台道路</w:t>
      </w:r>
      <w:r>
        <w:rPr>
          <w:rFonts w:hint="eastAsia"/>
        </w:rPr>
        <w:t>960m</w:t>
      </w:r>
      <w:r>
        <w:rPr>
          <w:rFonts w:hint="eastAsia"/>
        </w:rPr>
        <w:t>。</w:t>
      </w:r>
    </w:p>
    <w:p w14:paraId="0AFBCAB0" w14:textId="5FD37C67" w:rsidR="00E579B9" w:rsidRDefault="0003710F">
      <w:pPr>
        <w:pStyle w:val="3"/>
        <w:ind w:firstLine="560"/>
        <w:rPr>
          <w:rFonts w:eastAsia="楷体_GB2312"/>
        </w:rPr>
      </w:pPr>
      <w:r>
        <w:t>3.2</w:t>
      </w:r>
      <w:r w:rsidR="006A1398">
        <w:t>.8</w:t>
      </w:r>
      <w:bookmarkEnd w:id="96"/>
      <w:bookmarkEnd w:id="97"/>
      <w:r w:rsidR="006A1398">
        <w:rPr>
          <w:rFonts w:hint="eastAsia"/>
        </w:rPr>
        <w:t>占地及土地类型</w:t>
      </w:r>
    </w:p>
    <w:p w14:paraId="789B6AC5" w14:textId="0CBFC026" w:rsidR="00E579B9" w:rsidRDefault="006A1398">
      <w:r>
        <w:rPr>
          <w:rFonts w:hint="eastAsia"/>
        </w:rPr>
        <w:t>项目占地包括露采区、表土场、运输道路、工业</w:t>
      </w:r>
      <w:r>
        <w:t>场地等</w:t>
      </w:r>
      <w:r>
        <w:rPr>
          <w:rFonts w:hint="eastAsia"/>
        </w:rPr>
        <w:t>。矿区占地面积</w:t>
      </w:r>
      <w:r>
        <w:rPr>
          <w:rFonts w:cs="Times New Roman"/>
          <w:spacing w:val="6"/>
          <w:szCs w:val="24"/>
        </w:rPr>
        <w:t>294904.32</w:t>
      </w:r>
      <w:r>
        <w:rPr>
          <w:rFonts w:cs="Times New Roman" w:hint="eastAsia"/>
          <w:spacing w:val="6"/>
          <w:szCs w:val="24"/>
        </w:rPr>
        <w:t>m</w:t>
      </w:r>
      <w:r>
        <w:rPr>
          <w:rFonts w:cs="Times New Roman" w:hint="eastAsia"/>
          <w:spacing w:val="6"/>
          <w:szCs w:val="24"/>
          <w:vertAlign w:val="superscript"/>
        </w:rPr>
        <w:t>2</w:t>
      </w:r>
      <w:r>
        <w:rPr>
          <w:rFonts w:hint="eastAsia"/>
        </w:rPr>
        <w:t>。工程占地情况见表</w:t>
      </w:r>
      <w:r w:rsidR="0003710F">
        <w:t>3.2</w:t>
      </w:r>
      <w:r>
        <w:rPr>
          <w:rFonts w:hint="eastAsia"/>
        </w:rPr>
        <w:t>-</w:t>
      </w:r>
      <w:r>
        <w:t>5</w:t>
      </w:r>
      <w:r>
        <w:rPr>
          <w:rFonts w:hint="eastAsia"/>
        </w:rPr>
        <w:t>。</w:t>
      </w:r>
    </w:p>
    <w:p w14:paraId="7D5C078A" w14:textId="00C6F92D" w:rsidR="00E579B9" w:rsidRDefault="006A1398">
      <w:pPr>
        <w:pStyle w:val="21"/>
      </w:pPr>
      <w:bookmarkStart w:id="98" w:name="_Toc326050371"/>
      <w:r>
        <w:t>表</w:t>
      </w:r>
      <w:r w:rsidR="0003710F">
        <w:t>3.2</w:t>
      </w:r>
      <w:r>
        <w:t>-5</w:t>
      </w:r>
      <w:r>
        <w:rPr>
          <w:rFonts w:hint="eastAsia"/>
        </w:rPr>
        <w:t>矿区</w:t>
      </w:r>
      <w:r>
        <w:t>项目工程占地</w:t>
      </w:r>
      <w:r>
        <w:rPr>
          <w:rFonts w:hint="eastAsia"/>
        </w:rPr>
        <w:t>类型</w:t>
      </w:r>
      <w:r>
        <w:t>一览表</w:t>
      </w:r>
      <w:bookmarkEnd w:id="98"/>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6"/>
        <w:gridCol w:w="2752"/>
        <w:gridCol w:w="2752"/>
      </w:tblGrid>
      <w:tr w:rsidR="00E579B9" w14:paraId="2D1ACD51" w14:textId="77777777">
        <w:trPr>
          <w:trHeight w:val="320"/>
          <w:jc w:val="center"/>
        </w:trPr>
        <w:tc>
          <w:tcPr>
            <w:tcW w:w="3216" w:type="dxa"/>
            <w:vAlign w:val="center"/>
          </w:tcPr>
          <w:p w14:paraId="4E9A42A0" w14:textId="77777777" w:rsidR="00E579B9" w:rsidRDefault="006A1398">
            <w:pPr>
              <w:pStyle w:val="aa"/>
            </w:pPr>
            <w:r>
              <w:rPr>
                <w:rFonts w:hint="eastAsia"/>
              </w:rPr>
              <w:t>地类</w:t>
            </w:r>
            <w:r>
              <w:t>名称</w:t>
            </w:r>
          </w:p>
        </w:tc>
        <w:tc>
          <w:tcPr>
            <w:tcW w:w="2752" w:type="dxa"/>
            <w:vAlign w:val="center"/>
          </w:tcPr>
          <w:p w14:paraId="0EFAD9F5" w14:textId="77777777" w:rsidR="00E579B9" w:rsidRDefault="006A1398">
            <w:pPr>
              <w:pStyle w:val="aa"/>
            </w:pPr>
            <w:r>
              <w:rPr>
                <w:rFonts w:hint="eastAsia"/>
              </w:rPr>
              <w:t>面积</w:t>
            </w:r>
            <w:r>
              <w:t>（</w:t>
            </w:r>
            <w:r>
              <w:rPr>
                <w:rFonts w:hint="eastAsia"/>
              </w:rPr>
              <w:t>平方米</w:t>
            </w:r>
            <w:r>
              <w:t>）</w:t>
            </w:r>
          </w:p>
        </w:tc>
        <w:tc>
          <w:tcPr>
            <w:tcW w:w="2752" w:type="dxa"/>
            <w:vAlign w:val="center"/>
          </w:tcPr>
          <w:p w14:paraId="488839B6" w14:textId="77777777" w:rsidR="00E579B9" w:rsidRDefault="006A1398">
            <w:pPr>
              <w:pStyle w:val="aa"/>
            </w:pPr>
            <w:r>
              <w:rPr>
                <w:rFonts w:hint="eastAsia"/>
              </w:rPr>
              <w:t>面积</w:t>
            </w:r>
            <w:r>
              <w:t>（</w:t>
            </w:r>
            <w:r>
              <w:rPr>
                <w:rFonts w:hint="eastAsia"/>
              </w:rPr>
              <w:t>亩</w:t>
            </w:r>
            <w:r>
              <w:t>）</w:t>
            </w:r>
          </w:p>
        </w:tc>
      </w:tr>
      <w:tr w:rsidR="00E579B9" w14:paraId="2BF7CDF4" w14:textId="77777777">
        <w:trPr>
          <w:trHeight w:val="135"/>
          <w:jc w:val="center"/>
        </w:trPr>
        <w:tc>
          <w:tcPr>
            <w:tcW w:w="3216" w:type="dxa"/>
            <w:vAlign w:val="center"/>
          </w:tcPr>
          <w:p w14:paraId="784359DD" w14:textId="77777777" w:rsidR="00E579B9" w:rsidRDefault="006A1398">
            <w:pPr>
              <w:pStyle w:val="aa"/>
            </w:pPr>
            <w:r>
              <w:rPr>
                <w:rFonts w:hint="eastAsia"/>
              </w:rPr>
              <w:t>灌木</w:t>
            </w:r>
            <w:r>
              <w:t>林地</w:t>
            </w:r>
          </w:p>
        </w:tc>
        <w:tc>
          <w:tcPr>
            <w:tcW w:w="2752" w:type="dxa"/>
            <w:vAlign w:val="center"/>
          </w:tcPr>
          <w:p w14:paraId="4ADB7164" w14:textId="77777777" w:rsidR="00E579B9" w:rsidRDefault="006A1398">
            <w:pPr>
              <w:pStyle w:val="aa"/>
            </w:pPr>
            <w:r>
              <w:rPr>
                <w:rFonts w:hint="eastAsia"/>
              </w:rPr>
              <w:t>242834.06</w:t>
            </w:r>
          </w:p>
        </w:tc>
        <w:tc>
          <w:tcPr>
            <w:tcW w:w="2752" w:type="dxa"/>
            <w:vAlign w:val="center"/>
          </w:tcPr>
          <w:p w14:paraId="5F99D7C7" w14:textId="77777777" w:rsidR="00E579B9" w:rsidRDefault="006A1398">
            <w:pPr>
              <w:pStyle w:val="aa"/>
            </w:pPr>
            <w:r>
              <w:rPr>
                <w:rFonts w:hint="eastAsia"/>
              </w:rPr>
              <w:t>364</w:t>
            </w:r>
            <w:r>
              <w:t>.24</w:t>
            </w:r>
          </w:p>
        </w:tc>
      </w:tr>
      <w:tr w:rsidR="00E579B9" w14:paraId="37291E09" w14:textId="77777777">
        <w:trPr>
          <w:trHeight w:val="156"/>
          <w:jc w:val="center"/>
        </w:trPr>
        <w:tc>
          <w:tcPr>
            <w:tcW w:w="3216" w:type="dxa"/>
            <w:vAlign w:val="center"/>
          </w:tcPr>
          <w:p w14:paraId="5CA4C941" w14:textId="77777777" w:rsidR="00E579B9" w:rsidRDefault="006A1398">
            <w:pPr>
              <w:pStyle w:val="aa"/>
            </w:pPr>
            <w:r>
              <w:rPr>
                <w:rFonts w:hint="eastAsia"/>
              </w:rPr>
              <w:t>采矿用地</w:t>
            </w:r>
          </w:p>
        </w:tc>
        <w:tc>
          <w:tcPr>
            <w:tcW w:w="2752" w:type="dxa"/>
            <w:vAlign w:val="center"/>
          </w:tcPr>
          <w:p w14:paraId="38C9A49F" w14:textId="77777777" w:rsidR="00E579B9" w:rsidRDefault="006A1398">
            <w:pPr>
              <w:pStyle w:val="aa"/>
            </w:pPr>
            <w:r>
              <w:rPr>
                <w:rFonts w:hint="eastAsia"/>
              </w:rPr>
              <w:t>41326.91</w:t>
            </w:r>
          </w:p>
        </w:tc>
        <w:tc>
          <w:tcPr>
            <w:tcW w:w="2752" w:type="dxa"/>
            <w:vAlign w:val="center"/>
          </w:tcPr>
          <w:p w14:paraId="2ABD31B8" w14:textId="77777777" w:rsidR="00E579B9" w:rsidRDefault="006A1398">
            <w:pPr>
              <w:pStyle w:val="aa"/>
            </w:pPr>
            <w:r>
              <w:rPr>
                <w:rFonts w:hint="eastAsia"/>
              </w:rPr>
              <w:t>61.98</w:t>
            </w:r>
          </w:p>
        </w:tc>
      </w:tr>
      <w:tr w:rsidR="00E579B9" w14:paraId="26BB6069" w14:textId="77777777">
        <w:trPr>
          <w:trHeight w:val="156"/>
          <w:jc w:val="center"/>
        </w:trPr>
        <w:tc>
          <w:tcPr>
            <w:tcW w:w="3216" w:type="dxa"/>
            <w:vAlign w:val="center"/>
          </w:tcPr>
          <w:p w14:paraId="3F720FF8" w14:textId="77777777" w:rsidR="00E579B9" w:rsidRDefault="006A1398">
            <w:pPr>
              <w:pStyle w:val="aa"/>
            </w:pPr>
            <w:r>
              <w:rPr>
                <w:rFonts w:hint="eastAsia"/>
              </w:rPr>
              <w:t>村庄</w:t>
            </w:r>
          </w:p>
        </w:tc>
        <w:tc>
          <w:tcPr>
            <w:tcW w:w="2752" w:type="dxa"/>
            <w:vAlign w:val="center"/>
          </w:tcPr>
          <w:p w14:paraId="15DB68A0" w14:textId="77777777" w:rsidR="00E579B9" w:rsidRDefault="006A1398">
            <w:pPr>
              <w:pStyle w:val="aa"/>
            </w:pPr>
            <w:r>
              <w:rPr>
                <w:rFonts w:hint="eastAsia"/>
              </w:rPr>
              <w:t>499.32</w:t>
            </w:r>
          </w:p>
        </w:tc>
        <w:tc>
          <w:tcPr>
            <w:tcW w:w="2752" w:type="dxa"/>
            <w:vAlign w:val="center"/>
          </w:tcPr>
          <w:p w14:paraId="1D497933" w14:textId="77777777" w:rsidR="00E579B9" w:rsidRDefault="006A1398">
            <w:pPr>
              <w:pStyle w:val="aa"/>
            </w:pPr>
            <w:r>
              <w:rPr>
                <w:rFonts w:hint="eastAsia"/>
              </w:rPr>
              <w:t>0.75</w:t>
            </w:r>
          </w:p>
        </w:tc>
      </w:tr>
      <w:tr w:rsidR="00E579B9" w14:paraId="08937816" w14:textId="77777777">
        <w:trPr>
          <w:trHeight w:val="156"/>
          <w:jc w:val="center"/>
        </w:trPr>
        <w:tc>
          <w:tcPr>
            <w:tcW w:w="3216" w:type="dxa"/>
            <w:vAlign w:val="center"/>
          </w:tcPr>
          <w:p w14:paraId="7D6E6F89" w14:textId="77777777" w:rsidR="00E579B9" w:rsidRDefault="006A1398">
            <w:pPr>
              <w:pStyle w:val="aa"/>
            </w:pPr>
            <w:r>
              <w:rPr>
                <w:rFonts w:hint="eastAsia"/>
              </w:rPr>
              <w:t>其他</w:t>
            </w:r>
            <w:r>
              <w:t>草地</w:t>
            </w:r>
          </w:p>
        </w:tc>
        <w:tc>
          <w:tcPr>
            <w:tcW w:w="2752" w:type="dxa"/>
            <w:vAlign w:val="center"/>
          </w:tcPr>
          <w:p w14:paraId="10B9E158" w14:textId="77777777" w:rsidR="00E579B9" w:rsidRDefault="006A1398">
            <w:pPr>
              <w:pStyle w:val="aa"/>
            </w:pPr>
            <w:r>
              <w:rPr>
                <w:rFonts w:hint="eastAsia"/>
              </w:rPr>
              <w:t>10244.03</w:t>
            </w:r>
          </w:p>
        </w:tc>
        <w:tc>
          <w:tcPr>
            <w:tcW w:w="2752" w:type="dxa"/>
            <w:vAlign w:val="center"/>
          </w:tcPr>
          <w:p w14:paraId="4606A923" w14:textId="77777777" w:rsidR="00E579B9" w:rsidRDefault="006A1398">
            <w:pPr>
              <w:pStyle w:val="aa"/>
            </w:pPr>
            <w:r>
              <w:rPr>
                <w:rFonts w:hint="eastAsia"/>
              </w:rPr>
              <w:t>15.36</w:t>
            </w:r>
          </w:p>
        </w:tc>
      </w:tr>
      <w:tr w:rsidR="00E579B9" w14:paraId="5D2487C4" w14:textId="77777777">
        <w:trPr>
          <w:trHeight w:val="156"/>
          <w:jc w:val="center"/>
        </w:trPr>
        <w:tc>
          <w:tcPr>
            <w:tcW w:w="3216" w:type="dxa"/>
            <w:vAlign w:val="center"/>
          </w:tcPr>
          <w:p w14:paraId="1C72ABB3" w14:textId="77777777" w:rsidR="00E579B9" w:rsidRDefault="006A1398">
            <w:pPr>
              <w:pStyle w:val="aa"/>
            </w:pPr>
            <w:r>
              <w:rPr>
                <w:rFonts w:hint="eastAsia"/>
              </w:rPr>
              <w:t>总计</w:t>
            </w:r>
          </w:p>
        </w:tc>
        <w:tc>
          <w:tcPr>
            <w:tcW w:w="2752" w:type="dxa"/>
            <w:shd w:val="clear" w:color="auto" w:fill="auto"/>
            <w:vAlign w:val="center"/>
          </w:tcPr>
          <w:p w14:paraId="7631C558" w14:textId="77777777" w:rsidR="00E579B9" w:rsidRDefault="006A1398">
            <w:pPr>
              <w:spacing w:line="240" w:lineRule="auto"/>
              <w:ind w:firstLineChars="0" w:firstLine="0"/>
              <w:jc w:val="center"/>
              <w:rPr>
                <w:rFonts w:cs="宋体"/>
                <w:color w:val="000000"/>
                <w:kern w:val="0"/>
                <w:sz w:val="21"/>
                <w:szCs w:val="24"/>
              </w:rPr>
            </w:pPr>
            <w:r>
              <w:rPr>
                <w:rFonts w:hint="eastAsia"/>
                <w:color w:val="000000"/>
                <w:sz w:val="21"/>
              </w:rPr>
              <w:t>294904.32</w:t>
            </w:r>
          </w:p>
        </w:tc>
        <w:tc>
          <w:tcPr>
            <w:tcW w:w="2752" w:type="dxa"/>
            <w:shd w:val="clear" w:color="auto" w:fill="auto"/>
            <w:vAlign w:val="center"/>
          </w:tcPr>
          <w:p w14:paraId="6E6CC092" w14:textId="77777777" w:rsidR="00E579B9" w:rsidRDefault="006A1398">
            <w:pPr>
              <w:ind w:firstLineChars="500" w:firstLine="1050"/>
              <w:rPr>
                <w:color w:val="000000"/>
                <w:sz w:val="21"/>
              </w:rPr>
            </w:pPr>
            <w:r>
              <w:rPr>
                <w:rFonts w:hint="eastAsia"/>
                <w:color w:val="000000"/>
                <w:sz w:val="21"/>
              </w:rPr>
              <w:t>442.33</w:t>
            </w:r>
          </w:p>
        </w:tc>
      </w:tr>
    </w:tbl>
    <w:p w14:paraId="5D79453D" w14:textId="1B1CD4D5" w:rsidR="00E579B9" w:rsidRDefault="0003710F">
      <w:pPr>
        <w:pStyle w:val="3"/>
        <w:ind w:firstLine="560"/>
      </w:pPr>
      <w:bookmarkStart w:id="99" w:name="_Toc11318"/>
      <w:bookmarkStart w:id="100" w:name="_Toc531939313"/>
      <w:r>
        <w:t>3.2</w:t>
      </w:r>
      <w:r w:rsidR="006A1398">
        <w:t>.9</w:t>
      </w:r>
      <w:r w:rsidR="006A1398">
        <w:t>主要技术经济指标</w:t>
      </w:r>
      <w:bookmarkEnd w:id="99"/>
      <w:bookmarkEnd w:id="100"/>
    </w:p>
    <w:p w14:paraId="1062299A" w14:textId="57E0BE86" w:rsidR="00E579B9" w:rsidRDefault="006A1398">
      <w:pPr>
        <w:rPr>
          <w:lang w:val="zh-CN"/>
        </w:rPr>
      </w:pPr>
      <w:r>
        <w:rPr>
          <w:lang w:val="zh-CN"/>
        </w:rPr>
        <w:t>项目主要技术经济指标见表</w:t>
      </w:r>
      <w:r w:rsidR="0003710F">
        <w:t>3.2</w:t>
      </w:r>
      <w:r>
        <w:rPr>
          <w:rFonts w:hint="eastAsia"/>
          <w:lang w:val="zh-CN"/>
        </w:rPr>
        <w:t>-</w:t>
      </w:r>
      <w:r>
        <w:rPr>
          <w:lang w:val="zh-CN"/>
        </w:rPr>
        <w:t>6</w:t>
      </w:r>
      <w:r>
        <w:rPr>
          <w:lang w:val="zh-CN"/>
        </w:rPr>
        <w:t>。</w:t>
      </w:r>
    </w:p>
    <w:p w14:paraId="20E2B6C3" w14:textId="07825FDB" w:rsidR="00E579B9" w:rsidRDefault="006A1398">
      <w:pPr>
        <w:pStyle w:val="21"/>
      </w:pPr>
      <w:r>
        <w:t>表</w:t>
      </w:r>
      <w:r w:rsidR="0003710F">
        <w:t>3.2</w:t>
      </w:r>
      <w:r>
        <w:rPr>
          <w:rFonts w:hint="eastAsia"/>
          <w:lang w:val="zh-CN"/>
        </w:rPr>
        <w:t>-</w:t>
      </w:r>
      <w:r>
        <w:rPr>
          <w:lang w:val="zh-CN"/>
        </w:rPr>
        <w:t>6</w:t>
      </w:r>
      <w:r>
        <w:t>本项目主要技术经济指标</w:t>
      </w:r>
      <w:r>
        <w:rPr>
          <w:rFonts w:hint="eastAsia"/>
        </w:rPr>
        <w:t>一览表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75"/>
        <w:gridCol w:w="2835"/>
        <w:gridCol w:w="993"/>
        <w:gridCol w:w="2438"/>
        <w:gridCol w:w="2005"/>
      </w:tblGrid>
      <w:tr w:rsidR="00E579B9" w14:paraId="0B59341C" w14:textId="77777777">
        <w:trPr>
          <w:cantSplit/>
          <w:trHeight w:val="20"/>
          <w:jc w:val="center"/>
        </w:trPr>
        <w:tc>
          <w:tcPr>
            <w:tcW w:w="675" w:type="dxa"/>
            <w:shd w:val="clear" w:color="auto" w:fill="auto"/>
            <w:vAlign w:val="center"/>
          </w:tcPr>
          <w:p w14:paraId="348A2B0F" w14:textId="77777777" w:rsidR="00E579B9" w:rsidRDefault="006A1398">
            <w:pPr>
              <w:pStyle w:val="aa"/>
            </w:pPr>
            <w:r>
              <w:t>序号</w:t>
            </w:r>
          </w:p>
        </w:tc>
        <w:tc>
          <w:tcPr>
            <w:tcW w:w="2835" w:type="dxa"/>
            <w:shd w:val="clear" w:color="auto" w:fill="auto"/>
            <w:vAlign w:val="center"/>
          </w:tcPr>
          <w:p w14:paraId="33A2BE95" w14:textId="77777777" w:rsidR="00E579B9" w:rsidRDefault="006A1398">
            <w:pPr>
              <w:pStyle w:val="aa"/>
            </w:pPr>
            <w:r>
              <w:t>名称</w:t>
            </w:r>
          </w:p>
        </w:tc>
        <w:tc>
          <w:tcPr>
            <w:tcW w:w="993" w:type="dxa"/>
            <w:shd w:val="clear" w:color="auto" w:fill="auto"/>
            <w:vAlign w:val="center"/>
          </w:tcPr>
          <w:p w14:paraId="057635B2" w14:textId="77777777" w:rsidR="00E579B9" w:rsidRDefault="006A1398">
            <w:pPr>
              <w:pStyle w:val="aa"/>
            </w:pPr>
            <w:r>
              <w:t>单位</w:t>
            </w:r>
          </w:p>
        </w:tc>
        <w:tc>
          <w:tcPr>
            <w:tcW w:w="2438" w:type="dxa"/>
            <w:shd w:val="clear" w:color="auto" w:fill="auto"/>
            <w:vAlign w:val="center"/>
          </w:tcPr>
          <w:p w14:paraId="22F69FCB" w14:textId="77777777" w:rsidR="00E579B9" w:rsidRDefault="006A1398">
            <w:pPr>
              <w:pStyle w:val="aa"/>
            </w:pPr>
            <w:r>
              <w:t>指标</w:t>
            </w:r>
          </w:p>
        </w:tc>
        <w:tc>
          <w:tcPr>
            <w:tcW w:w="2005" w:type="dxa"/>
            <w:shd w:val="clear" w:color="auto" w:fill="auto"/>
            <w:vAlign w:val="center"/>
          </w:tcPr>
          <w:p w14:paraId="6A5CF613" w14:textId="77777777" w:rsidR="00E579B9" w:rsidRDefault="006A1398">
            <w:pPr>
              <w:pStyle w:val="aa"/>
            </w:pPr>
            <w:r>
              <w:t>备注</w:t>
            </w:r>
          </w:p>
        </w:tc>
      </w:tr>
      <w:tr w:rsidR="00E579B9" w14:paraId="3164A3E8" w14:textId="77777777">
        <w:trPr>
          <w:cantSplit/>
          <w:trHeight w:val="20"/>
          <w:jc w:val="center"/>
        </w:trPr>
        <w:tc>
          <w:tcPr>
            <w:tcW w:w="675" w:type="dxa"/>
            <w:shd w:val="clear" w:color="auto" w:fill="auto"/>
            <w:vAlign w:val="center"/>
          </w:tcPr>
          <w:p w14:paraId="7830DDA6" w14:textId="77777777" w:rsidR="00E579B9" w:rsidRDefault="00E579B9">
            <w:pPr>
              <w:pStyle w:val="aa"/>
              <w:numPr>
                <w:ilvl w:val="0"/>
                <w:numId w:val="4"/>
              </w:numPr>
            </w:pPr>
          </w:p>
        </w:tc>
        <w:tc>
          <w:tcPr>
            <w:tcW w:w="2835" w:type="dxa"/>
            <w:shd w:val="clear" w:color="auto" w:fill="auto"/>
            <w:vAlign w:val="center"/>
          </w:tcPr>
          <w:p w14:paraId="05B43473" w14:textId="77777777" w:rsidR="00E579B9" w:rsidRDefault="006A1398">
            <w:pPr>
              <w:pStyle w:val="aa"/>
            </w:pPr>
            <w:r>
              <w:rPr>
                <w:rFonts w:hint="eastAsia"/>
              </w:rPr>
              <w:t>矿床类型</w:t>
            </w:r>
          </w:p>
        </w:tc>
        <w:tc>
          <w:tcPr>
            <w:tcW w:w="993" w:type="dxa"/>
            <w:shd w:val="clear" w:color="auto" w:fill="auto"/>
            <w:vAlign w:val="center"/>
          </w:tcPr>
          <w:p w14:paraId="6D4CDF17" w14:textId="77777777" w:rsidR="00E579B9" w:rsidRDefault="006A1398">
            <w:pPr>
              <w:pStyle w:val="aa"/>
            </w:pPr>
            <w:r>
              <w:rPr>
                <w:rFonts w:hint="eastAsia"/>
              </w:rPr>
              <w:t>/</w:t>
            </w:r>
          </w:p>
        </w:tc>
        <w:tc>
          <w:tcPr>
            <w:tcW w:w="2438" w:type="dxa"/>
            <w:shd w:val="clear" w:color="auto" w:fill="auto"/>
            <w:vAlign w:val="center"/>
          </w:tcPr>
          <w:p w14:paraId="391761DA" w14:textId="77777777" w:rsidR="00E579B9" w:rsidRDefault="006A1398">
            <w:pPr>
              <w:pStyle w:val="aa"/>
            </w:pPr>
            <w:r>
              <w:rPr>
                <w:rFonts w:hint="eastAsia"/>
              </w:rPr>
              <w:t>/</w:t>
            </w:r>
          </w:p>
        </w:tc>
        <w:tc>
          <w:tcPr>
            <w:tcW w:w="2005" w:type="dxa"/>
            <w:shd w:val="clear" w:color="auto" w:fill="auto"/>
            <w:vAlign w:val="center"/>
          </w:tcPr>
          <w:p w14:paraId="5111C2A2" w14:textId="77777777" w:rsidR="00E579B9" w:rsidRDefault="006A1398">
            <w:pPr>
              <w:pStyle w:val="aa"/>
            </w:pPr>
            <w:proofErr w:type="gramStart"/>
            <w:r>
              <w:rPr>
                <w:rFonts w:hint="eastAsia"/>
              </w:rPr>
              <w:t>沉积—浅变质岩</w:t>
            </w:r>
            <w:proofErr w:type="gramEnd"/>
            <w:r>
              <w:rPr>
                <w:rFonts w:hint="eastAsia"/>
              </w:rPr>
              <w:t>系</w:t>
            </w:r>
          </w:p>
        </w:tc>
      </w:tr>
      <w:tr w:rsidR="00E579B9" w14:paraId="49434687" w14:textId="77777777">
        <w:trPr>
          <w:cantSplit/>
          <w:trHeight w:val="20"/>
          <w:jc w:val="center"/>
        </w:trPr>
        <w:tc>
          <w:tcPr>
            <w:tcW w:w="675" w:type="dxa"/>
            <w:shd w:val="clear" w:color="auto" w:fill="auto"/>
            <w:vAlign w:val="center"/>
          </w:tcPr>
          <w:p w14:paraId="7CF0DA10" w14:textId="77777777" w:rsidR="00E579B9" w:rsidRDefault="00E579B9">
            <w:pPr>
              <w:pStyle w:val="aa"/>
              <w:numPr>
                <w:ilvl w:val="0"/>
                <w:numId w:val="4"/>
              </w:numPr>
            </w:pPr>
          </w:p>
        </w:tc>
        <w:tc>
          <w:tcPr>
            <w:tcW w:w="2835" w:type="dxa"/>
            <w:shd w:val="clear" w:color="auto" w:fill="auto"/>
            <w:vAlign w:val="center"/>
          </w:tcPr>
          <w:p w14:paraId="3EEA8F66" w14:textId="77777777" w:rsidR="00E579B9" w:rsidRDefault="006A1398">
            <w:pPr>
              <w:pStyle w:val="aa"/>
            </w:pPr>
            <w:r>
              <w:t>保有资源储量</w:t>
            </w:r>
          </w:p>
        </w:tc>
        <w:tc>
          <w:tcPr>
            <w:tcW w:w="993" w:type="dxa"/>
            <w:shd w:val="clear" w:color="auto" w:fill="auto"/>
            <w:vAlign w:val="center"/>
          </w:tcPr>
          <w:p w14:paraId="478C11FF" w14:textId="77777777" w:rsidR="00E579B9" w:rsidRDefault="006A1398">
            <w:pPr>
              <w:pStyle w:val="aa"/>
            </w:pPr>
            <w:r>
              <w:t>万</w:t>
            </w:r>
            <w:r>
              <w:t>t</w:t>
            </w:r>
          </w:p>
        </w:tc>
        <w:tc>
          <w:tcPr>
            <w:tcW w:w="2438" w:type="dxa"/>
            <w:shd w:val="clear" w:color="auto" w:fill="auto"/>
            <w:vAlign w:val="center"/>
          </w:tcPr>
          <w:p w14:paraId="639B4A96" w14:textId="77777777" w:rsidR="00E579B9" w:rsidRDefault="006A1398">
            <w:pPr>
              <w:pStyle w:val="aa"/>
            </w:pPr>
            <w:r>
              <w:t>1979</w:t>
            </w:r>
          </w:p>
        </w:tc>
        <w:tc>
          <w:tcPr>
            <w:tcW w:w="2005" w:type="dxa"/>
            <w:shd w:val="clear" w:color="auto" w:fill="auto"/>
            <w:vAlign w:val="center"/>
          </w:tcPr>
          <w:p w14:paraId="57894C5C" w14:textId="77777777" w:rsidR="00E579B9" w:rsidRDefault="00E579B9">
            <w:pPr>
              <w:pStyle w:val="aa"/>
            </w:pPr>
          </w:p>
        </w:tc>
      </w:tr>
      <w:tr w:rsidR="00E579B9" w14:paraId="5B7674C5" w14:textId="77777777">
        <w:trPr>
          <w:cantSplit/>
          <w:trHeight w:val="20"/>
          <w:jc w:val="center"/>
        </w:trPr>
        <w:tc>
          <w:tcPr>
            <w:tcW w:w="675" w:type="dxa"/>
            <w:shd w:val="clear" w:color="auto" w:fill="auto"/>
            <w:vAlign w:val="center"/>
          </w:tcPr>
          <w:p w14:paraId="34F59278" w14:textId="77777777" w:rsidR="00E579B9" w:rsidRDefault="00E579B9">
            <w:pPr>
              <w:pStyle w:val="aa"/>
              <w:numPr>
                <w:ilvl w:val="0"/>
                <w:numId w:val="4"/>
              </w:numPr>
            </w:pPr>
          </w:p>
        </w:tc>
        <w:tc>
          <w:tcPr>
            <w:tcW w:w="2835" w:type="dxa"/>
            <w:shd w:val="clear" w:color="auto" w:fill="auto"/>
            <w:vAlign w:val="center"/>
          </w:tcPr>
          <w:p w14:paraId="4C00CEE0" w14:textId="77777777" w:rsidR="00E579B9" w:rsidRDefault="006A1398">
            <w:pPr>
              <w:pStyle w:val="aa"/>
            </w:pPr>
            <w:r>
              <w:t>设计利用储量</w:t>
            </w:r>
          </w:p>
        </w:tc>
        <w:tc>
          <w:tcPr>
            <w:tcW w:w="993" w:type="dxa"/>
            <w:shd w:val="clear" w:color="auto" w:fill="auto"/>
            <w:vAlign w:val="center"/>
          </w:tcPr>
          <w:p w14:paraId="560D3393" w14:textId="77777777" w:rsidR="00E579B9" w:rsidRDefault="006A1398">
            <w:pPr>
              <w:pStyle w:val="aa"/>
            </w:pPr>
            <w:r>
              <w:t>万</w:t>
            </w:r>
            <w:r>
              <w:t>t</w:t>
            </w:r>
          </w:p>
        </w:tc>
        <w:tc>
          <w:tcPr>
            <w:tcW w:w="2438" w:type="dxa"/>
            <w:shd w:val="clear" w:color="auto" w:fill="auto"/>
            <w:vAlign w:val="center"/>
          </w:tcPr>
          <w:p w14:paraId="53808430" w14:textId="77777777" w:rsidR="00E579B9" w:rsidRDefault="006A1398">
            <w:pPr>
              <w:pStyle w:val="aa"/>
            </w:pPr>
            <w:r>
              <w:t>2178.83</w:t>
            </w:r>
          </w:p>
        </w:tc>
        <w:tc>
          <w:tcPr>
            <w:tcW w:w="2005" w:type="dxa"/>
            <w:shd w:val="clear" w:color="auto" w:fill="auto"/>
            <w:vAlign w:val="center"/>
          </w:tcPr>
          <w:p w14:paraId="045C13F6" w14:textId="77777777" w:rsidR="00E579B9" w:rsidRDefault="006A1398">
            <w:pPr>
              <w:pStyle w:val="aa"/>
            </w:pPr>
            <w:r>
              <w:rPr>
                <w:rFonts w:hint="eastAsia"/>
              </w:rPr>
              <w:t>/</w:t>
            </w:r>
          </w:p>
        </w:tc>
      </w:tr>
      <w:tr w:rsidR="00E579B9" w14:paraId="08A97603" w14:textId="77777777">
        <w:trPr>
          <w:cantSplit/>
          <w:trHeight w:val="20"/>
          <w:jc w:val="center"/>
        </w:trPr>
        <w:tc>
          <w:tcPr>
            <w:tcW w:w="675" w:type="dxa"/>
            <w:shd w:val="clear" w:color="auto" w:fill="auto"/>
            <w:vAlign w:val="center"/>
          </w:tcPr>
          <w:p w14:paraId="6A6A9071" w14:textId="77777777" w:rsidR="00E579B9" w:rsidRDefault="00E579B9">
            <w:pPr>
              <w:pStyle w:val="aa"/>
              <w:numPr>
                <w:ilvl w:val="0"/>
                <w:numId w:val="4"/>
              </w:numPr>
            </w:pPr>
          </w:p>
        </w:tc>
        <w:tc>
          <w:tcPr>
            <w:tcW w:w="2835" w:type="dxa"/>
            <w:shd w:val="clear" w:color="auto" w:fill="auto"/>
            <w:vAlign w:val="center"/>
          </w:tcPr>
          <w:p w14:paraId="153427F4" w14:textId="77777777" w:rsidR="00E579B9" w:rsidRDefault="006A1398">
            <w:pPr>
              <w:pStyle w:val="aa"/>
            </w:pPr>
            <w:r>
              <w:t>矿山设计规模</w:t>
            </w:r>
          </w:p>
        </w:tc>
        <w:tc>
          <w:tcPr>
            <w:tcW w:w="993" w:type="dxa"/>
            <w:shd w:val="clear" w:color="auto" w:fill="auto"/>
            <w:vAlign w:val="center"/>
          </w:tcPr>
          <w:p w14:paraId="0CED7A82" w14:textId="77777777" w:rsidR="00E579B9" w:rsidRDefault="006A1398">
            <w:pPr>
              <w:pStyle w:val="aa"/>
            </w:pPr>
            <w:r>
              <w:t>万</w:t>
            </w:r>
            <w:r>
              <w:t>t/a</w:t>
            </w:r>
          </w:p>
        </w:tc>
        <w:tc>
          <w:tcPr>
            <w:tcW w:w="2438" w:type="dxa"/>
            <w:shd w:val="clear" w:color="auto" w:fill="auto"/>
            <w:vAlign w:val="center"/>
          </w:tcPr>
          <w:p w14:paraId="0D818FEB" w14:textId="77777777" w:rsidR="00E579B9" w:rsidRDefault="006A1398">
            <w:pPr>
              <w:pStyle w:val="aa"/>
            </w:pPr>
            <w:r>
              <w:t>230</w:t>
            </w:r>
          </w:p>
        </w:tc>
        <w:tc>
          <w:tcPr>
            <w:tcW w:w="2005" w:type="dxa"/>
            <w:shd w:val="clear" w:color="auto" w:fill="auto"/>
            <w:vAlign w:val="center"/>
          </w:tcPr>
          <w:p w14:paraId="3E7AD0CF" w14:textId="77777777" w:rsidR="00E579B9" w:rsidRDefault="006A1398">
            <w:pPr>
              <w:pStyle w:val="aa"/>
            </w:pPr>
            <w:r>
              <w:rPr>
                <w:rFonts w:hint="eastAsia"/>
              </w:rPr>
              <w:t>/</w:t>
            </w:r>
          </w:p>
        </w:tc>
      </w:tr>
      <w:tr w:rsidR="00E579B9" w14:paraId="0D52CE97" w14:textId="77777777">
        <w:trPr>
          <w:cantSplit/>
          <w:trHeight w:val="20"/>
          <w:jc w:val="center"/>
        </w:trPr>
        <w:tc>
          <w:tcPr>
            <w:tcW w:w="675" w:type="dxa"/>
            <w:shd w:val="clear" w:color="auto" w:fill="auto"/>
            <w:vAlign w:val="center"/>
          </w:tcPr>
          <w:p w14:paraId="6820F846" w14:textId="77777777" w:rsidR="00E579B9" w:rsidRDefault="00E579B9">
            <w:pPr>
              <w:pStyle w:val="aa"/>
              <w:numPr>
                <w:ilvl w:val="0"/>
                <w:numId w:val="4"/>
              </w:numPr>
            </w:pPr>
          </w:p>
        </w:tc>
        <w:tc>
          <w:tcPr>
            <w:tcW w:w="2835" w:type="dxa"/>
            <w:shd w:val="clear" w:color="auto" w:fill="auto"/>
            <w:vAlign w:val="center"/>
          </w:tcPr>
          <w:p w14:paraId="53E1958E" w14:textId="77777777" w:rsidR="00E579B9" w:rsidRDefault="006A1398">
            <w:pPr>
              <w:pStyle w:val="aa"/>
            </w:pPr>
            <w:r>
              <w:t>矿山服务年限</w:t>
            </w:r>
          </w:p>
        </w:tc>
        <w:tc>
          <w:tcPr>
            <w:tcW w:w="993" w:type="dxa"/>
            <w:shd w:val="clear" w:color="auto" w:fill="auto"/>
            <w:vAlign w:val="center"/>
          </w:tcPr>
          <w:p w14:paraId="103359A8" w14:textId="77777777" w:rsidR="00E579B9" w:rsidRDefault="006A1398">
            <w:pPr>
              <w:pStyle w:val="aa"/>
            </w:pPr>
            <w:r>
              <w:t>年</w:t>
            </w:r>
          </w:p>
        </w:tc>
        <w:tc>
          <w:tcPr>
            <w:tcW w:w="2438" w:type="dxa"/>
            <w:shd w:val="clear" w:color="auto" w:fill="auto"/>
            <w:vAlign w:val="center"/>
          </w:tcPr>
          <w:p w14:paraId="1D03392E" w14:textId="77777777" w:rsidR="00E579B9" w:rsidRDefault="006A1398">
            <w:pPr>
              <w:pStyle w:val="aa"/>
            </w:pPr>
            <w:r>
              <w:t>9.5</w:t>
            </w:r>
          </w:p>
        </w:tc>
        <w:tc>
          <w:tcPr>
            <w:tcW w:w="2005" w:type="dxa"/>
            <w:shd w:val="clear" w:color="auto" w:fill="auto"/>
            <w:vAlign w:val="center"/>
          </w:tcPr>
          <w:p w14:paraId="1FB56790" w14:textId="77777777" w:rsidR="00E579B9" w:rsidRDefault="006A1398">
            <w:pPr>
              <w:pStyle w:val="aa"/>
            </w:pPr>
            <w:r>
              <w:rPr>
                <w:rFonts w:hint="eastAsia"/>
              </w:rPr>
              <w:t>/</w:t>
            </w:r>
          </w:p>
        </w:tc>
      </w:tr>
      <w:tr w:rsidR="00E579B9" w14:paraId="65E6E37D" w14:textId="77777777">
        <w:trPr>
          <w:cantSplit/>
          <w:trHeight w:val="20"/>
          <w:jc w:val="center"/>
        </w:trPr>
        <w:tc>
          <w:tcPr>
            <w:tcW w:w="675" w:type="dxa"/>
            <w:shd w:val="clear" w:color="auto" w:fill="auto"/>
            <w:vAlign w:val="center"/>
          </w:tcPr>
          <w:p w14:paraId="3CCC3113" w14:textId="77777777" w:rsidR="00E579B9" w:rsidRDefault="00E579B9">
            <w:pPr>
              <w:pStyle w:val="aa"/>
              <w:numPr>
                <w:ilvl w:val="0"/>
                <w:numId w:val="4"/>
              </w:numPr>
            </w:pPr>
          </w:p>
        </w:tc>
        <w:tc>
          <w:tcPr>
            <w:tcW w:w="2835" w:type="dxa"/>
            <w:shd w:val="clear" w:color="auto" w:fill="auto"/>
            <w:vAlign w:val="center"/>
          </w:tcPr>
          <w:p w14:paraId="008384EA" w14:textId="77777777" w:rsidR="00E579B9" w:rsidRDefault="006A1398">
            <w:pPr>
              <w:pStyle w:val="aa"/>
            </w:pPr>
            <w:r>
              <w:t>采矿工作制度</w:t>
            </w:r>
          </w:p>
        </w:tc>
        <w:tc>
          <w:tcPr>
            <w:tcW w:w="993" w:type="dxa"/>
            <w:shd w:val="clear" w:color="auto" w:fill="auto"/>
            <w:vAlign w:val="center"/>
          </w:tcPr>
          <w:p w14:paraId="508EC4C5" w14:textId="77777777" w:rsidR="00E579B9" w:rsidRDefault="006A1398">
            <w:pPr>
              <w:pStyle w:val="aa"/>
            </w:pPr>
            <w:r>
              <w:rPr>
                <w:rFonts w:hint="eastAsia"/>
              </w:rPr>
              <w:t>/</w:t>
            </w:r>
          </w:p>
        </w:tc>
        <w:tc>
          <w:tcPr>
            <w:tcW w:w="2438" w:type="dxa"/>
            <w:shd w:val="clear" w:color="auto" w:fill="auto"/>
            <w:vAlign w:val="center"/>
          </w:tcPr>
          <w:p w14:paraId="101FA984" w14:textId="77777777" w:rsidR="00E579B9" w:rsidRDefault="006A1398">
            <w:pPr>
              <w:pStyle w:val="aa"/>
            </w:pPr>
            <w:r>
              <w:t>年</w:t>
            </w:r>
            <w:r>
              <w:t>280</w:t>
            </w:r>
            <w:r>
              <w:t>天，每天</w:t>
            </w:r>
            <w:r>
              <w:t>2</w:t>
            </w:r>
            <w:r>
              <w:t>班，每班</w:t>
            </w:r>
            <w:r>
              <w:t>8</w:t>
            </w:r>
            <w:r>
              <w:t>小时</w:t>
            </w:r>
          </w:p>
        </w:tc>
        <w:tc>
          <w:tcPr>
            <w:tcW w:w="2005" w:type="dxa"/>
            <w:shd w:val="clear" w:color="auto" w:fill="auto"/>
            <w:vAlign w:val="center"/>
          </w:tcPr>
          <w:p w14:paraId="29B6D3C5" w14:textId="77777777" w:rsidR="00E579B9" w:rsidRDefault="006A1398">
            <w:pPr>
              <w:pStyle w:val="aa"/>
            </w:pPr>
            <w:r>
              <w:rPr>
                <w:rFonts w:hint="eastAsia"/>
              </w:rPr>
              <w:t>/</w:t>
            </w:r>
          </w:p>
        </w:tc>
      </w:tr>
      <w:tr w:rsidR="00E579B9" w14:paraId="59691427" w14:textId="77777777">
        <w:trPr>
          <w:cantSplit/>
          <w:trHeight w:val="20"/>
          <w:jc w:val="center"/>
        </w:trPr>
        <w:tc>
          <w:tcPr>
            <w:tcW w:w="675" w:type="dxa"/>
            <w:shd w:val="clear" w:color="auto" w:fill="auto"/>
            <w:vAlign w:val="center"/>
          </w:tcPr>
          <w:p w14:paraId="65B211B8" w14:textId="77777777" w:rsidR="00E579B9" w:rsidRDefault="00E579B9">
            <w:pPr>
              <w:pStyle w:val="aa"/>
              <w:numPr>
                <w:ilvl w:val="0"/>
                <w:numId w:val="4"/>
              </w:numPr>
            </w:pPr>
          </w:p>
        </w:tc>
        <w:tc>
          <w:tcPr>
            <w:tcW w:w="2835" w:type="dxa"/>
            <w:shd w:val="clear" w:color="auto" w:fill="auto"/>
            <w:vAlign w:val="center"/>
          </w:tcPr>
          <w:p w14:paraId="7B5E9B7A" w14:textId="77777777" w:rsidR="00E579B9" w:rsidRDefault="006A1398">
            <w:pPr>
              <w:pStyle w:val="aa"/>
            </w:pPr>
            <w:r>
              <w:t>开拓运输方案</w:t>
            </w:r>
          </w:p>
        </w:tc>
        <w:tc>
          <w:tcPr>
            <w:tcW w:w="993" w:type="dxa"/>
            <w:shd w:val="clear" w:color="auto" w:fill="auto"/>
            <w:vAlign w:val="center"/>
          </w:tcPr>
          <w:p w14:paraId="777F9D24" w14:textId="77777777" w:rsidR="00E579B9" w:rsidRDefault="006A1398">
            <w:pPr>
              <w:pStyle w:val="aa"/>
            </w:pPr>
            <w:r>
              <w:rPr>
                <w:rFonts w:hint="eastAsia"/>
              </w:rPr>
              <w:t>/</w:t>
            </w:r>
          </w:p>
        </w:tc>
        <w:tc>
          <w:tcPr>
            <w:tcW w:w="2438" w:type="dxa"/>
            <w:shd w:val="clear" w:color="auto" w:fill="auto"/>
            <w:vAlign w:val="center"/>
          </w:tcPr>
          <w:p w14:paraId="75BC57CD" w14:textId="77777777" w:rsidR="00E579B9" w:rsidRDefault="006A1398">
            <w:pPr>
              <w:pStyle w:val="aa"/>
            </w:pPr>
            <w:r>
              <w:t>公路开拓，汽车运输</w:t>
            </w:r>
          </w:p>
        </w:tc>
        <w:tc>
          <w:tcPr>
            <w:tcW w:w="2005" w:type="dxa"/>
            <w:shd w:val="clear" w:color="auto" w:fill="auto"/>
            <w:vAlign w:val="center"/>
          </w:tcPr>
          <w:p w14:paraId="558138B3" w14:textId="77777777" w:rsidR="00E579B9" w:rsidRDefault="006A1398">
            <w:pPr>
              <w:pStyle w:val="aa"/>
            </w:pPr>
            <w:r>
              <w:rPr>
                <w:rFonts w:hint="eastAsia"/>
              </w:rPr>
              <w:t>/</w:t>
            </w:r>
          </w:p>
        </w:tc>
      </w:tr>
      <w:tr w:rsidR="00E579B9" w14:paraId="3EE80170" w14:textId="77777777">
        <w:trPr>
          <w:cantSplit/>
          <w:trHeight w:val="20"/>
          <w:jc w:val="center"/>
        </w:trPr>
        <w:tc>
          <w:tcPr>
            <w:tcW w:w="675" w:type="dxa"/>
            <w:shd w:val="clear" w:color="auto" w:fill="auto"/>
            <w:vAlign w:val="center"/>
          </w:tcPr>
          <w:p w14:paraId="2F36EFF0" w14:textId="77777777" w:rsidR="00E579B9" w:rsidRDefault="00E579B9">
            <w:pPr>
              <w:pStyle w:val="aa"/>
              <w:numPr>
                <w:ilvl w:val="0"/>
                <w:numId w:val="4"/>
              </w:numPr>
            </w:pPr>
          </w:p>
        </w:tc>
        <w:tc>
          <w:tcPr>
            <w:tcW w:w="2835" w:type="dxa"/>
            <w:shd w:val="clear" w:color="auto" w:fill="auto"/>
            <w:vAlign w:val="center"/>
          </w:tcPr>
          <w:p w14:paraId="699FA6DF" w14:textId="77777777" w:rsidR="00E579B9" w:rsidRDefault="006A1398">
            <w:pPr>
              <w:pStyle w:val="aa"/>
            </w:pPr>
            <w:r>
              <w:t>采矿方法</w:t>
            </w:r>
          </w:p>
        </w:tc>
        <w:tc>
          <w:tcPr>
            <w:tcW w:w="993" w:type="dxa"/>
            <w:shd w:val="clear" w:color="auto" w:fill="auto"/>
            <w:vAlign w:val="center"/>
          </w:tcPr>
          <w:p w14:paraId="2CD1AD4D" w14:textId="77777777" w:rsidR="00E579B9" w:rsidRDefault="006A1398">
            <w:pPr>
              <w:pStyle w:val="aa"/>
            </w:pPr>
            <w:r>
              <w:rPr>
                <w:rFonts w:hint="eastAsia"/>
              </w:rPr>
              <w:t>/</w:t>
            </w:r>
          </w:p>
        </w:tc>
        <w:tc>
          <w:tcPr>
            <w:tcW w:w="2438" w:type="dxa"/>
            <w:shd w:val="clear" w:color="auto" w:fill="auto"/>
            <w:vAlign w:val="center"/>
          </w:tcPr>
          <w:p w14:paraId="02F23938" w14:textId="77777777" w:rsidR="00E579B9" w:rsidRDefault="006A1398">
            <w:pPr>
              <w:pStyle w:val="aa"/>
            </w:pPr>
            <w:r>
              <w:t>自上而下分台阶</w:t>
            </w:r>
          </w:p>
        </w:tc>
        <w:tc>
          <w:tcPr>
            <w:tcW w:w="2005" w:type="dxa"/>
            <w:shd w:val="clear" w:color="auto" w:fill="auto"/>
            <w:vAlign w:val="center"/>
          </w:tcPr>
          <w:p w14:paraId="2189CF72" w14:textId="77777777" w:rsidR="00E579B9" w:rsidRDefault="006A1398">
            <w:pPr>
              <w:pStyle w:val="aa"/>
            </w:pPr>
            <w:r>
              <w:rPr>
                <w:rFonts w:hint="eastAsia"/>
              </w:rPr>
              <w:t>/</w:t>
            </w:r>
          </w:p>
        </w:tc>
      </w:tr>
      <w:tr w:rsidR="00E579B9" w14:paraId="4139A94B" w14:textId="77777777">
        <w:trPr>
          <w:cantSplit/>
          <w:trHeight w:val="20"/>
          <w:jc w:val="center"/>
        </w:trPr>
        <w:tc>
          <w:tcPr>
            <w:tcW w:w="675" w:type="dxa"/>
            <w:shd w:val="clear" w:color="auto" w:fill="auto"/>
            <w:vAlign w:val="center"/>
          </w:tcPr>
          <w:p w14:paraId="658BF8EE" w14:textId="77777777" w:rsidR="00E579B9" w:rsidRDefault="00E579B9">
            <w:pPr>
              <w:pStyle w:val="aa"/>
              <w:numPr>
                <w:ilvl w:val="0"/>
                <w:numId w:val="4"/>
              </w:numPr>
            </w:pPr>
          </w:p>
        </w:tc>
        <w:tc>
          <w:tcPr>
            <w:tcW w:w="2835" w:type="dxa"/>
            <w:shd w:val="clear" w:color="auto" w:fill="auto"/>
            <w:vAlign w:val="center"/>
          </w:tcPr>
          <w:p w14:paraId="45D9BB18" w14:textId="77777777" w:rsidR="00E579B9" w:rsidRDefault="006A1398">
            <w:pPr>
              <w:pStyle w:val="aa"/>
            </w:pPr>
            <w:r>
              <w:t>采矿损失率</w:t>
            </w:r>
          </w:p>
        </w:tc>
        <w:tc>
          <w:tcPr>
            <w:tcW w:w="993" w:type="dxa"/>
            <w:shd w:val="clear" w:color="auto" w:fill="auto"/>
            <w:vAlign w:val="center"/>
          </w:tcPr>
          <w:p w14:paraId="4CEB727E" w14:textId="77777777" w:rsidR="00E579B9" w:rsidRDefault="006A1398">
            <w:pPr>
              <w:pStyle w:val="aa"/>
            </w:pPr>
            <w:r>
              <w:t>%</w:t>
            </w:r>
          </w:p>
        </w:tc>
        <w:tc>
          <w:tcPr>
            <w:tcW w:w="2438" w:type="dxa"/>
            <w:shd w:val="clear" w:color="auto" w:fill="auto"/>
            <w:vAlign w:val="center"/>
          </w:tcPr>
          <w:p w14:paraId="7F941F64" w14:textId="77777777" w:rsidR="00E579B9" w:rsidRDefault="006A1398">
            <w:pPr>
              <w:pStyle w:val="aa"/>
            </w:pPr>
            <w:r>
              <w:t>5</w:t>
            </w:r>
          </w:p>
        </w:tc>
        <w:tc>
          <w:tcPr>
            <w:tcW w:w="2005" w:type="dxa"/>
            <w:shd w:val="clear" w:color="auto" w:fill="auto"/>
            <w:vAlign w:val="center"/>
          </w:tcPr>
          <w:p w14:paraId="70853470" w14:textId="77777777" w:rsidR="00E579B9" w:rsidRDefault="006A1398">
            <w:pPr>
              <w:pStyle w:val="aa"/>
            </w:pPr>
            <w:r>
              <w:rPr>
                <w:rFonts w:hint="eastAsia"/>
              </w:rPr>
              <w:t>/</w:t>
            </w:r>
          </w:p>
        </w:tc>
      </w:tr>
      <w:tr w:rsidR="00E579B9" w14:paraId="1DE46602" w14:textId="77777777">
        <w:trPr>
          <w:cantSplit/>
          <w:trHeight w:val="20"/>
          <w:jc w:val="center"/>
        </w:trPr>
        <w:tc>
          <w:tcPr>
            <w:tcW w:w="675" w:type="dxa"/>
            <w:shd w:val="clear" w:color="auto" w:fill="auto"/>
            <w:vAlign w:val="center"/>
          </w:tcPr>
          <w:p w14:paraId="5C207EC8" w14:textId="77777777" w:rsidR="00E579B9" w:rsidRDefault="00E579B9">
            <w:pPr>
              <w:pStyle w:val="aa"/>
              <w:numPr>
                <w:ilvl w:val="0"/>
                <w:numId w:val="4"/>
              </w:numPr>
            </w:pPr>
          </w:p>
        </w:tc>
        <w:tc>
          <w:tcPr>
            <w:tcW w:w="2835" w:type="dxa"/>
            <w:shd w:val="clear" w:color="auto" w:fill="auto"/>
            <w:vAlign w:val="center"/>
          </w:tcPr>
          <w:p w14:paraId="65ACA502" w14:textId="77777777" w:rsidR="00E579B9" w:rsidRDefault="006A1398">
            <w:pPr>
              <w:pStyle w:val="aa"/>
            </w:pPr>
            <w:r>
              <w:t>估算投资</w:t>
            </w:r>
          </w:p>
        </w:tc>
        <w:tc>
          <w:tcPr>
            <w:tcW w:w="993" w:type="dxa"/>
            <w:shd w:val="clear" w:color="auto" w:fill="auto"/>
            <w:vAlign w:val="center"/>
          </w:tcPr>
          <w:p w14:paraId="2B431C36" w14:textId="77777777" w:rsidR="00E579B9" w:rsidRDefault="006A1398">
            <w:pPr>
              <w:pStyle w:val="aa"/>
            </w:pPr>
            <w:r>
              <w:t>万元</w:t>
            </w:r>
          </w:p>
        </w:tc>
        <w:tc>
          <w:tcPr>
            <w:tcW w:w="2438" w:type="dxa"/>
            <w:shd w:val="clear" w:color="auto" w:fill="auto"/>
            <w:vAlign w:val="center"/>
          </w:tcPr>
          <w:p w14:paraId="489E1F54" w14:textId="77777777" w:rsidR="00E579B9" w:rsidRDefault="006A1398">
            <w:pPr>
              <w:pStyle w:val="aa"/>
            </w:pPr>
            <w:r>
              <w:t>5000</w:t>
            </w:r>
          </w:p>
        </w:tc>
        <w:tc>
          <w:tcPr>
            <w:tcW w:w="2005" w:type="dxa"/>
            <w:shd w:val="clear" w:color="auto" w:fill="auto"/>
            <w:vAlign w:val="center"/>
          </w:tcPr>
          <w:p w14:paraId="7524BFF1" w14:textId="77777777" w:rsidR="00E579B9" w:rsidRDefault="006A1398">
            <w:pPr>
              <w:pStyle w:val="aa"/>
            </w:pPr>
            <w:r>
              <w:rPr>
                <w:rFonts w:hint="eastAsia"/>
              </w:rPr>
              <w:t>/</w:t>
            </w:r>
          </w:p>
        </w:tc>
      </w:tr>
      <w:tr w:rsidR="00E579B9" w14:paraId="5CE1F9C3" w14:textId="77777777">
        <w:trPr>
          <w:cantSplit/>
          <w:trHeight w:val="20"/>
          <w:jc w:val="center"/>
        </w:trPr>
        <w:tc>
          <w:tcPr>
            <w:tcW w:w="675" w:type="dxa"/>
            <w:shd w:val="clear" w:color="auto" w:fill="auto"/>
            <w:vAlign w:val="center"/>
          </w:tcPr>
          <w:p w14:paraId="5E2A0C1A" w14:textId="77777777" w:rsidR="00E579B9" w:rsidRDefault="00E579B9">
            <w:pPr>
              <w:pStyle w:val="aa"/>
              <w:numPr>
                <w:ilvl w:val="0"/>
                <w:numId w:val="4"/>
              </w:numPr>
            </w:pPr>
          </w:p>
        </w:tc>
        <w:tc>
          <w:tcPr>
            <w:tcW w:w="2835" w:type="dxa"/>
            <w:shd w:val="clear" w:color="auto" w:fill="auto"/>
            <w:vAlign w:val="center"/>
          </w:tcPr>
          <w:p w14:paraId="0E1F3630" w14:textId="77777777" w:rsidR="00E579B9" w:rsidRDefault="006A1398">
            <w:pPr>
              <w:pStyle w:val="aa"/>
            </w:pPr>
            <w:r>
              <w:t>年销售收入</w:t>
            </w:r>
          </w:p>
        </w:tc>
        <w:tc>
          <w:tcPr>
            <w:tcW w:w="993" w:type="dxa"/>
            <w:shd w:val="clear" w:color="auto" w:fill="auto"/>
            <w:vAlign w:val="center"/>
          </w:tcPr>
          <w:p w14:paraId="5E6E82C3" w14:textId="77777777" w:rsidR="00E579B9" w:rsidRDefault="006A1398">
            <w:pPr>
              <w:pStyle w:val="aa"/>
            </w:pPr>
            <w:r>
              <w:t>万元</w:t>
            </w:r>
          </w:p>
        </w:tc>
        <w:tc>
          <w:tcPr>
            <w:tcW w:w="2438" w:type="dxa"/>
            <w:shd w:val="clear" w:color="auto" w:fill="auto"/>
            <w:vAlign w:val="center"/>
          </w:tcPr>
          <w:p w14:paraId="509B5CF0" w14:textId="77777777" w:rsidR="00E579B9" w:rsidRDefault="006A1398">
            <w:pPr>
              <w:pStyle w:val="aa"/>
            </w:pPr>
            <w:r>
              <w:t>11500</w:t>
            </w:r>
          </w:p>
        </w:tc>
        <w:tc>
          <w:tcPr>
            <w:tcW w:w="2005" w:type="dxa"/>
            <w:shd w:val="clear" w:color="auto" w:fill="auto"/>
            <w:vAlign w:val="center"/>
          </w:tcPr>
          <w:p w14:paraId="734944D1" w14:textId="77777777" w:rsidR="00E579B9" w:rsidRDefault="006A1398">
            <w:pPr>
              <w:pStyle w:val="aa"/>
            </w:pPr>
            <w:r>
              <w:t>50</w:t>
            </w:r>
            <w:r>
              <w:t>元</w:t>
            </w:r>
            <w:r>
              <w:t>/</w:t>
            </w:r>
            <w:r>
              <w:t>吨</w:t>
            </w:r>
          </w:p>
        </w:tc>
      </w:tr>
      <w:tr w:rsidR="00E579B9" w14:paraId="1A721DCC" w14:textId="77777777">
        <w:trPr>
          <w:cantSplit/>
          <w:trHeight w:val="20"/>
          <w:jc w:val="center"/>
        </w:trPr>
        <w:tc>
          <w:tcPr>
            <w:tcW w:w="675" w:type="dxa"/>
            <w:shd w:val="clear" w:color="auto" w:fill="auto"/>
            <w:vAlign w:val="center"/>
          </w:tcPr>
          <w:p w14:paraId="6437A726" w14:textId="77777777" w:rsidR="00E579B9" w:rsidRDefault="00E579B9">
            <w:pPr>
              <w:pStyle w:val="aa"/>
              <w:numPr>
                <w:ilvl w:val="0"/>
                <w:numId w:val="4"/>
              </w:numPr>
            </w:pPr>
          </w:p>
        </w:tc>
        <w:tc>
          <w:tcPr>
            <w:tcW w:w="2835" w:type="dxa"/>
            <w:shd w:val="clear" w:color="auto" w:fill="auto"/>
            <w:vAlign w:val="center"/>
          </w:tcPr>
          <w:p w14:paraId="46143991" w14:textId="77777777" w:rsidR="00E579B9" w:rsidRDefault="006A1398">
            <w:pPr>
              <w:pStyle w:val="aa"/>
            </w:pPr>
            <w:r>
              <w:t>年总成本</w:t>
            </w:r>
          </w:p>
        </w:tc>
        <w:tc>
          <w:tcPr>
            <w:tcW w:w="993" w:type="dxa"/>
            <w:shd w:val="clear" w:color="auto" w:fill="auto"/>
            <w:vAlign w:val="center"/>
          </w:tcPr>
          <w:p w14:paraId="10F14493" w14:textId="77777777" w:rsidR="00E579B9" w:rsidRDefault="006A1398">
            <w:pPr>
              <w:pStyle w:val="aa"/>
            </w:pPr>
            <w:r>
              <w:t>万元</w:t>
            </w:r>
          </w:p>
        </w:tc>
        <w:tc>
          <w:tcPr>
            <w:tcW w:w="2438" w:type="dxa"/>
            <w:shd w:val="clear" w:color="auto" w:fill="auto"/>
            <w:vAlign w:val="center"/>
          </w:tcPr>
          <w:p w14:paraId="12E0672A" w14:textId="77777777" w:rsidR="00E579B9" w:rsidRDefault="006A1398">
            <w:pPr>
              <w:pStyle w:val="aa"/>
            </w:pPr>
            <w:r>
              <w:t>5867.3</w:t>
            </w:r>
          </w:p>
        </w:tc>
        <w:tc>
          <w:tcPr>
            <w:tcW w:w="2005" w:type="dxa"/>
            <w:shd w:val="clear" w:color="auto" w:fill="auto"/>
            <w:vAlign w:val="center"/>
          </w:tcPr>
          <w:p w14:paraId="45E26CBB" w14:textId="77777777" w:rsidR="00E579B9" w:rsidRDefault="006A1398">
            <w:pPr>
              <w:pStyle w:val="aa"/>
            </w:pPr>
            <w:r>
              <w:rPr>
                <w:rFonts w:hint="eastAsia"/>
              </w:rPr>
              <w:t>/</w:t>
            </w:r>
          </w:p>
        </w:tc>
      </w:tr>
      <w:tr w:rsidR="00E579B9" w14:paraId="2896E2C1" w14:textId="77777777">
        <w:trPr>
          <w:cantSplit/>
          <w:trHeight w:val="20"/>
          <w:jc w:val="center"/>
        </w:trPr>
        <w:tc>
          <w:tcPr>
            <w:tcW w:w="675" w:type="dxa"/>
            <w:shd w:val="clear" w:color="auto" w:fill="auto"/>
            <w:vAlign w:val="center"/>
          </w:tcPr>
          <w:p w14:paraId="26EDE91D" w14:textId="77777777" w:rsidR="00E579B9" w:rsidRDefault="00E579B9">
            <w:pPr>
              <w:pStyle w:val="aa"/>
              <w:numPr>
                <w:ilvl w:val="0"/>
                <w:numId w:val="4"/>
              </w:numPr>
            </w:pPr>
          </w:p>
        </w:tc>
        <w:tc>
          <w:tcPr>
            <w:tcW w:w="2835" w:type="dxa"/>
            <w:shd w:val="clear" w:color="auto" w:fill="auto"/>
            <w:vAlign w:val="center"/>
          </w:tcPr>
          <w:p w14:paraId="1014B463" w14:textId="77777777" w:rsidR="00E579B9" w:rsidRDefault="006A1398">
            <w:pPr>
              <w:pStyle w:val="aa"/>
            </w:pPr>
            <w:r>
              <w:t>年销售税金及附加</w:t>
            </w:r>
          </w:p>
        </w:tc>
        <w:tc>
          <w:tcPr>
            <w:tcW w:w="993" w:type="dxa"/>
            <w:shd w:val="clear" w:color="auto" w:fill="auto"/>
            <w:vAlign w:val="center"/>
          </w:tcPr>
          <w:p w14:paraId="0558EBF2" w14:textId="77777777" w:rsidR="00E579B9" w:rsidRDefault="006A1398">
            <w:pPr>
              <w:pStyle w:val="aa"/>
            </w:pPr>
            <w:r>
              <w:t>万元</w:t>
            </w:r>
          </w:p>
        </w:tc>
        <w:tc>
          <w:tcPr>
            <w:tcW w:w="2438" w:type="dxa"/>
            <w:shd w:val="clear" w:color="auto" w:fill="auto"/>
            <w:vAlign w:val="center"/>
          </w:tcPr>
          <w:p w14:paraId="3F605C4F" w14:textId="77777777" w:rsidR="00E579B9" w:rsidRDefault="006A1398">
            <w:pPr>
              <w:pStyle w:val="aa"/>
            </w:pPr>
            <w:r>
              <w:t>852.04</w:t>
            </w:r>
          </w:p>
        </w:tc>
        <w:tc>
          <w:tcPr>
            <w:tcW w:w="2005" w:type="dxa"/>
            <w:shd w:val="clear" w:color="auto" w:fill="auto"/>
            <w:vAlign w:val="center"/>
          </w:tcPr>
          <w:p w14:paraId="6EC221C8" w14:textId="77777777" w:rsidR="00E579B9" w:rsidRDefault="006A1398">
            <w:pPr>
              <w:pStyle w:val="aa"/>
            </w:pPr>
            <w:r>
              <w:rPr>
                <w:rFonts w:hint="eastAsia"/>
              </w:rPr>
              <w:t>/</w:t>
            </w:r>
          </w:p>
        </w:tc>
      </w:tr>
      <w:tr w:rsidR="00E579B9" w14:paraId="3BF46358" w14:textId="77777777">
        <w:trPr>
          <w:cantSplit/>
          <w:trHeight w:val="20"/>
          <w:jc w:val="center"/>
        </w:trPr>
        <w:tc>
          <w:tcPr>
            <w:tcW w:w="675" w:type="dxa"/>
            <w:shd w:val="clear" w:color="auto" w:fill="auto"/>
            <w:vAlign w:val="center"/>
          </w:tcPr>
          <w:p w14:paraId="3F85CB92" w14:textId="77777777" w:rsidR="00E579B9" w:rsidRDefault="00E579B9">
            <w:pPr>
              <w:pStyle w:val="aa"/>
              <w:numPr>
                <w:ilvl w:val="0"/>
                <w:numId w:val="4"/>
              </w:numPr>
            </w:pPr>
          </w:p>
        </w:tc>
        <w:tc>
          <w:tcPr>
            <w:tcW w:w="2835" w:type="dxa"/>
            <w:shd w:val="clear" w:color="auto" w:fill="auto"/>
            <w:vAlign w:val="center"/>
          </w:tcPr>
          <w:p w14:paraId="0ADF887E" w14:textId="77777777" w:rsidR="00E579B9" w:rsidRDefault="006A1398">
            <w:pPr>
              <w:pStyle w:val="aa"/>
            </w:pPr>
            <w:r>
              <w:t>运营期年利润总额</w:t>
            </w:r>
          </w:p>
        </w:tc>
        <w:tc>
          <w:tcPr>
            <w:tcW w:w="993" w:type="dxa"/>
            <w:shd w:val="clear" w:color="auto" w:fill="auto"/>
            <w:vAlign w:val="center"/>
          </w:tcPr>
          <w:p w14:paraId="3C840531" w14:textId="77777777" w:rsidR="00E579B9" w:rsidRDefault="006A1398">
            <w:pPr>
              <w:pStyle w:val="aa"/>
            </w:pPr>
            <w:r>
              <w:t>万元</w:t>
            </w:r>
          </w:p>
        </w:tc>
        <w:tc>
          <w:tcPr>
            <w:tcW w:w="2438" w:type="dxa"/>
            <w:shd w:val="clear" w:color="auto" w:fill="auto"/>
            <w:vAlign w:val="center"/>
          </w:tcPr>
          <w:p w14:paraId="2FC80437" w14:textId="77777777" w:rsidR="00E579B9" w:rsidRDefault="006A1398">
            <w:pPr>
              <w:pStyle w:val="aa"/>
            </w:pPr>
            <w:r>
              <w:t>4780.66</w:t>
            </w:r>
          </w:p>
        </w:tc>
        <w:tc>
          <w:tcPr>
            <w:tcW w:w="2005" w:type="dxa"/>
            <w:shd w:val="clear" w:color="auto" w:fill="auto"/>
            <w:vAlign w:val="center"/>
          </w:tcPr>
          <w:p w14:paraId="27567C89" w14:textId="77777777" w:rsidR="00E579B9" w:rsidRDefault="006A1398">
            <w:pPr>
              <w:pStyle w:val="aa"/>
            </w:pPr>
            <w:r>
              <w:rPr>
                <w:rFonts w:hint="eastAsia"/>
              </w:rPr>
              <w:t>/</w:t>
            </w:r>
          </w:p>
        </w:tc>
      </w:tr>
      <w:tr w:rsidR="00E579B9" w14:paraId="03B1A753" w14:textId="77777777">
        <w:trPr>
          <w:cantSplit/>
          <w:trHeight w:val="20"/>
          <w:jc w:val="center"/>
        </w:trPr>
        <w:tc>
          <w:tcPr>
            <w:tcW w:w="675" w:type="dxa"/>
            <w:shd w:val="clear" w:color="auto" w:fill="auto"/>
            <w:vAlign w:val="center"/>
          </w:tcPr>
          <w:p w14:paraId="2993FD10" w14:textId="77777777" w:rsidR="00E579B9" w:rsidRDefault="00E579B9">
            <w:pPr>
              <w:pStyle w:val="aa"/>
              <w:numPr>
                <w:ilvl w:val="0"/>
                <w:numId w:val="4"/>
              </w:numPr>
            </w:pPr>
          </w:p>
        </w:tc>
        <w:tc>
          <w:tcPr>
            <w:tcW w:w="2835" w:type="dxa"/>
            <w:shd w:val="clear" w:color="auto" w:fill="auto"/>
            <w:vAlign w:val="center"/>
          </w:tcPr>
          <w:p w14:paraId="2D601D57" w14:textId="77777777" w:rsidR="00E579B9" w:rsidRDefault="006A1398">
            <w:pPr>
              <w:pStyle w:val="aa"/>
            </w:pPr>
            <w:r>
              <w:t>年所得税</w:t>
            </w:r>
          </w:p>
        </w:tc>
        <w:tc>
          <w:tcPr>
            <w:tcW w:w="993" w:type="dxa"/>
            <w:shd w:val="clear" w:color="auto" w:fill="auto"/>
            <w:vAlign w:val="center"/>
          </w:tcPr>
          <w:p w14:paraId="5B5253DE" w14:textId="77777777" w:rsidR="00E579B9" w:rsidRDefault="006A1398">
            <w:pPr>
              <w:pStyle w:val="aa"/>
            </w:pPr>
            <w:r>
              <w:t>万元</w:t>
            </w:r>
          </w:p>
        </w:tc>
        <w:tc>
          <w:tcPr>
            <w:tcW w:w="2438" w:type="dxa"/>
            <w:shd w:val="clear" w:color="auto" w:fill="auto"/>
            <w:vAlign w:val="center"/>
          </w:tcPr>
          <w:p w14:paraId="00684D82" w14:textId="77777777" w:rsidR="00E579B9" w:rsidRDefault="006A1398">
            <w:pPr>
              <w:pStyle w:val="aa"/>
            </w:pPr>
            <w:r>
              <w:t>1195.17</w:t>
            </w:r>
          </w:p>
        </w:tc>
        <w:tc>
          <w:tcPr>
            <w:tcW w:w="2005" w:type="dxa"/>
            <w:shd w:val="clear" w:color="auto" w:fill="auto"/>
            <w:vAlign w:val="center"/>
          </w:tcPr>
          <w:p w14:paraId="3C72303F" w14:textId="77777777" w:rsidR="00E579B9" w:rsidRDefault="006A1398">
            <w:pPr>
              <w:pStyle w:val="aa"/>
            </w:pPr>
            <w:r>
              <w:rPr>
                <w:rFonts w:hint="eastAsia"/>
              </w:rPr>
              <w:t>/</w:t>
            </w:r>
          </w:p>
        </w:tc>
      </w:tr>
      <w:tr w:rsidR="00E579B9" w14:paraId="713B2A70" w14:textId="77777777">
        <w:trPr>
          <w:cantSplit/>
          <w:trHeight w:val="20"/>
          <w:jc w:val="center"/>
        </w:trPr>
        <w:tc>
          <w:tcPr>
            <w:tcW w:w="675" w:type="dxa"/>
            <w:shd w:val="clear" w:color="auto" w:fill="auto"/>
            <w:vAlign w:val="center"/>
          </w:tcPr>
          <w:p w14:paraId="516CD31F" w14:textId="77777777" w:rsidR="00E579B9" w:rsidRDefault="00E579B9">
            <w:pPr>
              <w:pStyle w:val="aa"/>
              <w:numPr>
                <w:ilvl w:val="0"/>
                <w:numId w:val="4"/>
              </w:numPr>
            </w:pPr>
          </w:p>
        </w:tc>
        <w:tc>
          <w:tcPr>
            <w:tcW w:w="2835" w:type="dxa"/>
            <w:shd w:val="clear" w:color="auto" w:fill="auto"/>
            <w:vAlign w:val="center"/>
          </w:tcPr>
          <w:p w14:paraId="56EC4066" w14:textId="77777777" w:rsidR="00E579B9" w:rsidRDefault="006A1398">
            <w:pPr>
              <w:pStyle w:val="aa"/>
            </w:pPr>
            <w:r>
              <w:t>年净利润</w:t>
            </w:r>
          </w:p>
        </w:tc>
        <w:tc>
          <w:tcPr>
            <w:tcW w:w="993" w:type="dxa"/>
            <w:shd w:val="clear" w:color="auto" w:fill="auto"/>
            <w:vAlign w:val="center"/>
          </w:tcPr>
          <w:p w14:paraId="406F77B9" w14:textId="77777777" w:rsidR="00E579B9" w:rsidRDefault="006A1398">
            <w:pPr>
              <w:pStyle w:val="aa"/>
            </w:pPr>
            <w:r>
              <w:t>万元</w:t>
            </w:r>
          </w:p>
        </w:tc>
        <w:tc>
          <w:tcPr>
            <w:tcW w:w="2438" w:type="dxa"/>
            <w:shd w:val="clear" w:color="auto" w:fill="auto"/>
            <w:vAlign w:val="center"/>
          </w:tcPr>
          <w:p w14:paraId="0F50D8EA" w14:textId="77777777" w:rsidR="00E579B9" w:rsidRDefault="006A1398">
            <w:pPr>
              <w:pStyle w:val="aa"/>
            </w:pPr>
            <w:r>
              <w:t>3585.49</w:t>
            </w:r>
          </w:p>
        </w:tc>
        <w:tc>
          <w:tcPr>
            <w:tcW w:w="2005" w:type="dxa"/>
            <w:shd w:val="clear" w:color="auto" w:fill="auto"/>
            <w:vAlign w:val="center"/>
          </w:tcPr>
          <w:p w14:paraId="2B9E4148" w14:textId="77777777" w:rsidR="00E579B9" w:rsidRDefault="006A1398">
            <w:pPr>
              <w:pStyle w:val="aa"/>
            </w:pPr>
            <w:r>
              <w:rPr>
                <w:rFonts w:hint="eastAsia"/>
              </w:rPr>
              <w:t>/</w:t>
            </w:r>
          </w:p>
        </w:tc>
      </w:tr>
      <w:tr w:rsidR="00E579B9" w14:paraId="272459E6" w14:textId="77777777">
        <w:trPr>
          <w:cantSplit/>
          <w:trHeight w:val="20"/>
          <w:jc w:val="center"/>
        </w:trPr>
        <w:tc>
          <w:tcPr>
            <w:tcW w:w="675" w:type="dxa"/>
            <w:shd w:val="clear" w:color="auto" w:fill="auto"/>
            <w:vAlign w:val="center"/>
          </w:tcPr>
          <w:p w14:paraId="05D80F3D" w14:textId="77777777" w:rsidR="00E579B9" w:rsidRDefault="00E579B9">
            <w:pPr>
              <w:pStyle w:val="aa"/>
              <w:numPr>
                <w:ilvl w:val="0"/>
                <w:numId w:val="4"/>
              </w:numPr>
            </w:pPr>
          </w:p>
        </w:tc>
        <w:tc>
          <w:tcPr>
            <w:tcW w:w="2835" w:type="dxa"/>
            <w:shd w:val="clear" w:color="auto" w:fill="auto"/>
            <w:vAlign w:val="center"/>
          </w:tcPr>
          <w:p w14:paraId="4CCD5713" w14:textId="77777777" w:rsidR="00E579B9" w:rsidRDefault="006A1398">
            <w:pPr>
              <w:pStyle w:val="aa"/>
            </w:pPr>
            <w:r>
              <w:rPr>
                <w:bCs/>
              </w:rPr>
              <w:t>静态</w:t>
            </w:r>
            <w:r>
              <w:t>投资回收期</w:t>
            </w:r>
          </w:p>
        </w:tc>
        <w:tc>
          <w:tcPr>
            <w:tcW w:w="993" w:type="dxa"/>
            <w:shd w:val="clear" w:color="auto" w:fill="auto"/>
            <w:vAlign w:val="center"/>
          </w:tcPr>
          <w:p w14:paraId="7C924B6A" w14:textId="77777777" w:rsidR="00E579B9" w:rsidRDefault="006A1398">
            <w:pPr>
              <w:pStyle w:val="aa"/>
            </w:pPr>
            <w:r>
              <w:t>年</w:t>
            </w:r>
          </w:p>
        </w:tc>
        <w:tc>
          <w:tcPr>
            <w:tcW w:w="2438" w:type="dxa"/>
            <w:shd w:val="clear" w:color="auto" w:fill="auto"/>
            <w:vAlign w:val="center"/>
          </w:tcPr>
          <w:p w14:paraId="136427B5" w14:textId="77777777" w:rsidR="00E579B9" w:rsidRDefault="006A1398">
            <w:pPr>
              <w:pStyle w:val="aa"/>
            </w:pPr>
            <w:r>
              <w:t>2.6</w:t>
            </w:r>
          </w:p>
        </w:tc>
        <w:tc>
          <w:tcPr>
            <w:tcW w:w="2005" w:type="dxa"/>
            <w:shd w:val="clear" w:color="auto" w:fill="auto"/>
            <w:vAlign w:val="center"/>
          </w:tcPr>
          <w:p w14:paraId="04540A86" w14:textId="77777777" w:rsidR="00E579B9" w:rsidRDefault="006A1398">
            <w:pPr>
              <w:pStyle w:val="aa"/>
            </w:pPr>
            <w:r>
              <w:rPr>
                <w:rFonts w:hint="eastAsia"/>
              </w:rPr>
              <w:t>/</w:t>
            </w:r>
          </w:p>
        </w:tc>
      </w:tr>
      <w:tr w:rsidR="00E579B9" w14:paraId="35196E87" w14:textId="77777777">
        <w:trPr>
          <w:cantSplit/>
          <w:trHeight w:val="20"/>
          <w:jc w:val="center"/>
        </w:trPr>
        <w:tc>
          <w:tcPr>
            <w:tcW w:w="675" w:type="dxa"/>
            <w:shd w:val="clear" w:color="auto" w:fill="auto"/>
            <w:vAlign w:val="center"/>
          </w:tcPr>
          <w:p w14:paraId="38998E45" w14:textId="77777777" w:rsidR="00E579B9" w:rsidRDefault="00E579B9">
            <w:pPr>
              <w:pStyle w:val="aa"/>
              <w:numPr>
                <w:ilvl w:val="0"/>
                <w:numId w:val="4"/>
              </w:numPr>
            </w:pPr>
          </w:p>
        </w:tc>
        <w:tc>
          <w:tcPr>
            <w:tcW w:w="2835" w:type="dxa"/>
            <w:shd w:val="clear" w:color="auto" w:fill="auto"/>
            <w:vAlign w:val="center"/>
          </w:tcPr>
          <w:p w14:paraId="75F3AC01" w14:textId="77777777" w:rsidR="00E579B9" w:rsidRDefault="006A1398">
            <w:pPr>
              <w:pStyle w:val="aa"/>
            </w:pPr>
            <w:r>
              <w:t>劳动定员</w:t>
            </w:r>
          </w:p>
        </w:tc>
        <w:tc>
          <w:tcPr>
            <w:tcW w:w="993" w:type="dxa"/>
            <w:shd w:val="clear" w:color="auto" w:fill="auto"/>
            <w:vAlign w:val="center"/>
          </w:tcPr>
          <w:p w14:paraId="201A9262" w14:textId="77777777" w:rsidR="00E579B9" w:rsidRDefault="006A1398">
            <w:pPr>
              <w:pStyle w:val="aa"/>
            </w:pPr>
            <w:r>
              <w:t>人</w:t>
            </w:r>
          </w:p>
        </w:tc>
        <w:tc>
          <w:tcPr>
            <w:tcW w:w="2438" w:type="dxa"/>
            <w:shd w:val="clear" w:color="auto" w:fill="auto"/>
            <w:vAlign w:val="center"/>
          </w:tcPr>
          <w:p w14:paraId="366E825C" w14:textId="77777777" w:rsidR="00E579B9" w:rsidRDefault="006A1398">
            <w:pPr>
              <w:pStyle w:val="aa"/>
              <w:rPr>
                <w:highlight w:val="yellow"/>
              </w:rPr>
            </w:pPr>
            <w:r>
              <w:t>159</w:t>
            </w:r>
          </w:p>
        </w:tc>
        <w:tc>
          <w:tcPr>
            <w:tcW w:w="2005" w:type="dxa"/>
            <w:shd w:val="clear" w:color="auto" w:fill="auto"/>
            <w:vAlign w:val="center"/>
          </w:tcPr>
          <w:p w14:paraId="488BC535" w14:textId="77777777" w:rsidR="00E579B9" w:rsidRDefault="006A1398">
            <w:pPr>
              <w:pStyle w:val="aa"/>
            </w:pPr>
            <w:r>
              <w:rPr>
                <w:rFonts w:hint="eastAsia"/>
              </w:rPr>
              <w:t>/</w:t>
            </w:r>
          </w:p>
        </w:tc>
      </w:tr>
      <w:tr w:rsidR="00E579B9" w14:paraId="34892C96" w14:textId="77777777">
        <w:trPr>
          <w:cantSplit/>
          <w:trHeight w:val="20"/>
          <w:jc w:val="center"/>
        </w:trPr>
        <w:tc>
          <w:tcPr>
            <w:tcW w:w="675" w:type="dxa"/>
            <w:shd w:val="clear" w:color="auto" w:fill="auto"/>
            <w:vAlign w:val="center"/>
          </w:tcPr>
          <w:p w14:paraId="2BB1F694" w14:textId="77777777" w:rsidR="00E579B9" w:rsidRDefault="00E579B9">
            <w:pPr>
              <w:pStyle w:val="aa"/>
              <w:numPr>
                <w:ilvl w:val="0"/>
                <w:numId w:val="4"/>
              </w:numPr>
            </w:pPr>
          </w:p>
        </w:tc>
        <w:tc>
          <w:tcPr>
            <w:tcW w:w="2835" w:type="dxa"/>
            <w:shd w:val="clear" w:color="auto" w:fill="auto"/>
            <w:vAlign w:val="center"/>
          </w:tcPr>
          <w:p w14:paraId="654D54D2" w14:textId="77777777" w:rsidR="00E579B9" w:rsidRDefault="006A1398">
            <w:pPr>
              <w:pStyle w:val="aa"/>
            </w:pPr>
            <w:r>
              <w:t>全员劳动生产率</w:t>
            </w:r>
          </w:p>
        </w:tc>
        <w:tc>
          <w:tcPr>
            <w:tcW w:w="993" w:type="dxa"/>
            <w:shd w:val="clear" w:color="auto" w:fill="auto"/>
            <w:vAlign w:val="center"/>
          </w:tcPr>
          <w:p w14:paraId="62BBD9F3" w14:textId="77777777" w:rsidR="00E579B9" w:rsidRDefault="006A1398">
            <w:pPr>
              <w:pStyle w:val="aa"/>
            </w:pPr>
            <w:r>
              <w:t>万</w:t>
            </w:r>
            <w:r>
              <w:t>t/</w:t>
            </w:r>
            <w:r>
              <w:t>人</w:t>
            </w:r>
            <w:r>
              <w:t>a</w:t>
            </w:r>
          </w:p>
        </w:tc>
        <w:tc>
          <w:tcPr>
            <w:tcW w:w="2438" w:type="dxa"/>
            <w:shd w:val="clear" w:color="auto" w:fill="auto"/>
            <w:vAlign w:val="center"/>
          </w:tcPr>
          <w:p w14:paraId="5BA51B10" w14:textId="77777777" w:rsidR="00E579B9" w:rsidRDefault="006A1398">
            <w:pPr>
              <w:pStyle w:val="aa"/>
              <w:rPr>
                <w:highlight w:val="yellow"/>
              </w:rPr>
            </w:pPr>
            <w:r>
              <w:t>4.4</w:t>
            </w:r>
          </w:p>
        </w:tc>
        <w:tc>
          <w:tcPr>
            <w:tcW w:w="2005" w:type="dxa"/>
            <w:shd w:val="clear" w:color="auto" w:fill="auto"/>
            <w:vAlign w:val="center"/>
          </w:tcPr>
          <w:p w14:paraId="680C2235" w14:textId="77777777" w:rsidR="00E579B9" w:rsidRDefault="006A1398">
            <w:pPr>
              <w:pStyle w:val="aa"/>
            </w:pPr>
            <w:r>
              <w:rPr>
                <w:rFonts w:hint="eastAsia"/>
              </w:rPr>
              <w:t>/</w:t>
            </w:r>
          </w:p>
        </w:tc>
      </w:tr>
      <w:tr w:rsidR="00E579B9" w14:paraId="34F116E8" w14:textId="77777777">
        <w:trPr>
          <w:cantSplit/>
          <w:trHeight w:val="20"/>
          <w:jc w:val="center"/>
        </w:trPr>
        <w:tc>
          <w:tcPr>
            <w:tcW w:w="675" w:type="dxa"/>
            <w:shd w:val="clear" w:color="auto" w:fill="auto"/>
            <w:vAlign w:val="center"/>
          </w:tcPr>
          <w:p w14:paraId="0D804E76" w14:textId="77777777" w:rsidR="00E579B9" w:rsidRDefault="00E579B9">
            <w:pPr>
              <w:pStyle w:val="aa"/>
              <w:numPr>
                <w:ilvl w:val="0"/>
                <w:numId w:val="4"/>
              </w:numPr>
            </w:pPr>
          </w:p>
        </w:tc>
        <w:tc>
          <w:tcPr>
            <w:tcW w:w="2835" w:type="dxa"/>
            <w:shd w:val="clear" w:color="auto" w:fill="auto"/>
            <w:vAlign w:val="center"/>
          </w:tcPr>
          <w:p w14:paraId="0E4EC1CA" w14:textId="77777777" w:rsidR="00E579B9" w:rsidRDefault="006A1398">
            <w:pPr>
              <w:pStyle w:val="aa"/>
            </w:pPr>
            <w:r>
              <w:rPr>
                <w:rFonts w:hint="eastAsia"/>
              </w:rPr>
              <w:t>固废综合利用率</w:t>
            </w:r>
          </w:p>
        </w:tc>
        <w:tc>
          <w:tcPr>
            <w:tcW w:w="993" w:type="dxa"/>
            <w:shd w:val="clear" w:color="auto" w:fill="auto"/>
            <w:vAlign w:val="center"/>
          </w:tcPr>
          <w:p w14:paraId="7E6D0958" w14:textId="77777777" w:rsidR="00E579B9" w:rsidRDefault="006A1398">
            <w:pPr>
              <w:pStyle w:val="aa"/>
            </w:pPr>
            <w:r>
              <w:rPr>
                <w:rFonts w:hint="eastAsia"/>
              </w:rPr>
              <w:t>%</w:t>
            </w:r>
          </w:p>
        </w:tc>
        <w:tc>
          <w:tcPr>
            <w:tcW w:w="2438" w:type="dxa"/>
            <w:shd w:val="clear" w:color="auto" w:fill="auto"/>
            <w:vAlign w:val="center"/>
          </w:tcPr>
          <w:p w14:paraId="380C6031" w14:textId="77777777" w:rsidR="00E579B9" w:rsidRDefault="006A1398">
            <w:pPr>
              <w:pStyle w:val="aa"/>
            </w:pPr>
            <w:r>
              <w:rPr>
                <w:rFonts w:hint="eastAsia"/>
              </w:rPr>
              <w:t>1</w:t>
            </w:r>
            <w:r>
              <w:t>00</w:t>
            </w:r>
          </w:p>
        </w:tc>
        <w:tc>
          <w:tcPr>
            <w:tcW w:w="2005" w:type="dxa"/>
            <w:shd w:val="clear" w:color="auto" w:fill="auto"/>
            <w:vAlign w:val="center"/>
          </w:tcPr>
          <w:p w14:paraId="4DD30EF1" w14:textId="77777777" w:rsidR="00E579B9" w:rsidRDefault="006A1398">
            <w:pPr>
              <w:pStyle w:val="aa"/>
            </w:pPr>
            <w:r>
              <w:rPr>
                <w:rFonts w:hint="eastAsia"/>
              </w:rPr>
              <w:t>/</w:t>
            </w:r>
          </w:p>
        </w:tc>
      </w:tr>
    </w:tbl>
    <w:p w14:paraId="20089694" w14:textId="403FF0B0" w:rsidR="00E579B9" w:rsidRDefault="0003710F">
      <w:pPr>
        <w:pStyle w:val="3"/>
        <w:ind w:firstLine="560"/>
      </w:pPr>
      <w:bookmarkStart w:id="101" w:name="_Toc27557"/>
      <w:bookmarkStart w:id="102" w:name="_Toc531939314"/>
      <w:r>
        <w:t>3.2</w:t>
      </w:r>
      <w:r w:rsidR="006A1398">
        <w:t>.10</w:t>
      </w:r>
      <w:r w:rsidR="006A1398">
        <w:rPr>
          <w:rFonts w:hint="eastAsia"/>
        </w:rPr>
        <w:t>工程土石方量</w:t>
      </w:r>
    </w:p>
    <w:p w14:paraId="04856C82" w14:textId="7F835D23" w:rsidR="00E579B9" w:rsidRDefault="0003710F">
      <w:r>
        <w:rPr>
          <w:rFonts w:hint="eastAsia"/>
        </w:rPr>
        <w:t>3.2</w:t>
      </w:r>
      <w:r w:rsidR="006A1398">
        <w:rPr>
          <w:rFonts w:hint="eastAsia"/>
        </w:rPr>
        <w:t>.10.1</w:t>
      </w:r>
      <w:r w:rsidR="006A1398">
        <w:rPr>
          <w:rFonts w:hint="eastAsia"/>
        </w:rPr>
        <w:t>土石方平衡</w:t>
      </w:r>
    </w:p>
    <w:p w14:paraId="0DA0684F" w14:textId="77777777" w:rsidR="00E579B9" w:rsidRDefault="006A1398">
      <w:r>
        <w:rPr>
          <w:rFonts w:hint="eastAsia"/>
        </w:rPr>
        <w:t>建设期露天采场开挖土方</w:t>
      </w:r>
      <w:r>
        <w:rPr>
          <w:rFonts w:hint="eastAsia"/>
        </w:rPr>
        <w:t>1.162</w:t>
      </w:r>
      <w:r>
        <w:rPr>
          <w:rFonts w:hint="eastAsia"/>
        </w:rPr>
        <w:t>万</w:t>
      </w:r>
      <w:r>
        <w:rPr>
          <w:szCs w:val="24"/>
        </w:rPr>
        <w:t>t</w:t>
      </w:r>
      <w:r>
        <w:rPr>
          <w:rFonts w:hint="eastAsia"/>
          <w:szCs w:val="24"/>
        </w:rPr>
        <w:t>；运输道路修整开挖土方</w:t>
      </w:r>
      <w:r>
        <w:rPr>
          <w:rFonts w:hint="eastAsia"/>
          <w:szCs w:val="24"/>
        </w:rPr>
        <w:t>0.42</w:t>
      </w:r>
      <w:r>
        <w:rPr>
          <w:rFonts w:hint="eastAsia"/>
          <w:szCs w:val="24"/>
        </w:rPr>
        <w:t>万</w:t>
      </w:r>
      <w:r>
        <w:t>t</w:t>
      </w:r>
      <w:r>
        <w:rPr>
          <w:rFonts w:hint="eastAsia"/>
          <w:szCs w:val="24"/>
        </w:rPr>
        <w:t>、石方</w:t>
      </w:r>
      <w:r>
        <w:rPr>
          <w:rFonts w:hint="eastAsia"/>
          <w:szCs w:val="24"/>
        </w:rPr>
        <w:t>0.785</w:t>
      </w:r>
      <w:r>
        <w:rPr>
          <w:rFonts w:hint="eastAsia"/>
          <w:szCs w:val="24"/>
        </w:rPr>
        <w:t>万</w:t>
      </w:r>
      <w:r>
        <w:t>t</w:t>
      </w:r>
      <w:r>
        <w:rPr>
          <w:rFonts w:hint="eastAsia"/>
        </w:rPr>
        <w:t>；破碎场地</w:t>
      </w:r>
      <w:r>
        <w:rPr>
          <w:rFonts w:hint="eastAsia"/>
          <w:szCs w:val="24"/>
        </w:rPr>
        <w:t>开挖土方</w:t>
      </w:r>
      <w:r>
        <w:rPr>
          <w:rFonts w:hint="eastAsia"/>
          <w:szCs w:val="24"/>
        </w:rPr>
        <w:t>0.072</w:t>
      </w:r>
      <w:r>
        <w:rPr>
          <w:rFonts w:hint="eastAsia"/>
          <w:szCs w:val="24"/>
        </w:rPr>
        <w:t>万</w:t>
      </w:r>
      <w:r>
        <w:t>t</w:t>
      </w:r>
      <w:r>
        <w:rPr>
          <w:rFonts w:hint="eastAsia"/>
          <w:szCs w:val="24"/>
        </w:rPr>
        <w:t>、石方</w:t>
      </w:r>
      <w:r>
        <w:rPr>
          <w:rFonts w:hint="eastAsia"/>
          <w:szCs w:val="24"/>
        </w:rPr>
        <w:t>0.08</w:t>
      </w:r>
      <w:r>
        <w:rPr>
          <w:rFonts w:hint="eastAsia"/>
          <w:szCs w:val="24"/>
        </w:rPr>
        <w:t>万</w:t>
      </w:r>
      <w:r>
        <w:t>t</w:t>
      </w:r>
      <w:r>
        <w:rPr>
          <w:rFonts w:hint="eastAsia"/>
        </w:rPr>
        <w:t>；临时堆场</w:t>
      </w:r>
      <w:r>
        <w:rPr>
          <w:rFonts w:hint="eastAsia"/>
          <w:szCs w:val="24"/>
        </w:rPr>
        <w:t>开挖土方</w:t>
      </w:r>
      <w:r>
        <w:rPr>
          <w:rFonts w:hint="eastAsia"/>
          <w:szCs w:val="24"/>
        </w:rPr>
        <w:t>0.8</w:t>
      </w:r>
      <w:r>
        <w:rPr>
          <w:rFonts w:hint="eastAsia"/>
          <w:szCs w:val="24"/>
        </w:rPr>
        <w:t>万</w:t>
      </w:r>
      <w:r>
        <w:t>t</w:t>
      </w:r>
      <w:r>
        <w:rPr>
          <w:rFonts w:hint="eastAsia"/>
        </w:rPr>
        <w:t>。</w:t>
      </w:r>
    </w:p>
    <w:p w14:paraId="5DCE5133" w14:textId="77777777" w:rsidR="00E579B9" w:rsidRDefault="006A1398">
      <w:r>
        <w:rPr>
          <w:rFonts w:hint="eastAsia"/>
        </w:rPr>
        <w:t>运营期采场年剥离石方</w:t>
      </w:r>
      <w:r>
        <w:rPr>
          <w:rFonts w:hint="eastAsia"/>
        </w:rPr>
        <w:t>242.11</w:t>
      </w:r>
      <w:r>
        <w:rPr>
          <w:rFonts w:hint="eastAsia"/>
        </w:rPr>
        <w:t>万</w:t>
      </w:r>
      <w:r>
        <w:t>t</w:t>
      </w:r>
      <w:r>
        <w:rPr>
          <w:rFonts w:hint="eastAsia"/>
        </w:rPr>
        <w:t>，土方</w:t>
      </w:r>
      <w:r>
        <w:rPr>
          <w:rFonts w:hint="eastAsia"/>
        </w:rPr>
        <w:t>6.448</w:t>
      </w:r>
      <w:r>
        <w:rPr>
          <w:rFonts w:hint="eastAsia"/>
        </w:rPr>
        <w:t>万</w:t>
      </w:r>
      <w:r>
        <w:t>t</w:t>
      </w:r>
      <w:r>
        <w:rPr>
          <w:rFonts w:hint="eastAsia"/>
        </w:rPr>
        <w:t>；石方中</w:t>
      </w:r>
      <w:r>
        <w:rPr>
          <w:rFonts w:hint="eastAsia"/>
        </w:rPr>
        <w:t>230</w:t>
      </w:r>
      <w:r>
        <w:rPr>
          <w:rFonts w:hint="eastAsia"/>
        </w:rPr>
        <w:t>万</w:t>
      </w:r>
      <w:r>
        <w:t>t</w:t>
      </w:r>
      <w:r>
        <w:rPr>
          <w:rFonts w:hint="eastAsia"/>
        </w:rPr>
        <w:t>铲装后送往破碎场地破碎后外售</w:t>
      </w:r>
      <w:r>
        <w:rPr>
          <w:rFonts w:hint="eastAsia"/>
          <w:szCs w:val="24"/>
        </w:rPr>
        <w:t>，</w:t>
      </w:r>
      <w:r>
        <w:rPr>
          <w:rFonts w:hint="eastAsia"/>
          <w:szCs w:val="24"/>
        </w:rPr>
        <w:t>12.11</w:t>
      </w:r>
      <w:r>
        <w:rPr>
          <w:rFonts w:hint="eastAsia"/>
          <w:szCs w:val="24"/>
        </w:rPr>
        <w:t>万</w:t>
      </w:r>
      <w:r>
        <w:rPr>
          <w:szCs w:val="24"/>
        </w:rPr>
        <w:t>t</w:t>
      </w:r>
      <w:r>
        <w:rPr>
          <w:rFonts w:hint="eastAsia"/>
          <w:szCs w:val="24"/>
        </w:rPr>
        <w:t>为废石外</w:t>
      </w:r>
      <w:proofErr w:type="gramStart"/>
      <w:r>
        <w:rPr>
          <w:rFonts w:hint="eastAsia"/>
          <w:szCs w:val="24"/>
        </w:rPr>
        <w:t>售运输至临时</w:t>
      </w:r>
      <w:proofErr w:type="gramEnd"/>
      <w:r>
        <w:rPr>
          <w:rFonts w:hint="eastAsia"/>
          <w:szCs w:val="24"/>
        </w:rPr>
        <w:t>堆场综合利用</w:t>
      </w:r>
      <w:r>
        <w:rPr>
          <w:rFonts w:hint="eastAsia"/>
        </w:rPr>
        <w:t>。项目土石方情况见下表。</w:t>
      </w:r>
    </w:p>
    <w:p w14:paraId="4F0DFBB3" w14:textId="2161A4AC" w:rsidR="00E579B9" w:rsidRDefault="006A1398">
      <w:pPr>
        <w:spacing w:line="520" w:lineRule="exact"/>
        <w:ind w:firstLineChars="98" w:firstLine="236"/>
        <w:jc w:val="center"/>
        <w:rPr>
          <w:b/>
        </w:rPr>
      </w:pPr>
      <w:r>
        <w:rPr>
          <w:rFonts w:hint="eastAsia"/>
          <w:b/>
        </w:rPr>
        <w:t>表</w:t>
      </w:r>
      <w:r w:rsidR="0003710F">
        <w:rPr>
          <w:rFonts w:hint="eastAsia"/>
          <w:b/>
        </w:rPr>
        <w:t>3.2</w:t>
      </w:r>
      <w:r>
        <w:rPr>
          <w:b/>
        </w:rPr>
        <w:t>-</w:t>
      </w:r>
      <w:r>
        <w:rPr>
          <w:rFonts w:hint="eastAsia"/>
          <w:b/>
        </w:rPr>
        <w:t>7</w:t>
      </w:r>
      <w:r>
        <w:rPr>
          <w:rFonts w:hint="eastAsia"/>
          <w:b/>
        </w:rPr>
        <w:t>土石方情况一览表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445"/>
        <w:gridCol w:w="1701"/>
        <w:gridCol w:w="1134"/>
        <w:gridCol w:w="992"/>
        <w:gridCol w:w="2290"/>
      </w:tblGrid>
      <w:tr w:rsidR="00E579B9" w14:paraId="32EFE5F8" w14:textId="77777777">
        <w:trPr>
          <w:trHeight w:val="454"/>
          <w:jc w:val="center"/>
        </w:trPr>
        <w:tc>
          <w:tcPr>
            <w:tcW w:w="960" w:type="dxa"/>
            <w:tcBorders>
              <w:top w:val="single" w:sz="4" w:space="0" w:color="auto"/>
              <w:left w:val="single" w:sz="4" w:space="0" w:color="auto"/>
              <w:bottom w:val="single" w:sz="4" w:space="0" w:color="auto"/>
              <w:right w:val="single" w:sz="4" w:space="0" w:color="auto"/>
            </w:tcBorders>
            <w:vAlign w:val="center"/>
          </w:tcPr>
          <w:p w14:paraId="667DEAA0" w14:textId="77777777" w:rsidR="00E579B9" w:rsidRDefault="006A1398">
            <w:pPr>
              <w:pStyle w:val="aa"/>
            </w:pPr>
            <w:r>
              <w:t>范围</w:t>
            </w: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079EEBD9" w14:textId="77777777" w:rsidR="00E579B9" w:rsidRDefault="006A1398">
            <w:pPr>
              <w:pStyle w:val="aa"/>
            </w:pPr>
            <w:r>
              <w:t>项目</w:t>
            </w:r>
          </w:p>
        </w:tc>
        <w:tc>
          <w:tcPr>
            <w:tcW w:w="1134" w:type="dxa"/>
            <w:tcBorders>
              <w:top w:val="single" w:sz="4" w:space="0" w:color="auto"/>
              <w:left w:val="single" w:sz="4" w:space="0" w:color="auto"/>
              <w:bottom w:val="single" w:sz="4" w:space="0" w:color="auto"/>
              <w:right w:val="single" w:sz="4" w:space="0" w:color="auto"/>
            </w:tcBorders>
            <w:vAlign w:val="center"/>
          </w:tcPr>
          <w:p w14:paraId="76CA90A3" w14:textId="77777777" w:rsidR="00E579B9" w:rsidRDefault="006A1398">
            <w:pPr>
              <w:pStyle w:val="aa"/>
            </w:pPr>
            <w:r>
              <w:t>数量</w:t>
            </w:r>
          </w:p>
        </w:tc>
        <w:tc>
          <w:tcPr>
            <w:tcW w:w="992" w:type="dxa"/>
            <w:tcBorders>
              <w:top w:val="single" w:sz="4" w:space="0" w:color="auto"/>
              <w:left w:val="single" w:sz="4" w:space="0" w:color="auto"/>
              <w:bottom w:val="single" w:sz="4" w:space="0" w:color="auto"/>
              <w:right w:val="single" w:sz="4" w:space="0" w:color="auto"/>
            </w:tcBorders>
            <w:vAlign w:val="center"/>
          </w:tcPr>
          <w:p w14:paraId="541BAEE1" w14:textId="77777777" w:rsidR="00E579B9" w:rsidRDefault="006A1398">
            <w:pPr>
              <w:pStyle w:val="aa"/>
            </w:pPr>
            <w:r>
              <w:t>单位</w:t>
            </w:r>
          </w:p>
        </w:tc>
        <w:tc>
          <w:tcPr>
            <w:tcW w:w="2290" w:type="dxa"/>
            <w:tcBorders>
              <w:top w:val="single" w:sz="4" w:space="0" w:color="auto"/>
              <w:left w:val="single" w:sz="4" w:space="0" w:color="auto"/>
              <w:bottom w:val="single" w:sz="4" w:space="0" w:color="auto"/>
              <w:right w:val="single" w:sz="4" w:space="0" w:color="auto"/>
            </w:tcBorders>
            <w:vAlign w:val="center"/>
          </w:tcPr>
          <w:p w14:paraId="4510DCB5" w14:textId="77777777" w:rsidR="00E579B9" w:rsidRDefault="006A1398">
            <w:pPr>
              <w:pStyle w:val="aa"/>
            </w:pPr>
            <w:r>
              <w:t>备注</w:t>
            </w:r>
          </w:p>
        </w:tc>
      </w:tr>
      <w:tr w:rsidR="00E579B9" w14:paraId="2AC64B7E" w14:textId="77777777">
        <w:trPr>
          <w:trHeight w:val="454"/>
          <w:jc w:val="center"/>
        </w:trPr>
        <w:tc>
          <w:tcPr>
            <w:tcW w:w="960" w:type="dxa"/>
            <w:vMerge w:val="restart"/>
            <w:tcBorders>
              <w:top w:val="single" w:sz="4" w:space="0" w:color="auto"/>
              <w:left w:val="single" w:sz="4" w:space="0" w:color="auto"/>
              <w:right w:val="single" w:sz="4" w:space="0" w:color="auto"/>
            </w:tcBorders>
            <w:vAlign w:val="center"/>
          </w:tcPr>
          <w:p w14:paraId="3856293F" w14:textId="77777777" w:rsidR="00E579B9" w:rsidRDefault="006A1398">
            <w:pPr>
              <w:pStyle w:val="aa"/>
            </w:pPr>
            <w:r>
              <w:t>施工期</w:t>
            </w:r>
          </w:p>
        </w:tc>
        <w:tc>
          <w:tcPr>
            <w:tcW w:w="1445" w:type="dxa"/>
            <w:tcBorders>
              <w:top w:val="single" w:sz="4" w:space="0" w:color="auto"/>
              <w:left w:val="single" w:sz="4" w:space="0" w:color="auto"/>
              <w:right w:val="single" w:sz="4" w:space="0" w:color="auto"/>
            </w:tcBorders>
            <w:vAlign w:val="center"/>
          </w:tcPr>
          <w:p w14:paraId="5C791AAB" w14:textId="77777777" w:rsidR="00E579B9" w:rsidRDefault="006A1398">
            <w:pPr>
              <w:pStyle w:val="aa"/>
            </w:pPr>
            <w:r>
              <w:rPr>
                <w:rFonts w:hint="eastAsia"/>
              </w:rPr>
              <w:t>露天采厂区</w:t>
            </w:r>
          </w:p>
        </w:tc>
        <w:tc>
          <w:tcPr>
            <w:tcW w:w="1701" w:type="dxa"/>
            <w:tcBorders>
              <w:top w:val="single" w:sz="4" w:space="0" w:color="auto"/>
              <w:left w:val="single" w:sz="4" w:space="0" w:color="auto"/>
              <w:bottom w:val="single" w:sz="4" w:space="0" w:color="auto"/>
              <w:right w:val="single" w:sz="4" w:space="0" w:color="auto"/>
            </w:tcBorders>
            <w:vAlign w:val="center"/>
          </w:tcPr>
          <w:p w14:paraId="2D010896" w14:textId="77777777" w:rsidR="00E579B9" w:rsidRDefault="006A1398">
            <w:pPr>
              <w:pStyle w:val="aa"/>
            </w:pPr>
            <w:r>
              <w:rPr>
                <w:rFonts w:hint="eastAsia"/>
              </w:rPr>
              <w:t>土方</w:t>
            </w:r>
          </w:p>
        </w:tc>
        <w:tc>
          <w:tcPr>
            <w:tcW w:w="1134" w:type="dxa"/>
            <w:tcBorders>
              <w:top w:val="single" w:sz="4" w:space="0" w:color="auto"/>
              <w:left w:val="single" w:sz="4" w:space="0" w:color="auto"/>
              <w:bottom w:val="single" w:sz="4" w:space="0" w:color="auto"/>
              <w:right w:val="single" w:sz="4" w:space="0" w:color="auto"/>
            </w:tcBorders>
            <w:vAlign w:val="center"/>
          </w:tcPr>
          <w:p w14:paraId="1BB31CA4" w14:textId="77777777" w:rsidR="00E579B9" w:rsidRDefault="006A1398">
            <w:pPr>
              <w:pStyle w:val="aa"/>
            </w:pPr>
            <w:r>
              <w:rPr>
                <w:rFonts w:hint="eastAsia"/>
              </w:rPr>
              <w:t>1.162</w:t>
            </w:r>
          </w:p>
        </w:tc>
        <w:tc>
          <w:tcPr>
            <w:tcW w:w="992" w:type="dxa"/>
            <w:tcBorders>
              <w:top w:val="single" w:sz="4" w:space="0" w:color="auto"/>
              <w:left w:val="single" w:sz="4" w:space="0" w:color="auto"/>
              <w:bottom w:val="single" w:sz="4" w:space="0" w:color="auto"/>
              <w:right w:val="single" w:sz="4" w:space="0" w:color="auto"/>
            </w:tcBorders>
            <w:vAlign w:val="center"/>
          </w:tcPr>
          <w:p w14:paraId="415E7141" w14:textId="77777777" w:rsidR="00E579B9" w:rsidRDefault="006A1398">
            <w:pPr>
              <w:pStyle w:val="aa"/>
            </w:pPr>
            <w:r>
              <w:rPr>
                <w:rFonts w:hint="eastAsia"/>
              </w:rPr>
              <w:t>10</w:t>
            </w:r>
            <w:r>
              <w:rPr>
                <w:rFonts w:hint="eastAsia"/>
                <w:vertAlign w:val="superscript"/>
              </w:rPr>
              <w:t>4</w:t>
            </w:r>
            <w:r>
              <w:t>t</w:t>
            </w:r>
          </w:p>
        </w:tc>
        <w:tc>
          <w:tcPr>
            <w:tcW w:w="2290" w:type="dxa"/>
            <w:tcBorders>
              <w:top w:val="single" w:sz="4" w:space="0" w:color="auto"/>
              <w:left w:val="single" w:sz="4" w:space="0" w:color="auto"/>
              <w:bottom w:val="single" w:sz="4" w:space="0" w:color="auto"/>
              <w:right w:val="single" w:sz="4" w:space="0" w:color="auto"/>
            </w:tcBorders>
            <w:vAlign w:val="center"/>
          </w:tcPr>
          <w:p w14:paraId="5F2BB4DC" w14:textId="77777777" w:rsidR="00E579B9" w:rsidRDefault="006A1398">
            <w:pPr>
              <w:pStyle w:val="aa"/>
            </w:pPr>
            <w:r>
              <w:rPr>
                <w:rFonts w:hint="eastAsia"/>
              </w:rPr>
              <w:t>进入临时堆场</w:t>
            </w:r>
          </w:p>
        </w:tc>
      </w:tr>
      <w:tr w:rsidR="00E579B9" w14:paraId="2B0BA71A" w14:textId="77777777">
        <w:trPr>
          <w:trHeight w:val="454"/>
          <w:jc w:val="center"/>
        </w:trPr>
        <w:tc>
          <w:tcPr>
            <w:tcW w:w="960" w:type="dxa"/>
            <w:vMerge/>
            <w:tcBorders>
              <w:left w:val="single" w:sz="4" w:space="0" w:color="auto"/>
              <w:right w:val="single" w:sz="4" w:space="0" w:color="auto"/>
            </w:tcBorders>
            <w:vAlign w:val="center"/>
          </w:tcPr>
          <w:p w14:paraId="144AE603" w14:textId="77777777" w:rsidR="00E579B9" w:rsidRDefault="00E579B9">
            <w:pPr>
              <w:pStyle w:val="aa"/>
            </w:pPr>
          </w:p>
        </w:tc>
        <w:tc>
          <w:tcPr>
            <w:tcW w:w="1445" w:type="dxa"/>
            <w:vMerge w:val="restart"/>
            <w:tcBorders>
              <w:left w:val="single" w:sz="4" w:space="0" w:color="auto"/>
              <w:right w:val="single" w:sz="4" w:space="0" w:color="auto"/>
            </w:tcBorders>
            <w:vAlign w:val="center"/>
          </w:tcPr>
          <w:p w14:paraId="1866AE46" w14:textId="77777777" w:rsidR="00E579B9" w:rsidRDefault="006A1398">
            <w:pPr>
              <w:pStyle w:val="aa"/>
            </w:pPr>
            <w:r>
              <w:t>矿区运输道路</w:t>
            </w:r>
          </w:p>
        </w:tc>
        <w:tc>
          <w:tcPr>
            <w:tcW w:w="1701" w:type="dxa"/>
            <w:tcBorders>
              <w:top w:val="single" w:sz="4" w:space="0" w:color="auto"/>
              <w:left w:val="single" w:sz="4" w:space="0" w:color="auto"/>
              <w:bottom w:val="single" w:sz="4" w:space="0" w:color="auto"/>
              <w:right w:val="single" w:sz="4" w:space="0" w:color="auto"/>
            </w:tcBorders>
            <w:vAlign w:val="center"/>
          </w:tcPr>
          <w:p w14:paraId="36387B36" w14:textId="77777777" w:rsidR="00E579B9" w:rsidRDefault="006A1398">
            <w:pPr>
              <w:pStyle w:val="aa"/>
            </w:pPr>
            <w:r>
              <w:t>土方</w:t>
            </w:r>
          </w:p>
        </w:tc>
        <w:tc>
          <w:tcPr>
            <w:tcW w:w="1134" w:type="dxa"/>
            <w:tcBorders>
              <w:top w:val="single" w:sz="4" w:space="0" w:color="auto"/>
              <w:left w:val="single" w:sz="4" w:space="0" w:color="auto"/>
              <w:bottom w:val="single" w:sz="4" w:space="0" w:color="auto"/>
              <w:right w:val="single" w:sz="4" w:space="0" w:color="auto"/>
            </w:tcBorders>
            <w:vAlign w:val="center"/>
          </w:tcPr>
          <w:p w14:paraId="2FDBA0E8" w14:textId="77777777" w:rsidR="00E579B9" w:rsidRDefault="006A1398">
            <w:pPr>
              <w:pStyle w:val="aa"/>
            </w:pPr>
            <w:r>
              <w:rPr>
                <w:rFonts w:hint="eastAsia"/>
              </w:rPr>
              <w:t>0.42</w:t>
            </w:r>
          </w:p>
        </w:tc>
        <w:tc>
          <w:tcPr>
            <w:tcW w:w="992" w:type="dxa"/>
            <w:tcBorders>
              <w:top w:val="single" w:sz="4" w:space="0" w:color="auto"/>
              <w:left w:val="single" w:sz="4" w:space="0" w:color="auto"/>
              <w:bottom w:val="single" w:sz="4" w:space="0" w:color="auto"/>
              <w:right w:val="single" w:sz="4" w:space="0" w:color="auto"/>
            </w:tcBorders>
            <w:vAlign w:val="center"/>
          </w:tcPr>
          <w:p w14:paraId="17B8B967" w14:textId="77777777" w:rsidR="00E579B9" w:rsidRDefault="006A1398">
            <w:pPr>
              <w:pStyle w:val="aa"/>
            </w:pPr>
            <w:r>
              <w:rPr>
                <w:rFonts w:hint="eastAsia"/>
              </w:rPr>
              <w:t>10</w:t>
            </w:r>
            <w:r>
              <w:rPr>
                <w:rFonts w:hint="eastAsia"/>
                <w:vertAlign w:val="superscript"/>
              </w:rPr>
              <w:t>4</w:t>
            </w:r>
            <w:r>
              <w:t>t</w:t>
            </w:r>
          </w:p>
        </w:tc>
        <w:tc>
          <w:tcPr>
            <w:tcW w:w="2290" w:type="dxa"/>
            <w:tcBorders>
              <w:top w:val="single" w:sz="4" w:space="0" w:color="auto"/>
              <w:left w:val="single" w:sz="4" w:space="0" w:color="auto"/>
              <w:bottom w:val="single" w:sz="4" w:space="0" w:color="auto"/>
              <w:right w:val="single" w:sz="4" w:space="0" w:color="auto"/>
            </w:tcBorders>
            <w:vAlign w:val="center"/>
          </w:tcPr>
          <w:p w14:paraId="24AD6515" w14:textId="77777777" w:rsidR="00E579B9" w:rsidRDefault="006A1398">
            <w:pPr>
              <w:pStyle w:val="aa"/>
            </w:pPr>
            <w:r>
              <w:rPr>
                <w:rFonts w:hint="eastAsia"/>
              </w:rPr>
              <w:t>进入临时堆场</w:t>
            </w:r>
          </w:p>
        </w:tc>
      </w:tr>
      <w:tr w:rsidR="00E579B9" w14:paraId="4DFF9010" w14:textId="77777777">
        <w:trPr>
          <w:trHeight w:val="454"/>
          <w:jc w:val="center"/>
        </w:trPr>
        <w:tc>
          <w:tcPr>
            <w:tcW w:w="960" w:type="dxa"/>
            <w:vMerge/>
            <w:tcBorders>
              <w:left w:val="single" w:sz="4" w:space="0" w:color="auto"/>
              <w:right w:val="single" w:sz="4" w:space="0" w:color="auto"/>
            </w:tcBorders>
            <w:vAlign w:val="center"/>
          </w:tcPr>
          <w:p w14:paraId="79166D6E" w14:textId="77777777" w:rsidR="00E579B9" w:rsidRDefault="00E579B9">
            <w:pPr>
              <w:pStyle w:val="aa"/>
            </w:pPr>
          </w:p>
        </w:tc>
        <w:tc>
          <w:tcPr>
            <w:tcW w:w="1445" w:type="dxa"/>
            <w:vMerge/>
            <w:tcBorders>
              <w:left w:val="single" w:sz="4" w:space="0" w:color="auto"/>
              <w:bottom w:val="single" w:sz="4" w:space="0" w:color="auto"/>
              <w:right w:val="single" w:sz="4" w:space="0" w:color="auto"/>
            </w:tcBorders>
            <w:vAlign w:val="center"/>
          </w:tcPr>
          <w:p w14:paraId="6C70FEC2" w14:textId="77777777" w:rsidR="00E579B9" w:rsidRDefault="00E579B9">
            <w:pPr>
              <w:pStyle w:val="aa"/>
            </w:pPr>
          </w:p>
        </w:tc>
        <w:tc>
          <w:tcPr>
            <w:tcW w:w="1701" w:type="dxa"/>
            <w:tcBorders>
              <w:top w:val="single" w:sz="4" w:space="0" w:color="auto"/>
              <w:left w:val="single" w:sz="4" w:space="0" w:color="auto"/>
              <w:bottom w:val="single" w:sz="4" w:space="0" w:color="auto"/>
              <w:right w:val="single" w:sz="4" w:space="0" w:color="auto"/>
            </w:tcBorders>
            <w:vAlign w:val="center"/>
          </w:tcPr>
          <w:p w14:paraId="45EA4499" w14:textId="77777777" w:rsidR="00E579B9" w:rsidRDefault="006A1398">
            <w:pPr>
              <w:pStyle w:val="aa"/>
            </w:pPr>
            <w:r>
              <w:t>石方（填方）</w:t>
            </w:r>
          </w:p>
        </w:tc>
        <w:tc>
          <w:tcPr>
            <w:tcW w:w="1134" w:type="dxa"/>
            <w:tcBorders>
              <w:top w:val="single" w:sz="4" w:space="0" w:color="auto"/>
              <w:left w:val="single" w:sz="4" w:space="0" w:color="auto"/>
              <w:bottom w:val="single" w:sz="4" w:space="0" w:color="auto"/>
              <w:right w:val="single" w:sz="4" w:space="0" w:color="auto"/>
            </w:tcBorders>
            <w:vAlign w:val="center"/>
          </w:tcPr>
          <w:p w14:paraId="47567F9E" w14:textId="77777777" w:rsidR="00E579B9" w:rsidRDefault="006A1398">
            <w:pPr>
              <w:pStyle w:val="aa"/>
            </w:pPr>
            <w:r>
              <w:rPr>
                <w:rFonts w:hint="eastAsia"/>
              </w:rPr>
              <w:t>0.78</w:t>
            </w:r>
            <w:r>
              <w:t>5</w:t>
            </w:r>
          </w:p>
        </w:tc>
        <w:tc>
          <w:tcPr>
            <w:tcW w:w="992" w:type="dxa"/>
            <w:tcBorders>
              <w:top w:val="single" w:sz="4" w:space="0" w:color="auto"/>
              <w:left w:val="single" w:sz="4" w:space="0" w:color="auto"/>
              <w:bottom w:val="single" w:sz="4" w:space="0" w:color="auto"/>
              <w:right w:val="single" w:sz="4" w:space="0" w:color="auto"/>
            </w:tcBorders>
            <w:vAlign w:val="center"/>
          </w:tcPr>
          <w:p w14:paraId="5C6AA8AA" w14:textId="77777777" w:rsidR="00E579B9" w:rsidRDefault="006A1398">
            <w:pPr>
              <w:pStyle w:val="aa"/>
            </w:pPr>
            <w:r>
              <w:rPr>
                <w:rFonts w:hint="eastAsia"/>
              </w:rPr>
              <w:t>10</w:t>
            </w:r>
            <w:r>
              <w:rPr>
                <w:rFonts w:hint="eastAsia"/>
                <w:vertAlign w:val="superscript"/>
              </w:rPr>
              <w:t>4</w:t>
            </w:r>
            <w:r>
              <w:t>t</w:t>
            </w:r>
          </w:p>
        </w:tc>
        <w:tc>
          <w:tcPr>
            <w:tcW w:w="2290" w:type="dxa"/>
            <w:tcBorders>
              <w:top w:val="single" w:sz="4" w:space="0" w:color="auto"/>
              <w:left w:val="single" w:sz="4" w:space="0" w:color="auto"/>
              <w:bottom w:val="single" w:sz="4" w:space="0" w:color="auto"/>
              <w:right w:val="single" w:sz="4" w:space="0" w:color="auto"/>
            </w:tcBorders>
            <w:vAlign w:val="center"/>
          </w:tcPr>
          <w:p w14:paraId="02D55A8D" w14:textId="77777777" w:rsidR="00E579B9" w:rsidRDefault="006A1398">
            <w:pPr>
              <w:pStyle w:val="aa"/>
            </w:pPr>
            <w:r>
              <w:rPr>
                <w:rFonts w:hint="eastAsia"/>
              </w:rPr>
              <w:t>综合利用</w:t>
            </w:r>
          </w:p>
        </w:tc>
      </w:tr>
      <w:tr w:rsidR="00E579B9" w14:paraId="184122C2" w14:textId="77777777">
        <w:trPr>
          <w:trHeight w:val="454"/>
          <w:jc w:val="center"/>
        </w:trPr>
        <w:tc>
          <w:tcPr>
            <w:tcW w:w="960" w:type="dxa"/>
            <w:vMerge/>
            <w:tcBorders>
              <w:left w:val="single" w:sz="4" w:space="0" w:color="auto"/>
              <w:right w:val="single" w:sz="4" w:space="0" w:color="auto"/>
            </w:tcBorders>
            <w:vAlign w:val="center"/>
          </w:tcPr>
          <w:p w14:paraId="6046A289" w14:textId="77777777" w:rsidR="00E579B9" w:rsidRDefault="00E579B9">
            <w:pPr>
              <w:pStyle w:val="aa"/>
            </w:pPr>
          </w:p>
        </w:tc>
        <w:tc>
          <w:tcPr>
            <w:tcW w:w="1445" w:type="dxa"/>
            <w:vMerge w:val="restart"/>
            <w:tcBorders>
              <w:left w:val="single" w:sz="4" w:space="0" w:color="auto"/>
              <w:right w:val="single" w:sz="4" w:space="0" w:color="auto"/>
            </w:tcBorders>
            <w:vAlign w:val="center"/>
          </w:tcPr>
          <w:p w14:paraId="10D641C2" w14:textId="77777777" w:rsidR="00E579B9" w:rsidRDefault="006A1398">
            <w:pPr>
              <w:pStyle w:val="aa"/>
            </w:pPr>
            <w:r>
              <w:rPr>
                <w:rFonts w:hint="eastAsia"/>
              </w:rPr>
              <w:t>工业场地</w:t>
            </w:r>
          </w:p>
        </w:tc>
        <w:tc>
          <w:tcPr>
            <w:tcW w:w="1701" w:type="dxa"/>
            <w:tcBorders>
              <w:top w:val="single" w:sz="4" w:space="0" w:color="auto"/>
              <w:left w:val="single" w:sz="4" w:space="0" w:color="auto"/>
              <w:bottom w:val="single" w:sz="4" w:space="0" w:color="auto"/>
              <w:right w:val="single" w:sz="4" w:space="0" w:color="auto"/>
            </w:tcBorders>
            <w:vAlign w:val="center"/>
          </w:tcPr>
          <w:p w14:paraId="06A556BE" w14:textId="77777777" w:rsidR="00E579B9" w:rsidRDefault="006A1398">
            <w:pPr>
              <w:pStyle w:val="aa"/>
            </w:pPr>
            <w:r>
              <w:t>土方</w:t>
            </w:r>
          </w:p>
        </w:tc>
        <w:tc>
          <w:tcPr>
            <w:tcW w:w="1134" w:type="dxa"/>
            <w:tcBorders>
              <w:top w:val="single" w:sz="4" w:space="0" w:color="auto"/>
              <w:left w:val="single" w:sz="4" w:space="0" w:color="auto"/>
              <w:bottom w:val="single" w:sz="4" w:space="0" w:color="auto"/>
              <w:right w:val="single" w:sz="4" w:space="0" w:color="auto"/>
            </w:tcBorders>
            <w:vAlign w:val="center"/>
          </w:tcPr>
          <w:p w14:paraId="0FFD7165" w14:textId="77777777" w:rsidR="00E579B9" w:rsidRDefault="006A1398">
            <w:pPr>
              <w:pStyle w:val="aa"/>
            </w:pPr>
            <w:r>
              <w:rPr>
                <w:rFonts w:hint="eastAsia"/>
              </w:rPr>
              <w:t>0.07</w:t>
            </w:r>
          </w:p>
        </w:tc>
        <w:tc>
          <w:tcPr>
            <w:tcW w:w="992" w:type="dxa"/>
            <w:tcBorders>
              <w:top w:val="single" w:sz="4" w:space="0" w:color="auto"/>
              <w:left w:val="single" w:sz="4" w:space="0" w:color="auto"/>
              <w:bottom w:val="single" w:sz="4" w:space="0" w:color="auto"/>
              <w:right w:val="single" w:sz="4" w:space="0" w:color="auto"/>
            </w:tcBorders>
            <w:vAlign w:val="center"/>
          </w:tcPr>
          <w:p w14:paraId="08F3F647" w14:textId="77777777" w:rsidR="00E579B9" w:rsidRDefault="006A1398">
            <w:pPr>
              <w:pStyle w:val="aa"/>
            </w:pPr>
            <w:r>
              <w:rPr>
                <w:rFonts w:hint="eastAsia"/>
              </w:rPr>
              <w:t>10</w:t>
            </w:r>
            <w:r>
              <w:rPr>
                <w:rFonts w:hint="eastAsia"/>
                <w:vertAlign w:val="superscript"/>
              </w:rPr>
              <w:t>4</w:t>
            </w:r>
            <w:r>
              <w:t>t</w:t>
            </w:r>
          </w:p>
        </w:tc>
        <w:tc>
          <w:tcPr>
            <w:tcW w:w="2290" w:type="dxa"/>
            <w:tcBorders>
              <w:top w:val="single" w:sz="4" w:space="0" w:color="auto"/>
              <w:left w:val="single" w:sz="4" w:space="0" w:color="auto"/>
              <w:bottom w:val="single" w:sz="4" w:space="0" w:color="auto"/>
              <w:right w:val="single" w:sz="4" w:space="0" w:color="auto"/>
            </w:tcBorders>
            <w:vAlign w:val="center"/>
          </w:tcPr>
          <w:p w14:paraId="123BB951" w14:textId="77777777" w:rsidR="00E579B9" w:rsidRDefault="006A1398">
            <w:pPr>
              <w:pStyle w:val="aa"/>
            </w:pPr>
            <w:r>
              <w:rPr>
                <w:rFonts w:hint="eastAsia"/>
              </w:rPr>
              <w:t>进入临时堆场</w:t>
            </w:r>
          </w:p>
        </w:tc>
      </w:tr>
      <w:tr w:rsidR="00E579B9" w14:paraId="4A1F75E7" w14:textId="77777777">
        <w:trPr>
          <w:trHeight w:val="454"/>
          <w:jc w:val="center"/>
        </w:trPr>
        <w:tc>
          <w:tcPr>
            <w:tcW w:w="960" w:type="dxa"/>
            <w:vMerge/>
            <w:tcBorders>
              <w:left w:val="single" w:sz="4" w:space="0" w:color="auto"/>
              <w:right w:val="single" w:sz="4" w:space="0" w:color="auto"/>
            </w:tcBorders>
            <w:vAlign w:val="center"/>
          </w:tcPr>
          <w:p w14:paraId="15DF2726" w14:textId="77777777" w:rsidR="00E579B9" w:rsidRDefault="00E579B9">
            <w:pPr>
              <w:pStyle w:val="aa"/>
            </w:pPr>
          </w:p>
        </w:tc>
        <w:tc>
          <w:tcPr>
            <w:tcW w:w="1445" w:type="dxa"/>
            <w:vMerge/>
            <w:tcBorders>
              <w:left w:val="single" w:sz="4" w:space="0" w:color="auto"/>
              <w:bottom w:val="single" w:sz="4" w:space="0" w:color="auto"/>
              <w:right w:val="single" w:sz="4" w:space="0" w:color="auto"/>
            </w:tcBorders>
            <w:vAlign w:val="center"/>
          </w:tcPr>
          <w:p w14:paraId="2CED98E6" w14:textId="77777777" w:rsidR="00E579B9" w:rsidRDefault="00E579B9">
            <w:pPr>
              <w:pStyle w:val="aa"/>
            </w:pPr>
          </w:p>
        </w:tc>
        <w:tc>
          <w:tcPr>
            <w:tcW w:w="1701" w:type="dxa"/>
            <w:tcBorders>
              <w:top w:val="single" w:sz="4" w:space="0" w:color="auto"/>
              <w:left w:val="single" w:sz="4" w:space="0" w:color="auto"/>
              <w:bottom w:val="single" w:sz="4" w:space="0" w:color="auto"/>
              <w:right w:val="single" w:sz="4" w:space="0" w:color="auto"/>
            </w:tcBorders>
            <w:vAlign w:val="center"/>
          </w:tcPr>
          <w:p w14:paraId="320F7CF5" w14:textId="77777777" w:rsidR="00E579B9" w:rsidRDefault="006A1398">
            <w:pPr>
              <w:pStyle w:val="aa"/>
            </w:pPr>
            <w:r>
              <w:t>石方（填方）</w:t>
            </w:r>
          </w:p>
        </w:tc>
        <w:tc>
          <w:tcPr>
            <w:tcW w:w="1134" w:type="dxa"/>
            <w:tcBorders>
              <w:top w:val="single" w:sz="4" w:space="0" w:color="auto"/>
              <w:left w:val="single" w:sz="4" w:space="0" w:color="auto"/>
              <w:bottom w:val="single" w:sz="4" w:space="0" w:color="auto"/>
              <w:right w:val="single" w:sz="4" w:space="0" w:color="auto"/>
            </w:tcBorders>
            <w:vAlign w:val="center"/>
          </w:tcPr>
          <w:p w14:paraId="17398ED6" w14:textId="77777777" w:rsidR="00E579B9" w:rsidRDefault="006A1398">
            <w:pPr>
              <w:pStyle w:val="aa"/>
            </w:pPr>
            <w:r>
              <w:rPr>
                <w:rFonts w:hint="eastAsia"/>
              </w:rPr>
              <w:t>0.08</w:t>
            </w:r>
          </w:p>
        </w:tc>
        <w:tc>
          <w:tcPr>
            <w:tcW w:w="992" w:type="dxa"/>
            <w:tcBorders>
              <w:top w:val="single" w:sz="4" w:space="0" w:color="auto"/>
              <w:left w:val="single" w:sz="4" w:space="0" w:color="auto"/>
              <w:bottom w:val="single" w:sz="4" w:space="0" w:color="auto"/>
              <w:right w:val="single" w:sz="4" w:space="0" w:color="auto"/>
            </w:tcBorders>
            <w:vAlign w:val="center"/>
          </w:tcPr>
          <w:p w14:paraId="16295454" w14:textId="77777777" w:rsidR="00E579B9" w:rsidRDefault="006A1398">
            <w:pPr>
              <w:pStyle w:val="aa"/>
            </w:pPr>
            <w:r>
              <w:rPr>
                <w:rFonts w:hint="eastAsia"/>
              </w:rPr>
              <w:t>10</w:t>
            </w:r>
            <w:r>
              <w:rPr>
                <w:rFonts w:hint="eastAsia"/>
                <w:vertAlign w:val="superscript"/>
              </w:rPr>
              <w:t>4</w:t>
            </w:r>
            <w:r>
              <w:t>t</w:t>
            </w:r>
          </w:p>
        </w:tc>
        <w:tc>
          <w:tcPr>
            <w:tcW w:w="2290" w:type="dxa"/>
            <w:tcBorders>
              <w:top w:val="single" w:sz="4" w:space="0" w:color="auto"/>
              <w:left w:val="single" w:sz="4" w:space="0" w:color="auto"/>
              <w:bottom w:val="single" w:sz="4" w:space="0" w:color="auto"/>
              <w:right w:val="single" w:sz="4" w:space="0" w:color="auto"/>
            </w:tcBorders>
            <w:vAlign w:val="center"/>
          </w:tcPr>
          <w:p w14:paraId="4A94D0EA" w14:textId="77777777" w:rsidR="00E579B9" w:rsidRDefault="006A1398">
            <w:pPr>
              <w:pStyle w:val="aa"/>
            </w:pPr>
            <w:r>
              <w:rPr>
                <w:rFonts w:hint="eastAsia"/>
              </w:rPr>
              <w:t>综合利用</w:t>
            </w:r>
          </w:p>
        </w:tc>
      </w:tr>
      <w:tr w:rsidR="00E579B9" w14:paraId="672A0D2C" w14:textId="77777777">
        <w:trPr>
          <w:trHeight w:val="454"/>
          <w:jc w:val="center"/>
        </w:trPr>
        <w:tc>
          <w:tcPr>
            <w:tcW w:w="960" w:type="dxa"/>
            <w:vMerge/>
            <w:tcBorders>
              <w:left w:val="single" w:sz="4" w:space="0" w:color="auto"/>
              <w:right w:val="single" w:sz="4" w:space="0" w:color="auto"/>
            </w:tcBorders>
            <w:vAlign w:val="center"/>
          </w:tcPr>
          <w:p w14:paraId="33FAF10A" w14:textId="77777777" w:rsidR="00E579B9" w:rsidRDefault="00E579B9">
            <w:pPr>
              <w:pStyle w:val="aa"/>
            </w:pPr>
          </w:p>
        </w:tc>
        <w:tc>
          <w:tcPr>
            <w:tcW w:w="1445" w:type="dxa"/>
            <w:tcBorders>
              <w:left w:val="single" w:sz="4" w:space="0" w:color="auto"/>
              <w:right w:val="single" w:sz="4" w:space="0" w:color="auto"/>
            </w:tcBorders>
            <w:vAlign w:val="center"/>
          </w:tcPr>
          <w:p w14:paraId="3CFDE978" w14:textId="77777777" w:rsidR="00E579B9" w:rsidRDefault="006A1398">
            <w:pPr>
              <w:pStyle w:val="aa"/>
            </w:pPr>
            <w:r>
              <w:rPr>
                <w:rFonts w:hint="eastAsia"/>
              </w:rPr>
              <w:t>临时堆场</w:t>
            </w:r>
          </w:p>
        </w:tc>
        <w:tc>
          <w:tcPr>
            <w:tcW w:w="1701" w:type="dxa"/>
            <w:tcBorders>
              <w:top w:val="single" w:sz="4" w:space="0" w:color="auto"/>
              <w:left w:val="single" w:sz="4" w:space="0" w:color="auto"/>
              <w:bottom w:val="single" w:sz="4" w:space="0" w:color="auto"/>
              <w:right w:val="single" w:sz="4" w:space="0" w:color="auto"/>
            </w:tcBorders>
            <w:vAlign w:val="center"/>
          </w:tcPr>
          <w:p w14:paraId="73F27C74" w14:textId="77777777" w:rsidR="00E579B9" w:rsidRDefault="006A1398">
            <w:pPr>
              <w:pStyle w:val="aa"/>
            </w:pPr>
            <w:r>
              <w:t>土方</w:t>
            </w:r>
          </w:p>
        </w:tc>
        <w:tc>
          <w:tcPr>
            <w:tcW w:w="1134" w:type="dxa"/>
            <w:tcBorders>
              <w:top w:val="single" w:sz="4" w:space="0" w:color="auto"/>
              <w:left w:val="single" w:sz="4" w:space="0" w:color="auto"/>
              <w:bottom w:val="single" w:sz="4" w:space="0" w:color="auto"/>
              <w:right w:val="single" w:sz="4" w:space="0" w:color="auto"/>
            </w:tcBorders>
            <w:vAlign w:val="center"/>
          </w:tcPr>
          <w:p w14:paraId="389D6281" w14:textId="77777777" w:rsidR="00E579B9" w:rsidRDefault="006A1398">
            <w:pPr>
              <w:pStyle w:val="aa"/>
            </w:pPr>
            <w:r>
              <w:rPr>
                <w:rFonts w:hint="eastAsia"/>
              </w:rPr>
              <w:t>0.8</w:t>
            </w:r>
          </w:p>
        </w:tc>
        <w:tc>
          <w:tcPr>
            <w:tcW w:w="992" w:type="dxa"/>
            <w:tcBorders>
              <w:top w:val="single" w:sz="4" w:space="0" w:color="auto"/>
              <w:left w:val="single" w:sz="4" w:space="0" w:color="auto"/>
              <w:bottom w:val="single" w:sz="4" w:space="0" w:color="auto"/>
              <w:right w:val="single" w:sz="4" w:space="0" w:color="auto"/>
            </w:tcBorders>
            <w:vAlign w:val="center"/>
          </w:tcPr>
          <w:p w14:paraId="08D8CC27" w14:textId="77777777" w:rsidR="00E579B9" w:rsidRDefault="006A1398">
            <w:pPr>
              <w:pStyle w:val="aa"/>
            </w:pPr>
            <w:r>
              <w:rPr>
                <w:rFonts w:hint="eastAsia"/>
              </w:rPr>
              <w:t>10</w:t>
            </w:r>
            <w:r>
              <w:rPr>
                <w:rFonts w:hint="eastAsia"/>
                <w:vertAlign w:val="superscript"/>
              </w:rPr>
              <w:t>4</w:t>
            </w:r>
            <w:r>
              <w:t>t</w:t>
            </w:r>
          </w:p>
        </w:tc>
        <w:tc>
          <w:tcPr>
            <w:tcW w:w="2290" w:type="dxa"/>
            <w:tcBorders>
              <w:top w:val="single" w:sz="4" w:space="0" w:color="auto"/>
              <w:left w:val="single" w:sz="4" w:space="0" w:color="auto"/>
              <w:bottom w:val="single" w:sz="4" w:space="0" w:color="auto"/>
              <w:right w:val="single" w:sz="4" w:space="0" w:color="auto"/>
            </w:tcBorders>
            <w:vAlign w:val="center"/>
          </w:tcPr>
          <w:p w14:paraId="001CAD1E" w14:textId="77777777" w:rsidR="00E579B9" w:rsidRDefault="006A1398">
            <w:pPr>
              <w:pStyle w:val="aa"/>
            </w:pPr>
            <w:r>
              <w:rPr>
                <w:rFonts w:hint="eastAsia"/>
              </w:rPr>
              <w:t>进入临时堆场</w:t>
            </w:r>
          </w:p>
        </w:tc>
      </w:tr>
      <w:tr w:rsidR="00E579B9" w14:paraId="539FAF2D" w14:textId="77777777">
        <w:trPr>
          <w:trHeight w:val="454"/>
          <w:jc w:val="center"/>
        </w:trPr>
        <w:tc>
          <w:tcPr>
            <w:tcW w:w="960" w:type="dxa"/>
            <w:vMerge w:val="restart"/>
            <w:tcBorders>
              <w:top w:val="single" w:sz="4" w:space="0" w:color="auto"/>
              <w:left w:val="single" w:sz="4" w:space="0" w:color="auto"/>
              <w:right w:val="single" w:sz="4" w:space="0" w:color="auto"/>
            </w:tcBorders>
            <w:vAlign w:val="center"/>
          </w:tcPr>
          <w:p w14:paraId="53483072" w14:textId="77777777" w:rsidR="00E579B9" w:rsidRDefault="006A1398">
            <w:pPr>
              <w:pStyle w:val="aa"/>
            </w:pPr>
            <w:r>
              <w:t>营运期</w:t>
            </w: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13775704" w14:textId="77777777" w:rsidR="00E579B9" w:rsidRDefault="006A1398">
            <w:pPr>
              <w:pStyle w:val="aa"/>
            </w:pPr>
            <w:r>
              <w:t>土方</w:t>
            </w:r>
          </w:p>
        </w:tc>
        <w:tc>
          <w:tcPr>
            <w:tcW w:w="1134" w:type="dxa"/>
            <w:tcBorders>
              <w:top w:val="single" w:sz="4" w:space="0" w:color="auto"/>
              <w:left w:val="single" w:sz="4" w:space="0" w:color="auto"/>
              <w:bottom w:val="single" w:sz="4" w:space="0" w:color="auto"/>
              <w:right w:val="single" w:sz="4" w:space="0" w:color="auto"/>
            </w:tcBorders>
            <w:vAlign w:val="center"/>
          </w:tcPr>
          <w:p w14:paraId="6451E082" w14:textId="77777777" w:rsidR="00E579B9" w:rsidRDefault="006A1398">
            <w:pPr>
              <w:pStyle w:val="aa"/>
            </w:pPr>
            <w:r>
              <w:rPr>
                <w:rFonts w:hint="eastAsia"/>
              </w:rPr>
              <w:t>6.448</w:t>
            </w:r>
          </w:p>
        </w:tc>
        <w:tc>
          <w:tcPr>
            <w:tcW w:w="992" w:type="dxa"/>
            <w:tcBorders>
              <w:top w:val="single" w:sz="4" w:space="0" w:color="auto"/>
              <w:left w:val="single" w:sz="4" w:space="0" w:color="auto"/>
              <w:bottom w:val="single" w:sz="4" w:space="0" w:color="auto"/>
              <w:right w:val="single" w:sz="4" w:space="0" w:color="auto"/>
            </w:tcBorders>
            <w:vAlign w:val="center"/>
          </w:tcPr>
          <w:p w14:paraId="341ED3F0" w14:textId="77777777" w:rsidR="00E579B9" w:rsidRDefault="006A1398">
            <w:pPr>
              <w:pStyle w:val="aa"/>
            </w:pPr>
            <w:r>
              <w:rPr>
                <w:rFonts w:hint="eastAsia"/>
              </w:rPr>
              <w:t>10</w:t>
            </w:r>
            <w:r>
              <w:rPr>
                <w:rFonts w:hint="eastAsia"/>
                <w:vertAlign w:val="superscript"/>
              </w:rPr>
              <w:t>4</w:t>
            </w:r>
            <w:r>
              <w:t>t</w:t>
            </w:r>
          </w:p>
        </w:tc>
        <w:tc>
          <w:tcPr>
            <w:tcW w:w="2290" w:type="dxa"/>
            <w:tcBorders>
              <w:top w:val="single" w:sz="4" w:space="0" w:color="auto"/>
              <w:left w:val="single" w:sz="4" w:space="0" w:color="auto"/>
              <w:bottom w:val="single" w:sz="4" w:space="0" w:color="auto"/>
              <w:right w:val="single" w:sz="4" w:space="0" w:color="auto"/>
            </w:tcBorders>
            <w:vAlign w:val="center"/>
          </w:tcPr>
          <w:p w14:paraId="1DB56991" w14:textId="77777777" w:rsidR="00E579B9" w:rsidRDefault="006A1398">
            <w:pPr>
              <w:pStyle w:val="aa"/>
            </w:pPr>
            <w:r>
              <w:rPr>
                <w:rFonts w:hint="eastAsia"/>
              </w:rPr>
              <w:t>进入临时堆场</w:t>
            </w:r>
          </w:p>
        </w:tc>
      </w:tr>
      <w:tr w:rsidR="00E579B9" w14:paraId="766F8A40" w14:textId="77777777">
        <w:trPr>
          <w:trHeight w:val="454"/>
          <w:jc w:val="center"/>
        </w:trPr>
        <w:tc>
          <w:tcPr>
            <w:tcW w:w="960" w:type="dxa"/>
            <w:vMerge/>
            <w:tcBorders>
              <w:left w:val="single" w:sz="4" w:space="0" w:color="auto"/>
              <w:right w:val="single" w:sz="4" w:space="0" w:color="auto"/>
            </w:tcBorders>
            <w:vAlign w:val="center"/>
          </w:tcPr>
          <w:p w14:paraId="30102079" w14:textId="77777777" w:rsidR="00E579B9" w:rsidRDefault="00E579B9">
            <w:pPr>
              <w:pStyle w:val="aa"/>
            </w:pPr>
          </w:p>
        </w:tc>
        <w:tc>
          <w:tcPr>
            <w:tcW w:w="1445" w:type="dxa"/>
            <w:vMerge w:val="restart"/>
            <w:tcBorders>
              <w:top w:val="single" w:sz="4" w:space="0" w:color="auto"/>
              <w:left w:val="single" w:sz="4" w:space="0" w:color="auto"/>
              <w:right w:val="single" w:sz="4" w:space="0" w:color="auto"/>
            </w:tcBorders>
            <w:vAlign w:val="center"/>
          </w:tcPr>
          <w:p w14:paraId="75BA949A" w14:textId="77777777" w:rsidR="00E579B9" w:rsidRDefault="006A1398">
            <w:pPr>
              <w:pStyle w:val="aa"/>
            </w:pPr>
            <w:r>
              <w:t>石方</w:t>
            </w:r>
          </w:p>
        </w:tc>
        <w:tc>
          <w:tcPr>
            <w:tcW w:w="1701" w:type="dxa"/>
            <w:tcBorders>
              <w:top w:val="single" w:sz="4" w:space="0" w:color="auto"/>
              <w:left w:val="single" w:sz="4" w:space="0" w:color="auto"/>
              <w:bottom w:val="single" w:sz="4" w:space="0" w:color="auto"/>
              <w:right w:val="single" w:sz="4" w:space="0" w:color="auto"/>
            </w:tcBorders>
            <w:vAlign w:val="center"/>
          </w:tcPr>
          <w:p w14:paraId="11E3BF33" w14:textId="77777777" w:rsidR="00E579B9" w:rsidRDefault="006A1398">
            <w:pPr>
              <w:pStyle w:val="aa"/>
            </w:pPr>
            <w:r>
              <w:t>矿石</w:t>
            </w:r>
          </w:p>
        </w:tc>
        <w:tc>
          <w:tcPr>
            <w:tcW w:w="1134" w:type="dxa"/>
            <w:tcBorders>
              <w:top w:val="single" w:sz="4" w:space="0" w:color="auto"/>
              <w:left w:val="single" w:sz="4" w:space="0" w:color="auto"/>
              <w:bottom w:val="single" w:sz="4" w:space="0" w:color="auto"/>
              <w:right w:val="single" w:sz="4" w:space="0" w:color="auto"/>
            </w:tcBorders>
            <w:vAlign w:val="center"/>
          </w:tcPr>
          <w:p w14:paraId="692AC6B1" w14:textId="77777777" w:rsidR="00E579B9" w:rsidRDefault="006A1398">
            <w:pPr>
              <w:pStyle w:val="aa"/>
            </w:pPr>
            <w:r>
              <w:rPr>
                <w:rFonts w:hint="eastAsia"/>
              </w:rPr>
              <w:t>230</w:t>
            </w:r>
          </w:p>
        </w:tc>
        <w:tc>
          <w:tcPr>
            <w:tcW w:w="992" w:type="dxa"/>
            <w:tcBorders>
              <w:top w:val="single" w:sz="4" w:space="0" w:color="auto"/>
              <w:left w:val="single" w:sz="4" w:space="0" w:color="auto"/>
              <w:bottom w:val="single" w:sz="4" w:space="0" w:color="auto"/>
              <w:right w:val="single" w:sz="4" w:space="0" w:color="auto"/>
            </w:tcBorders>
            <w:vAlign w:val="center"/>
          </w:tcPr>
          <w:p w14:paraId="291552DD" w14:textId="77777777" w:rsidR="00E579B9" w:rsidRDefault="006A1398">
            <w:pPr>
              <w:pStyle w:val="aa"/>
            </w:pPr>
            <w:r>
              <w:rPr>
                <w:rFonts w:hint="eastAsia"/>
              </w:rPr>
              <w:t>10</w:t>
            </w:r>
            <w:r>
              <w:rPr>
                <w:rFonts w:hint="eastAsia"/>
                <w:vertAlign w:val="superscript"/>
              </w:rPr>
              <w:t>4</w:t>
            </w:r>
            <w:r>
              <w:t>t</w:t>
            </w:r>
          </w:p>
        </w:tc>
        <w:tc>
          <w:tcPr>
            <w:tcW w:w="2290" w:type="dxa"/>
            <w:tcBorders>
              <w:top w:val="single" w:sz="4" w:space="0" w:color="auto"/>
              <w:left w:val="single" w:sz="4" w:space="0" w:color="auto"/>
              <w:bottom w:val="single" w:sz="4" w:space="0" w:color="auto"/>
              <w:right w:val="single" w:sz="4" w:space="0" w:color="auto"/>
            </w:tcBorders>
            <w:vAlign w:val="center"/>
          </w:tcPr>
          <w:p w14:paraId="3218A49B" w14:textId="77777777" w:rsidR="00E579B9" w:rsidRDefault="006A1398">
            <w:pPr>
              <w:pStyle w:val="aa"/>
            </w:pPr>
            <w:r>
              <w:rPr>
                <w:rFonts w:hint="eastAsia"/>
              </w:rPr>
              <w:t>外售</w:t>
            </w:r>
          </w:p>
        </w:tc>
      </w:tr>
      <w:tr w:rsidR="00E579B9" w14:paraId="79F4711C" w14:textId="77777777">
        <w:trPr>
          <w:trHeight w:val="454"/>
          <w:jc w:val="center"/>
        </w:trPr>
        <w:tc>
          <w:tcPr>
            <w:tcW w:w="960" w:type="dxa"/>
            <w:vMerge/>
            <w:tcBorders>
              <w:left w:val="single" w:sz="4" w:space="0" w:color="auto"/>
              <w:bottom w:val="single" w:sz="4" w:space="0" w:color="auto"/>
              <w:right w:val="single" w:sz="4" w:space="0" w:color="auto"/>
            </w:tcBorders>
            <w:vAlign w:val="center"/>
          </w:tcPr>
          <w:p w14:paraId="30179F14" w14:textId="77777777" w:rsidR="00E579B9" w:rsidRDefault="00E579B9">
            <w:pPr>
              <w:pStyle w:val="aa"/>
            </w:pPr>
          </w:p>
        </w:tc>
        <w:tc>
          <w:tcPr>
            <w:tcW w:w="1445" w:type="dxa"/>
            <w:vMerge/>
            <w:tcBorders>
              <w:left w:val="single" w:sz="4" w:space="0" w:color="auto"/>
              <w:bottom w:val="single" w:sz="4" w:space="0" w:color="auto"/>
              <w:right w:val="single" w:sz="4" w:space="0" w:color="auto"/>
            </w:tcBorders>
            <w:vAlign w:val="center"/>
          </w:tcPr>
          <w:p w14:paraId="153E966A" w14:textId="77777777" w:rsidR="00E579B9" w:rsidRDefault="00E579B9">
            <w:pPr>
              <w:pStyle w:val="aa"/>
            </w:pPr>
          </w:p>
        </w:tc>
        <w:tc>
          <w:tcPr>
            <w:tcW w:w="1701" w:type="dxa"/>
            <w:tcBorders>
              <w:top w:val="single" w:sz="4" w:space="0" w:color="auto"/>
              <w:left w:val="single" w:sz="4" w:space="0" w:color="auto"/>
              <w:bottom w:val="single" w:sz="4" w:space="0" w:color="auto"/>
              <w:right w:val="single" w:sz="4" w:space="0" w:color="auto"/>
            </w:tcBorders>
            <w:vAlign w:val="center"/>
          </w:tcPr>
          <w:p w14:paraId="1D1D1350" w14:textId="77777777" w:rsidR="00E579B9" w:rsidRDefault="006A1398">
            <w:pPr>
              <w:pStyle w:val="aa"/>
            </w:pPr>
            <w:r>
              <w:t>废石</w:t>
            </w:r>
          </w:p>
        </w:tc>
        <w:tc>
          <w:tcPr>
            <w:tcW w:w="1134" w:type="dxa"/>
            <w:tcBorders>
              <w:top w:val="single" w:sz="4" w:space="0" w:color="auto"/>
              <w:left w:val="single" w:sz="4" w:space="0" w:color="auto"/>
              <w:bottom w:val="single" w:sz="4" w:space="0" w:color="auto"/>
              <w:right w:val="single" w:sz="4" w:space="0" w:color="auto"/>
            </w:tcBorders>
            <w:vAlign w:val="center"/>
          </w:tcPr>
          <w:p w14:paraId="7F7A9D61" w14:textId="77777777" w:rsidR="00E579B9" w:rsidRDefault="006A1398">
            <w:pPr>
              <w:pStyle w:val="aa"/>
            </w:pPr>
            <w:r>
              <w:rPr>
                <w:rFonts w:hint="eastAsia"/>
              </w:rPr>
              <w:t>12.11</w:t>
            </w:r>
          </w:p>
        </w:tc>
        <w:tc>
          <w:tcPr>
            <w:tcW w:w="992" w:type="dxa"/>
            <w:tcBorders>
              <w:top w:val="single" w:sz="4" w:space="0" w:color="auto"/>
              <w:left w:val="single" w:sz="4" w:space="0" w:color="auto"/>
              <w:bottom w:val="single" w:sz="4" w:space="0" w:color="auto"/>
              <w:right w:val="single" w:sz="4" w:space="0" w:color="auto"/>
            </w:tcBorders>
            <w:vAlign w:val="center"/>
          </w:tcPr>
          <w:p w14:paraId="1DF490B8" w14:textId="77777777" w:rsidR="00E579B9" w:rsidRDefault="006A1398">
            <w:pPr>
              <w:pStyle w:val="aa"/>
            </w:pPr>
            <w:r>
              <w:rPr>
                <w:rFonts w:hint="eastAsia"/>
              </w:rPr>
              <w:t>10</w:t>
            </w:r>
            <w:r>
              <w:rPr>
                <w:rFonts w:hint="eastAsia"/>
                <w:vertAlign w:val="superscript"/>
              </w:rPr>
              <w:t>4</w:t>
            </w:r>
            <w:r>
              <w:t>t</w:t>
            </w:r>
          </w:p>
        </w:tc>
        <w:tc>
          <w:tcPr>
            <w:tcW w:w="2290" w:type="dxa"/>
            <w:tcBorders>
              <w:top w:val="single" w:sz="4" w:space="0" w:color="auto"/>
              <w:left w:val="single" w:sz="4" w:space="0" w:color="auto"/>
              <w:bottom w:val="single" w:sz="4" w:space="0" w:color="auto"/>
              <w:right w:val="single" w:sz="4" w:space="0" w:color="auto"/>
            </w:tcBorders>
            <w:vAlign w:val="center"/>
          </w:tcPr>
          <w:p w14:paraId="4A60ADB2" w14:textId="77777777" w:rsidR="00E579B9" w:rsidRDefault="006A1398">
            <w:pPr>
              <w:pStyle w:val="aa"/>
            </w:pPr>
            <w:r>
              <w:rPr>
                <w:rFonts w:hint="eastAsia"/>
              </w:rPr>
              <w:t>外售</w:t>
            </w:r>
            <w:r>
              <w:rPr>
                <w:rFonts w:hint="eastAsia"/>
              </w:rPr>
              <w:t>/</w:t>
            </w:r>
            <w:r>
              <w:rPr>
                <w:rFonts w:hint="eastAsia"/>
              </w:rPr>
              <w:t>进入临时堆场</w:t>
            </w:r>
          </w:p>
        </w:tc>
      </w:tr>
    </w:tbl>
    <w:p w14:paraId="31A42B25" w14:textId="77777777" w:rsidR="00E579B9" w:rsidRDefault="006A1398">
      <w:pPr>
        <w:spacing w:line="520" w:lineRule="exact"/>
      </w:pPr>
      <w:r>
        <w:rPr>
          <w:rFonts w:hint="eastAsia"/>
        </w:rPr>
        <w:t>项目施工期和土石方</w:t>
      </w:r>
      <w:proofErr w:type="gramStart"/>
      <w:r>
        <w:rPr>
          <w:rFonts w:hint="eastAsia"/>
        </w:rPr>
        <w:t>平衡见</w:t>
      </w:r>
      <w:proofErr w:type="gramEnd"/>
      <w:r>
        <w:rPr>
          <w:rFonts w:hint="eastAsia"/>
        </w:rPr>
        <w:t>下图所示。</w:t>
      </w:r>
    </w:p>
    <w:p w14:paraId="0217FA8B" w14:textId="77777777" w:rsidR="00E579B9" w:rsidRDefault="006A1398">
      <w:pPr>
        <w:spacing w:line="240" w:lineRule="auto"/>
        <w:rPr>
          <w:color w:val="FF0000"/>
        </w:rPr>
      </w:pPr>
      <w:r>
        <w:rPr>
          <w:color w:val="FF0000"/>
        </w:rPr>
        <w:object w:dxaOrig="8020" w:dyaOrig="4608" w14:anchorId="1C2FCE42">
          <v:shape id="_x0000_i1029" type="#_x0000_t75" style="width:400.8pt;height:230.15pt" o:ole="">
            <v:imagedata r:id="rId26" o:title=""/>
            <o:lock v:ext="edit" aspectratio="f"/>
          </v:shape>
          <o:OLEObject Type="Embed" ProgID="Visio.Drawing.11" ShapeID="_x0000_i1029" DrawAspect="Content" ObjectID="_1644327283" r:id="rId27"/>
        </w:object>
      </w:r>
    </w:p>
    <w:p w14:paraId="70273596" w14:textId="5B2C2AFF" w:rsidR="00E579B9" w:rsidRDefault="006A1398">
      <w:pPr>
        <w:pStyle w:val="Af8"/>
        <w:spacing w:line="520" w:lineRule="exact"/>
        <w:ind w:firstLineChars="0" w:firstLine="0"/>
        <w:jc w:val="center"/>
        <w:rPr>
          <w:rFonts w:ascii="黑体" w:eastAsia="黑体" w:hAnsi="黑体"/>
          <w:bCs/>
          <w:color w:val="FF0000"/>
        </w:rPr>
      </w:pPr>
      <w:r>
        <w:rPr>
          <w:rFonts w:ascii="黑体" w:eastAsia="黑体" w:hAnsi="黑体" w:hint="eastAsia"/>
          <w:bCs/>
        </w:rPr>
        <w:t>图</w:t>
      </w:r>
      <w:r w:rsidR="0003710F">
        <w:rPr>
          <w:rFonts w:ascii="黑体" w:eastAsia="黑体" w:hAnsi="黑体" w:hint="eastAsia"/>
          <w:bCs/>
        </w:rPr>
        <w:t>3.2</w:t>
      </w:r>
      <w:r>
        <w:rPr>
          <w:rFonts w:ascii="黑体" w:eastAsia="黑体" w:hAnsi="黑体"/>
          <w:bCs/>
        </w:rPr>
        <w:t>-1</w:t>
      </w:r>
      <w:r>
        <w:rPr>
          <w:rFonts w:ascii="黑体" w:eastAsia="黑体" w:hAnsi="黑体" w:hint="eastAsia"/>
          <w:bCs/>
        </w:rPr>
        <w:t>施工期项目土石方平衡图（单位：10</w:t>
      </w:r>
      <w:r>
        <w:rPr>
          <w:rFonts w:ascii="黑体" w:eastAsia="黑体" w:hAnsi="黑体" w:hint="eastAsia"/>
          <w:bCs/>
          <w:vertAlign w:val="superscript"/>
        </w:rPr>
        <w:t>4</w:t>
      </w:r>
      <w:r>
        <w:rPr>
          <w:rFonts w:ascii="黑体" w:eastAsia="黑体" w:hAnsi="黑体"/>
          <w:bCs/>
        </w:rPr>
        <w:t>t</w:t>
      </w:r>
      <w:r>
        <w:rPr>
          <w:rFonts w:ascii="黑体" w:eastAsia="黑体" w:hAnsi="黑体" w:hint="eastAsia"/>
          <w:bCs/>
        </w:rPr>
        <w:t>/a）</w:t>
      </w:r>
    </w:p>
    <w:p w14:paraId="2B3FC057" w14:textId="77777777" w:rsidR="00E579B9" w:rsidRDefault="006A1398">
      <w:pPr>
        <w:pStyle w:val="Af8"/>
        <w:spacing w:line="240" w:lineRule="auto"/>
        <w:ind w:firstLineChars="0" w:firstLine="0"/>
        <w:rPr>
          <w:rFonts w:hAnsi="Times New Roman"/>
          <w:b/>
          <w:color w:val="FF0000"/>
        </w:rPr>
      </w:pPr>
      <w:r>
        <w:rPr>
          <w:rFonts w:hAnsi="Times New Roman" w:hint="eastAsia"/>
          <w:b/>
          <w:color w:val="FF0000"/>
        </w:rPr>
        <w:object w:dxaOrig="8317" w:dyaOrig="2426" w14:anchorId="09947C5E">
          <v:shape id="_x0000_i1030" type="#_x0000_t75" style="width:416.15pt;height:121.3pt" o:ole="">
            <v:imagedata r:id="rId28" o:title=""/>
            <o:lock v:ext="edit" aspectratio="f"/>
          </v:shape>
          <o:OLEObject Type="Embed" ProgID="Visio.Drawing.11" ShapeID="_x0000_i1030" DrawAspect="Content" ObjectID="_1644327284" r:id="rId29"/>
        </w:object>
      </w:r>
    </w:p>
    <w:p w14:paraId="14F72266" w14:textId="195E911D" w:rsidR="00E579B9" w:rsidRDefault="006A1398">
      <w:pPr>
        <w:pStyle w:val="Af8"/>
        <w:spacing w:line="520" w:lineRule="exact"/>
        <w:ind w:firstLineChars="0" w:firstLine="0"/>
        <w:jc w:val="center"/>
        <w:rPr>
          <w:rFonts w:ascii="黑体" w:eastAsia="黑体" w:hAnsi="黑体"/>
          <w:bCs/>
        </w:rPr>
      </w:pPr>
      <w:r>
        <w:rPr>
          <w:rFonts w:ascii="黑体" w:eastAsia="黑体" w:hAnsi="黑体" w:hint="eastAsia"/>
          <w:bCs/>
        </w:rPr>
        <w:t>图</w:t>
      </w:r>
      <w:r w:rsidR="0003710F">
        <w:rPr>
          <w:rFonts w:ascii="黑体" w:eastAsia="黑体" w:hAnsi="黑体" w:hint="eastAsia"/>
          <w:bCs/>
        </w:rPr>
        <w:t>3.2</w:t>
      </w:r>
      <w:r>
        <w:rPr>
          <w:rFonts w:ascii="黑体" w:eastAsia="黑体" w:hAnsi="黑体"/>
          <w:bCs/>
        </w:rPr>
        <w:t>-</w:t>
      </w:r>
      <w:r>
        <w:rPr>
          <w:rFonts w:ascii="黑体" w:eastAsia="黑体" w:hAnsi="黑体" w:hint="eastAsia"/>
          <w:bCs/>
        </w:rPr>
        <w:t>2运营</w:t>
      </w:r>
      <w:proofErr w:type="gramStart"/>
      <w:r>
        <w:rPr>
          <w:rFonts w:ascii="黑体" w:eastAsia="黑体" w:hAnsi="黑体" w:hint="eastAsia"/>
          <w:bCs/>
        </w:rPr>
        <w:t>期项目</w:t>
      </w:r>
      <w:proofErr w:type="gramEnd"/>
      <w:r>
        <w:rPr>
          <w:rFonts w:ascii="黑体" w:eastAsia="黑体" w:hAnsi="黑体" w:hint="eastAsia"/>
          <w:bCs/>
        </w:rPr>
        <w:t>土石方平衡图（单位：10</w:t>
      </w:r>
      <w:r>
        <w:rPr>
          <w:rFonts w:ascii="黑体" w:eastAsia="黑体" w:hAnsi="黑体" w:hint="eastAsia"/>
          <w:bCs/>
          <w:vertAlign w:val="superscript"/>
        </w:rPr>
        <w:t>4</w:t>
      </w:r>
      <w:r>
        <w:rPr>
          <w:rFonts w:ascii="黑体" w:eastAsia="黑体" w:hAnsi="黑体"/>
          <w:bCs/>
        </w:rPr>
        <w:t>t</w:t>
      </w:r>
      <w:r>
        <w:rPr>
          <w:rFonts w:ascii="黑体" w:eastAsia="黑体" w:hAnsi="黑体" w:hint="eastAsia"/>
          <w:bCs/>
        </w:rPr>
        <w:t>/a）</w:t>
      </w:r>
    </w:p>
    <w:p w14:paraId="67EF53C2" w14:textId="77777777" w:rsidR="00E579B9" w:rsidRDefault="006A1398">
      <w:r>
        <w:rPr>
          <w:rFonts w:hint="eastAsia"/>
        </w:rPr>
        <w:lastRenderedPageBreak/>
        <w:t>项目施工期内表土和废石的产生量约为</w:t>
      </w:r>
      <w:r>
        <w:rPr>
          <w:rFonts w:hint="eastAsia"/>
        </w:rPr>
        <w:t>3.317</w:t>
      </w:r>
      <w:r>
        <w:rPr>
          <w:rFonts w:hint="eastAsia"/>
        </w:rPr>
        <w:t>万</w:t>
      </w:r>
      <w:r>
        <w:rPr>
          <w:rFonts w:hint="eastAsia"/>
        </w:rPr>
        <w:t>t</w:t>
      </w:r>
      <w:r>
        <w:rPr>
          <w:rFonts w:hint="eastAsia"/>
        </w:rPr>
        <w:t>，</w:t>
      </w:r>
      <w:r>
        <w:rPr>
          <w:rStyle w:val="altzTimesNewRomanChar"/>
          <w:rFonts w:hint="eastAsia"/>
        </w:rPr>
        <w:t>按每个月周转一次，</w:t>
      </w:r>
      <w:r>
        <w:rPr>
          <w:rFonts w:hint="eastAsia"/>
        </w:rPr>
        <w:t>每个月周转量约为</w:t>
      </w:r>
      <w:r>
        <w:rPr>
          <w:rFonts w:hint="eastAsia"/>
        </w:rPr>
        <w:t>3.317</w:t>
      </w:r>
      <w:r>
        <w:rPr>
          <w:rFonts w:hint="eastAsia"/>
        </w:rPr>
        <w:t>万</w:t>
      </w:r>
      <w:r>
        <w:t>t(</w:t>
      </w:r>
      <w:r>
        <w:rPr>
          <w:rFonts w:hint="eastAsia"/>
        </w:rPr>
        <w:t>1.24</w:t>
      </w:r>
      <w:r>
        <w:rPr>
          <w:rFonts w:hint="eastAsia"/>
        </w:rPr>
        <w:t>万</w:t>
      </w:r>
      <w:r>
        <w:rPr>
          <w:rFonts w:hint="eastAsia"/>
        </w:rPr>
        <w:t>m</w:t>
      </w:r>
      <w:r>
        <w:rPr>
          <w:vertAlign w:val="superscript"/>
        </w:rPr>
        <w:t>3</w:t>
      </w:r>
      <w:r>
        <w:rPr>
          <w:rFonts w:hint="eastAsia"/>
        </w:rPr>
        <w:t>)</w:t>
      </w:r>
      <w:r>
        <w:rPr>
          <w:rFonts w:hint="eastAsia"/>
        </w:rPr>
        <w:t>；项目运营期内每年表土和废石的产生量约为</w:t>
      </w:r>
      <w:r>
        <w:rPr>
          <w:rFonts w:hint="eastAsia"/>
        </w:rPr>
        <w:t>18.558</w:t>
      </w:r>
      <w:r>
        <w:rPr>
          <w:rFonts w:hint="eastAsia"/>
        </w:rPr>
        <w:t>万</w:t>
      </w:r>
      <w:r>
        <w:rPr>
          <w:rFonts w:hint="eastAsia"/>
        </w:rPr>
        <w:t>t</w:t>
      </w:r>
      <w:r>
        <w:rPr>
          <w:rFonts w:hint="eastAsia"/>
        </w:rPr>
        <w:t>，</w:t>
      </w:r>
      <w:r>
        <w:rPr>
          <w:rStyle w:val="altzTimesNewRomanChar"/>
          <w:rFonts w:hint="eastAsia"/>
        </w:rPr>
        <w:t>按每个月周转一次，</w:t>
      </w:r>
      <w:r>
        <w:rPr>
          <w:rFonts w:hint="eastAsia"/>
        </w:rPr>
        <w:t>每个月周转量约为</w:t>
      </w:r>
      <w:r>
        <w:rPr>
          <w:rFonts w:hint="eastAsia"/>
        </w:rPr>
        <w:t>1.55</w:t>
      </w:r>
      <w:r>
        <w:rPr>
          <w:rFonts w:hint="eastAsia"/>
        </w:rPr>
        <w:t>万</w:t>
      </w:r>
      <w:r>
        <w:t>t(0.58</w:t>
      </w:r>
      <w:r>
        <w:rPr>
          <w:rFonts w:hint="eastAsia"/>
        </w:rPr>
        <w:t>万</w:t>
      </w:r>
      <w:r>
        <w:rPr>
          <w:rFonts w:hint="eastAsia"/>
        </w:rPr>
        <w:t>m</w:t>
      </w:r>
      <w:r>
        <w:rPr>
          <w:vertAlign w:val="superscript"/>
        </w:rPr>
        <w:t>3</w:t>
      </w:r>
      <w:r>
        <w:rPr>
          <w:rFonts w:hint="eastAsia"/>
        </w:rPr>
        <w:t>)</w:t>
      </w:r>
      <w:r>
        <w:rPr>
          <w:rFonts w:hint="eastAsia"/>
        </w:rPr>
        <w:t>。</w:t>
      </w:r>
    </w:p>
    <w:p w14:paraId="636D15DC" w14:textId="77777777" w:rsidR="00E579B9" w:rsidRDefault="006A1398">
      <w:pPr>
        <w:rPr>
          <w:rFonts w:ascii="黑体" w:eastAsia="黑体" w:hAnsi="黑体"/>
          <w:bCs/>
        </w:rPr>
      </w:pPr>
      <w:bookmarkStart w:id="103" w:name="_Hlk32327866"/>
      <w:r>
        <w:rPr>
          <w:rFonts w:hint="eastAsia"/>
        </w:rPr>
        <w:t>本项目</w:t>
      </w:r>
      <w:proofErr w:type="gramStart"/>
      <w:r>
        <w:rPr>
          <w:rFonts w:hint="eastAsia"/>
        </w:rPr>
        <w:t>表土场</w:t>
      </w:r>
      <w:bookmarkEnd w:id="103"/>
      <w:proofErr w:type="gramEnd"/>
      <w:r>
        <w:t>设计位于</w:t>
      </w:r>
      <w:r>
        <w:rPr>
          <w:rFonts w:hint="eastAsia"/>
        </w:rPr>
        <w:t>矿区南侧外边界</w:t>
      </w:r>
      <w:r>
        <w:t>，</w:t>
      </w:r>
      <w:r>
        <w:rPr>
          <w:rFonts w:hint="eastAsia"/>
        </w:rPr>
        <w:t>占地面积约为</w:t>
      </w:r>
      <w:r>
        <w:rPr>
          <w:rFonts w:hint="eastAsia"/>
        </w:rPr>
        <w:t>10000m</w:t>
      </w:r>
      <w:r>
        <w:rPr>
          <w:rFonts w:hint="eastAsia"/>
          <w:vertAlign w:val="superscript"/>
        </w:rPr>
        <w:t>2</w:t>
      </w:r>
      <w:r>
        <w:rPr>
          <w:rFonts w:hint="eastAsia"/>
        </w:rPr>
        <w:t>，</w:t>
      </w:r>
      <w:r>
        <w:t>堆存高度</w:t>
      </w:r>
      <w:r>
        <w:rPr>
          <w:rFonts w:hint="eastAsia"/>
        </w:rPr>
        <w:t>最高</w:t>
      </w:r>
      <w:r>
        <w:rPr>
          <w:rFonts w:hint="eastAsia"/>
        </w:rPr>
        <w:t>3</w:t>
      </w:r>
      <w:r>
        <w:t>m</w:t>
      </w:r>
      <w:r>
        <w:t>，</w:t>
      </w:r>
      <w:r>
        <w:rPr>
          <w:rFonts w:hint="eastAsia"/>
        </w:rPr>
        <w:t>设计</w:t>
      </w:r>
      <w:r>
        <w:t>容量约</w:t>
      </w:r>
      <w:r>
        <w:rPr>
          <w:rFonts w:hint="eastAsia"/>
        </w:rPr>
        <w:t>2.5</w:t>
      </w:r>
      <w:r>
        <w:t>万</w:t>
      </w:r>
      <w:r>
        <w:t>m</w:t>
      </w:r>
      <w:r>
        <w:rPr>
          <w:vertAlign w:val="superscript"/>
        </w:rPr>
        <w:t>3</w:t>
      </w:r>
      <w:r>
        <w:t>，表土和废</w:t>
      </w:r>
      <w:r>
        <w:rPr>
          <w:rFonts w:hint="eastAsia"/>
        </w:rPr>
        <w:t>石</w:t>
      </w:r>
      <w:r>
        <w:t>堆于此处后，</w:t>
      </w:r>
      <w:r>
        <w:rPr>
          <w:rFonts w:hint="eastAsia"/>
        </w:rPr>
        <w:t>所占用的时间不长，可以满足临时堆放周转的需求，表土周转用于生产中矿山道路的修筑和养护，废石外</w:t>
      </w:r>
      <w:proofErr w:type="gramStart"/>
      <w:r>
        <w:rPr>
          <w:rFonts w:hint="eastAsia"/>
        </w:rPr>
        <w:t>售综合</w:t>
      </w:r>
      <w:proofErr w:type="gramEnd"/>
      <w:r>
        <w:rPr>
          <w:rFonts w:hint="eastAsia"/>
        </w:rPr>
        <w:t>再利用。</w:t>
      </w:r>
    </w:p>
    <w:p w14:paraId="6AEC97B3" w14:textId="3CD1AFC6" w:rsidR="00E579B9" w:rsidRDefault="0003710F">
      <w:pPr>
        <w:pStyle w:val="2"/>
        <w:ind w:firstLine="560"/>
      </w:pPr>
      <w:bookmarkStart w:id="104" w:name="_Toc33021793"/>
      <w:r>
        <w:t>3.3</w:t>
      </w:r>
      <w:r w:rsidR="006A1398">
        <w:rPr>
          <w:rFonts w:hint="eastAsia"/>
        </w:rPr>
        <w:t>矿区地质及矿床特征</w:t>
      </w:r>
      <w:bookmarkEnd w:id="101"/>
      <w:bookmarkEnd w:id="102"/>
      <w:bookmarkEnd w:id="104"/>
    </w:p>
    <w:p w14:paraId="118494C2" w14:textId="67784306" w:rsidR="00E579B9" w:rsidRDefault="0003710F">
      <w:pPr>
        <w:pStyle w:val="3"/>
        <w:ind w:firstLine="560"/>
      </w:pPr>
      <w:bookmarkStart w:id="105" w:name="_Toc531939315"/>
      <w:bookmarkStart w:id="106" w:name="_Toc12305"/>
      <w:r>
        <w:t>3.3</w:t>
      </w:r>
      <w:r w:rsidR="006A1398">
        <w:rPr>
          <w:rFonts w:hint="eastAsia"/>
        </w:rPr>
        <w:t>.1</w:t>
      </w:r>
      <w:r w:rsidR="006A1398">
        <w:rPr>
          <w:rFonts w:hint="eastAsia"/>
        </w:rPr>
        <w:t>地层</w:t>
      </w:r>
      <w:bookmarkEnd w:id="105"/>
      <w:bookmarkEnd w:id="106"/>
    </w:p>
    <w:p w14:paraId="264B8B27" w14:textId="77777777" w:rsidR="00E579B9" w:rsidRDefault="006A1398">
      <w:r>
        <w:rPr>
          <w:rFonts w:hint="eastAsia"/>
        </w:rPr>
        <w:t>1</w:t>
      </w:r>
      <w:r>
        <w:rPr>
          <w:rFonts w:hint="eastAsia"/>
        </w:rPr>
        <w:t>、中元古界汝阳群云梦山组</w:t>
      </w:r>
      <w:r>
        <w:rPr>
          <w:rFonts w:hint="eastAsia"/>
        </w:rPr>
        <w:t>(Pt</w:t>
      </w:r>
      <w:r>
        <w:rPr>
          <w:rFonts w:hint="eastAsia"/>
          <w:vertAlign w:val="superscript"/>
        </w:rPr>
        <w:t>2</w:t>
      </w:r>
      <w:r>
        <w:rPr>
          <w:rFonts w:hint="eastAsia"/>
          <w:vertAlign w:val="subscript"/>
        </w:rPr>
        <w:t>2</w:t>
      </w:r>
      <w:r>
        <w:rPr>
          <w:rFonts w:hint="eastAsia"/>
        </w:rPr>
        <w:t>y)</w:t>
      </w:r>
    </w:p>
    <w:p w14:paraId="3B26253E" w14:textId="77777777" w:rsidR="00E579B9" w:rsidRDefault="006A1398">
      <w:r>
        <w:rPr>
          <w:rFonts w:hint="eastAsia"/>
        </w:rPr>
        <w:t>矿区内大面积出露，主要岩性为灰白</w:t>
      </w:r>
      <w:r>
        <w:rPr>
          <w:rFonts w:hint="eastAsia"/>
        </w:rPr>
        <w:t>-</w:t>
      </w:r>
      <w:r>
        <w:rPr>
          <w:rFonts w:hint="eastAsia"/>
        </w:rPr>
        <w:t>浅红色不等粒石英砂岩、云母石英片岩和灰黑色大理岩，大理岩中多见石英岩夹层。由碳酸盐岩或其他硅质岩石经过区域变质作用，</w:t>
      </w:r>
      <w:hyperlink r:id="rId30" w:history="1">
        <w:r>
          <w:rPr>
            <w:rFonts w:hint="eastAsia"/>
          </w:rPr>
          <w:t>重结晶</w:t>
        </w:r>
      </w:hyperlink>
      <w:r>
        <w:rPr>
          <w:rFonts w:hint="eastAsia"/>
        </w:rPr>
        <w:t>而形成。</w:t>
      </w:r>
    </w:p>
    <w:p w14:paraId="416F9FB4" w14:textId="77777777" w:rsidR="00E579B9" w:rsidRDefault="006A1398">
      <w:r>
        <w:rPr>
          <w:rFonts w:hint="eastAsia"/>
        </w:rPr>
        <w:t>2</w:t>
      </w:r>
      <w:r>
        <w:rPr>
          <w:rFonts w:hint="eastAsia"/>
        </w:rPr>
        <w:t>、第四系（</w:t>
      </w:r>
      <w:r>
        <w:rPr>
          <w:rFonts w:hint="eastAsia"/>
        </w:rPr>
        <w:t>Q</w:t>
      </w:r>
      <w:r>
        <w:rPr>
          <w:rFonts w:hint="eastAsia"/>
        </w:rPr>
        <w:t>）</w:t>
      </w:r>
    </w:p>
    <w:p w14:paraId="724E909B" w14:textId="77777777" w:rsidR="00E579B9" w:rsidRDefault="006A1398">
      <w:r>
        <w:rPr>
          <w:rFonts w:hint="eastAsia"/>
        </w:rPr>
        <w:t>分布在矿区东部沟谷附近，</w:t>
      </w:r>
      <w:proofErr w:type="gramStart"/>
      <w:r>
        <w:rPr>
          <w:rFonts w:hint="eastAsia"/>
        </w:rPr>
        <w:t>主要为坡积</w:t>
      </w:r>
      <w:proofErr w:type="gramEnd"/>
      <w:r>
        <w:rPr>
          <w:rFonts w:hint="eastAsia"/>
        </w:rPr>
        <w:t>和冲积物。</w:t>
      </w:r>
    </w:p>
    <w:p w14:paraId="4B0E90CE" w14:textId="7FDFB06C" w:rsidR="00E579B9" w:rsidRDefault="0003710F">
      <w:pPr>
        <w:pStyle w:val="3"/>
        <w:ind w:firstLine="560"/>
      </w:pPr>
      <w:bookmarkStart w:id="107" w:name="_Toc531939316"/>
      <w:bookmarkStart w:id="108" w:name="_Toc23676"/>
      <w:bookmarkStart w:id="109" w:name="_Toc29074"/>
      <w:bookmarkStart w:id="110" w:name="_Toc475292966"/>
      <w:r>
        <w:t>3.3</w:t>
      </w:r>
      <w:r w:rsidR="006A1398">
        <w:rPr>
          <w:rFonts w:hint="eastAsia"/>
        </w:rPr>
        <w:t>.2</w:t>
      </w:r>
      <w:r w:rsidR="006A1398">
        <w:rPr>
          <w:rFonts w:hint="eastAsia"/>
        </w:rPr>
        <w:t>构造</w:t>
      </w:r>
      <w:bookmarkEnd w:id="107"/>
      <w:bookmarkEnd w:id="108"/>
      <w:bookmarkEnd w:id="109"/>
      <w:bookmarkEnd w:id="110"/>
    </w:p>
    <w:p w14:paraId="08D60A7A" w14:textId="77777777" w:rsidR="00E579B9" w:rsidRDefault="006A1398">
      <w:pPr>
        <w:rPr>
          <w:bCs/>
        </w:rPr>
      </w:pPr>
      <w:r>
        <w:rPr>
          <w:rFonts w:hint="eastAsia"/>
        </w:rPr>
        <w:t>矿区内构造简单，地层整体为向南西倾斜单斜构造，地层产状</w:t>
      </w:r>
      <w:r>
        <w:rPr>
          <w:rFonts w:hint="eastAsia"/>
        </w:rPr>
        <w:t>30</w:t>
      </w:r>
      <w:r>
        <w:rPr>
          <w:rFonts w:hint="eastAsia"/>
        </w:rPr>
        <w:t>°左右。</w:t>
      </w:r>
    </w:p>
    <w:p w14:paraId="165CA36B" w14:textId="236892DA" w:rsidR="00E579B9" w:rsidRDefault="0003710F">
      <w:pPr>
        <w:pStyle w:val="3"/>
        <w:ind w:firstLine="560"/>
      </w:pPr>
      <w:bookmarkStart w:id="111" w:name="_Toc31728"/>
      <w:bookmarkStart w:id="112" w:name="_Toc24329"/>
      <w:bookmarkStart w:id="113" w:name="_Toc475292967"/>
      <w:bookmarkStart w:id="114" w:name="_Toc531939317"/>
      <w:r>
        <w:t>3.3</w:t>
      </w:r>
      <w:r w:rsidR="006A1398">
        <w:rPr>
          <w:rFonts w:hint="eastAsia"/>
        </w:rPr>
        <w:t>.</w:t>
      </w:r>
      <w:r w:rsidR="006A1398">
        <w:t>3</w:t>
      </w:r>
      <w:r w:rsidR="006A1398">
        <w:rPr>
          <w:rFonts w:hint="eastAsia"/>
        </w:rPr>
        <w:t>岩浆岩</w:t>
      </w:r>
      <w:bookmarkEnd w:id="111"/>
      <w:bookmarkEnd w:id="112"/>
      <w:bookmarkEnd w:id="113"/>
      <w:bookmarkEnd w:id="114"/>
    </w:p>
    <w:p w14:paraId="7AF60314" w14:textId="77777777" w:rsidR="00E579B9" w:rsidRDefault="006A1398">
      <w:r>
        <w:rPr>
          <w:rFonts w:hint="eastAsia"/>
        </w:rPr>
        <w:t>工作区出露岩浆岩主要为玄武岩和中粒花岗岩，中基性玄武—安山岩火山喷发列</w:t>
      </w:r>
      <w:proofErr w:type="gramStart"/>
      <w:r>
        <w:rPr>
          <w:rFonts w:hint="eastAsia"/>
        </w:rPr>
        <w:t>的偏基性</w:t>
      </w:r>
      <w:proofErr w:type="gramEnd"/>
      <w:r>
        <w:rPr>
          <w:rFonts w:hint="eastAsia"/>
        </w:rPr>
        <w:t>部分。整体</w:t>
      </w:r>
      <w:proofErr w:type="gramStart"/>
      <w:r>
        <w:rPr>
          <w:rFonts w:hint="eastAsia"/>
        </w:rPr>
        <w:t>岩浆岩系呈岩盆</w:t>
      </w:r>
      <w:proofErr w:type="gramEnd"/>
      <w:r>
        <w:rPr>
          <w:rFonts w:hint="eastAsia"/>
        </w:rPr>
        <w:t>状产出，</w:t>
      </w:r>
      <w:proofErr w:type="gramStart"/>
      <w:r>
        <w:rPr>
          <w:rFonts w:hint="eastAsia"/>
        </w:rPr>
        <w:t>火山喷围和</w:t>
      </w:r>
      <w:proofErr w:type="gramEnd"/>
      <w:r>
        <w:rPr>
          <w:rFonts w:hint="eastAsia"/>
        </w:rPr>
        <w:t>规模受中元古代早期裂谷盆地控制。本区属于豫西大规模火山喷出盆地向东南延续的边缘，仅存在于该区域背斜的南翼，地表分布厚度受上覆汝阳群前期侵蚀和近代侵蚀双重影响，出露范围较狭窄。</w:t>
      </w:r>
    </w:p>
    <w:p w14:paraId="4AE113D8" w14:textId="77777777" w:rsidR="00E579B9" w:rsidRDefault="006A1398">
      <w:r>
        <w:rPr>
          <w:rFonts w:hint="eastAsia"/>
        </w:rPr>
        <w:t>花岗岩主要分布在矿区东南部，区内出露的花岗岩均较风化。</w:t>
      </w:r>
    </w:p>
    <w:p w14:paraId="37C32FCB" w14:textId="25EA7B1D" w:rsidR="00E579B9" w:rsidRDefault="0003710F">
      <w:pPr>
        <w:pStyle w:val="3"/>
        <w:ind w:firstLine="560"/>
      </w:pPr>
      <w:r>
        <w:t>3.3</w:t>
      </w:r>
      <w:r w:rsidR="006A1398">
        <w:t>.4</w:t>
      </w:r>
      <w:r w:rsidR="006A1398">
        <w:rPr>
          <w:rFonts w:hint="eastAsia"/>
        </w:rPr>
        <w:t>矿体地质特征</w:t>
      </w:r>
    </w:p>
    <w:p w14:paraId="560D4EEB" w14:textId="77777777" w:rsidR="00E579B9" w:rsidRDefault="006A1398">
      <w:r>
        <w:rPr>
          <w:rFonts w:hint="eastAsia"/>
        </w:rPr>
        <w:t>建筑石料用大理岩矿主要赋存于中元古界汝阳群地层之中底部，其中大理岩为主要含矿层位。矿体产状与地层产状一致，颜色以灰黑色为主，中间多见石英岩夹</w:t>
      </w:r>
      <w:r>
        <w:rPr>
          <w:rFonts w:hint="eastAsia"/>
        </w:rPr>
        <w:lastRenderedPageBreak/>
        <w:t>层，平均厚度大于</w:t>
      </w:r>
      <w:r>
        <w:rPr>
          <w:rFonts w:hint="eastAsia"/>
        </w:rPr>
        <w:t>100</w:t>
      </w:r>
      <w:r>
        <w:rPr>
          <w:rFonts w:hint="eastAsia"/>
        </w:rPr>
        <w:t>米。倾向</w:t>
      </w:r>
      <w:r>
        <w:rPr>
          <w:rFonts w:hint="eastAsia"/>
        </w:rPr>
        <w:t>200</w:t>
      </w:r>
      <w:r>
        <w:rPr>
          <w:rFonts w:hint="eastAsia"/>
        </w:rPr>
        <w:t>°左右，倾角</w:t>
      </w:r>
      <w:r>
        <w:rPr>
          <w:rFonts w:hint="eastAsia"/>
        </w:rPr>
        <w:t>30</w:t>
      </w:r>
      <w:r>
        <w:rPr>
          <w:rFonts w:hint="eastAsia"/>
        </w:rPr>
        <w:t>°左右，出露标高为</w:t>
      </w:r>
      <w:r>
        <w:rPr>
          <w:rFonts w:hint="eastAsia"/>
        </w:rPr>
        <w:t>+270</w:t>
      </w:r>
      <w:r>
        <w:rPr>
          <w:rFonts w:hint="eastAsia"/>
        </w:rPr>
        <w:t>—</w:t>
      </w:r>
      <w:r>
        <w:rPr>
          <w:rFonts w:hint="eastAsia"/>
        </w:rPr>
        <w:t>+530m</w:t>
      </w:r>
      <w:r>
        <w:rPr>
          <w:rFonts w:hint="eastAsia"/>
        </w:rPr>
        <w:t>（矿区内），本次最低估算标高为</w:t>
      </w:r>
      <w:r>
        <w:rPr>
          <w:rFonts w:hint="eastAsia"/>
        </w:rPr>
        <w:t>290m</w:t>
      </w:r>
      <w:r>
        <w:rPr>
          <w:rFonts w:hint="eastAsia"/>
        </w:rPr>
        <w:t>。</w:t>
      </w:r>
    </w:p>
    <w:p w14:paraId="579974D9" w14:textId="10B7E112" w:rsidR="00E579B9" w:rsidRDefault="006A1398">
      <w:r>
        <w:rPr>
          <w:rFonts w:hint="eastAsia"/>
        </w:rPr>
        <w:t>另外在矿区范围西部山顶附近分布有一层玄武岩，</w:t>
      </w:r>
      <w:r>
        <w:rPr>
          <w:rFonts w:hint="eastAsia"/>
        </w:rPr>
        <w:t>22-40</w:t>
      </w:r>
      <w:r>
        <w:rPr>
          <w:rFonts w:hint="eastAsia"/>
        </w:rPr>
        <w:t>米左右，层位较稳定，地表出露标高</w:t>
      </w:r>
      <w:r>
        <w:rPr>
          <w:rFonts w:hint="eastAsia"/>
        </w:rPr>
        <w:t>+325-+505m</w:t>
      </w:r>
      <w:r>
        <w:rPr>
          <w:rFonts w:hint="eastAsia"/>
        </w:rPr>
        <w:t>，产状与地层产状基本一致。玄武岩矿体是整个中基性玄武岩火山喷发</w:t>
      </w:r>
      <w:proofErr w:type="gramStart"/>
      <w:r>
        <w:rPr>
          <w:rFonts w:hint="eastAsia"/>
        </w:rPr>
        <w:t>岩系列的偏基</w:t>
      </w:r>
      <w:proofErr w:type="gramEnd"/>
      <w:r>
        <w:rPr>
          <w:rFonts w:hint="eastAsia"/>
        </w:rPr>
        <w:t>性部分，整体</w:t>
      </w:r>
      <w:proofErr w:type="gramStart"/>
      <w:r>
        <w:rPr>
          <w:rFonts w:hint="eastAsia"/>
        </w:rPr>
        <w:t>火山岩系呈岩床</w:t>
      </w:r>
      <w:proofErr w:type="gramEnd"/>
      <w:r>
        <w:rPr>
          <w:rFonts w:hint="eastAsia"/>
        </w:rPr>
        <w:t>状产出，火山喷溢范围和规模受中元古代早期裂谷盆地控制。地表分布厚度受上覆汝阳群前期侵蚀和近代剥蚀双重影响，出露范围一般较狭窄。参考周边其他矿山生产资料，玄武岩能达到建筑石料要求，本次工作对大理岩开采境界范围内玄武岩进行了综合评价，估算了玄武岩储量。</w:t>
      </w:r>
    </w:p>
    <w:p w14:paraId="35247CC1" w14:textId="238ABEBD" w:rsidR="00E579B9" w:rsidRDefault="0003710F">
      <w:pPr>
        <w:pStyle w:val="3"/>
        <w:ind w:firstLine="560"/>
      </w:pPr>
      <w:r>
        <w:rPr>
          <w:rFonts w:hint="eastAsia"/>
        </w:rPr>
        <w:t>3.3</w:t>
      </w:r>
      <w:r w:rsidR="006A1398">
        <w:rPr>
          <w:rFonts w:hint="eastAsia"/>
        </w:rPr>
        <w:t>.5</w:t>
      </w:r>
      <w:r w:rsidR="006A1398">
        <w:rPr>
          <w:rFonts w:hint="eastAsia"/>
        </w:rPr>
        <w:t>覆盖层、风化层的分布特征</w:t>
      </w:r>
    </w:p>
    <w:p w14:paraId="53D2BC5F" w14:textId="77777777" w:rsidR="00E579B9" w:rsidRDefault="006A1398">
      <w:r>
        <w:rPr>
          <w:rFonts w:hint="eastAsia"/>
        </w:rPr>
        <w:t>区内的矿体覆盖层一般不发育，覆盖层主要为地表风化的大理岩或者少量的第四系覆盖物。根据对工作区内实地调查显示覆盖层为</w:t>
      </w:r>
      <w:r>
        <w:rPr>
          <w:rFonts w:hint="eastAsia"/>
        </w:rPr>
        <w:t>0</w:t>
      </w:r>
      <w:r>
        <w:rPr>
          <w:rFonts w:hint="eastAsia"/>
        </w:rPr>
        <w:t>—</w:t>
      </w:r>
      <w:r>
        <w:rPr>
          <w:rFonts w:hint="eastAsia"/>
        </w:rPr>
        <w:t>1.6</w:t>
      </w:r>
      <w:r>
        <w:rPr>
          <w:rFonts w:hint="eastAsia"/>
        </w:rPr>
        <w:t>米厚，平均</w:t>
      </w:r>
      <w:r>
        <w:rPr>
          <w:rFonts w:hint="eastAsia"/>
        </w:rPr>
        <w:t>1</w:t>
      </w:r>
      <w:r>
        <w:rPr>
          <w:rFonts w:hint="eastAsia"/>
        </w:rPr>
        <w:t>米左右。矿体中间多见石英岩夹层，本次资源储量估算对覆盖层进行了剔除，并估算了剥采比。其中剥离物中玄武岩经周边类似矿山生产验证，可作为优质石料使用，本次工作对开采境界范围内的玄武岩进行了估算，在进行</w:t>
      </w:r>
      <w:proofErr w:type="gramStart"/>
      <w:r>
        <w:rPr>
          <w:rFonts w:hint="eastAsia"/>
        </w:rPr>
        <w:t>权益金</w:t>
      </w:r>
      <w:proofErr w:type="gramEnd"/>
      <w:r>
        <w:rPr>
          <w:rFonts w:hint="eastAsia"/>
        </w:rPr>
        <w:t>处置后，可综合回收利用。</w:t>
      </w:r>
    </w:p>
    <w:p w14:paraId="5691748F" w14:textId="2D81ADCB" w:rsidR="00E579B9" w:rsidRDefault="0003710F">
      <w:pPr>
        <w:pStyle w:val="3"/>
        <w:ind w:firstLine="560"/>
      </w:pPr>
      <w:bookmarkStart w:id="115" w:name="_Toc9677"/>
      <w:bookmarkStart w:id="116" w:name="_Toc531939319"/>
      <w:r>
        <w:t>3.3</w:t>
      </w:r>
      <w:r w:rsidR="006A1398">
        <w:rPr>
          <w:rFonts w:hint="eastAsia"/>
        </w:rPr>
        <w:t>.</w:t>
      </w:r>
      <w:r w:rsidR="006A1398">
        <w:t>6</w:t>
      </w:r>
      <w:r w:rsidR="006A1398">
        <w:rPr>
          <w:rFonts w:hint="eastAsia"/>
        </w:rPr>
        <w:t>矿石质量</w:t>
      </w:r>
      <w:bookmarkEnd w:id="115"/>
      <w:bookmarkEnd w:id="116"/>
    </w:p>
    <w:p w14:paraId="253168F1" w14:textId="709D726C" w:rsidR="00E579B9" w:rsidRDefault="0003710F">
      <w:r>
        <w:t>3.3</w:t>
      </w:r>
      <w:r w:rsidR="006A1398">
        <w:t>.6.1</w:t>
      </w:r>
      <w:r w:rsidR="006A1398">
        <w:t>矿物成分</w:t>
      </w:r>
    </w:p>
    <w:p w14:paraId="7393BAF7" w14:textId="77777777" w:rsidR="00E579B9" w:rsidRDefault="006A1398">
      <w:r>
        <w:rPr>
          <w:rFonts w:hint="eastAsia"/>
        </w:rPr>
        <w:t>大理岩矿物成分以重结晶方解石为主，含少量白云石、硅灰石、透闪石、透辉石、斜长石、石英。</w:t>
      </w:r>
    </w:p>
    <w:p w14:paraId="057898A2" w14:textId="77777777" w:rsidR="00E579B9" w:rsidRDefault="006A1398">
      <w:pPr>
        <w:rPr>
          <w:bCs/>
        </w:rPr>
      </w:pPr>
      <w:r>
        <w:rPr>
          <w:rFonts w:hint="eastAsia"/>
        </w:rPr>
        <w:t>玄武岩主要矿物（收集周边矿山资料）：中基性斜长石，次为辉石、角闪石，</w:t>
      </w:r>
      <w:proofErr w:type="gramStart"/>
      <w:r>
        <w:rPr>
          <w:rFonts w:hint="eastAsia"/>
        </w:rPr>
        <w:t>暗色隐晶玻璃质</w:t>
      </w:r>
      <w:proofErr w:type="gramEnd"/>
      <w:r>
        <w:rPr>
          <w:rFonts w:hint="eastAsia"/>
        </w:rPr>
        <w:t>，少量及微量矿物磁铁矿，此外还有黑云母、钾长石、石英、钛铁矿、褐铁矿、绿泥石、黄铁矿等。</w:t>
      </w:r>
    </w:p>
    <w:p w14:paraId="7E843EE9" w14:textId="7BE56432" w:rsidR="00E579B9" w:rsidRDefault="0003710F">
      <w:r>
        <w:t>3.3</w:t>
      </w:r>
      <w:r w:rsidR="006A1398">
        <w:t>.6.2</w:t>
      </w:r>
      <w:r w:rsidR="006A1398">
        <w:t>矿石化学成分</w:t>
      </w:r>
    </w:p>
    <w:p w14:paraId="326E7C76" w14:textId="3A2D521A" w:rsidR="00E579B9" w:rsidRDefault="006A1398">
      <w:r>
        <w:rPr>
          <w:rFonts w:hint="eastAsia"/>
        </w:rPr>
        <w:t>该区建筑石料用大理岩矿的主要化学成分为氧化钙</w:t>
      </w:r>
      <w:r>
        <w:rPr>
          <w:rFonts w:hint="eastAsia"/>
        </w:rPr>
        <w:t>(42%)</w:t>
      </w:r>
      <w:r>
        <w:rPr>
          <w:rFonts w:hint="eastAsia"/>
        </w:rPr>
        <w:t>，含少量二</w:t>
      </w:r>
      <w:proofErr w:type="gramStart"/>
      <w:r>
        <w:rPr>
          <w:rFonts w:hint="eastAsia"/>
        </w:rPr>
        <w:t>氧件硅</w:t>
      </w:r>
      <w:proofErr w:type="gramEnd"/>
      <w:r>
        <w:rPr>
          <w:rFonts w:hint="eastAsia"/>
        </w:rPr>
        <w:t>和氧化镁，微量矿物有氧化钾、氧化钙、氧化铝、氧化铁等。主要化学成份见表</w:t>
      </w:r>
      <w:r w:rsidR="0003710F">
        <w:rPr>
          <w:rFonts w:hint="eastAsia"/>
        </w:rPr>
        <w:t>3.3</w:t>
      </w:r>
      <w:r>
        <w:rPr>
          <w:rFonts w:hint="eastAsia"/>
        </w:rPr>
        <w:t>-1</w:t>
      </w:r>
      <w:r>
        <w:rPr>
          <w:rFonts w:hint="eastAsia"/>
        </w:rPr>
        <w:t>。</w:t>
      </w:r>
    </w:p>
    <w:p w14:paraId="53A9929B" w14:textId="3A8A4B04" w:rsidR="00E579B9" w:rsidRDefault="006A1398">
      <w:pPr>
        <w:pStyle w:val="21"/>
      </w:pPr>
      <w:r>
        <w:t>表</w:t>
      </w:r>
      <w:r w:rsidR="0003710F">
        <w:t>3.3</w:t>
      </w:r>
      <w:r>
        <w:t>-1</w:t>
      </w:r>
      <w:r>
        <w:t>矿石化学成分一览表</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6"/>
        <w:gridCol w:w="2907"/>
        <w:gridCol w:w="2907"/>
      </w:tblGrid>
      <w:tr w:rsidR="00E579B9" w14:paraId="5823FB22" w14:textId="77777777">
        <w:trPr>
          <w:trHeight w:val="351"/>
        </w:trPr>
        <w:tc>
          <w:tcPr>
            <w:tcW w:w="2906" w:type="dxa"/>
            <w:tcBorders>
              <w:top w:val="single" w:sz="4" w:space="0" w:color="auto"/>
              <w:left w:val="single" w:sz="4" w:space="0" w:color="auto"/>
              <w:bottom w:val="single" w:sz="4" w:space="0" w:color="auto"/>
              <w:right w:val="single" w:sz="4" w:space="0" w:color="auto"/>
            </w:tcBorders>
          </w:tcPr>
          <w:p w14:paraId="2B6A390C" w14:textId="77777777" w:rsidR="00E579B9" w:rsidRDefault="006A1398">
            <w:pPr>
              <w:pStyle w:val="aa"/>
            </w:pPr>
            <w:r>
              <w:rPr>
                <w:rFonts w:hint="eastAsia"/>
              </w:rPr>
              <w:lastRenderedPageBreak/>
              <w:t>名称</w:t>
            </w:r>
          </w:p>
        </w:tc>
        <w:tc>
          <w:tcPr>
            <w:tcW w:w="2907" w:type="dxa"/>
            <w:tcBorders>
              <w:top w:val="single" w:sz="4" w:space="0" w:color="auto"/>
              <w:left w:val="nil"/>
              <w:bottom w:val="single" w:sz="4" w:space="0" w:color="auto"/>
              <w:right w:val="single" w:sz="4" w:space="0" w:color="auto"/>
            </w:tcBorders>
          </w:tcPr>
          <w:p w14:paraId="251B5B0D" w14:textId="77777777" w:rsidR="00E579B9" w:rsidRDefault="006A1398">
            <w:pPr>
              <w:pStyle w:val="aa"/>
            </w:pPr>
            <w:r>
              <w:rPr>
                <w:rFonts w:hint="eastAsia"/>
              </w:rPr>
              <w:t>化学成分</w:t>
            </w:r>
          </w:p>
        </w:tc>
        <w:tc>
          <w:tcPr>
            <w:tcW w:w="2907" w:type="dxa"/>
            <w:tcBorders>
              <w:top w:val="single" w:sz="4" w:space="0" w:color="auto"/>
              <w:left w:val="nil"/>
              <w:bottom w:val="single" w:sz="4" w:space="0" w:color="auto"/>
              <w:right w:val="single" w:sz="4" w:space="0" w:color="auto"/>
            </w:tcBorders>
          </w:tcPr>
          <w:p w14:paraId="2580C576" w14:textId="77777777" w:rsidR="00E579B9" w:rsidRDefault="006A1398">
            <w:pPr>
              <w:pStyle w:val="aa"/>
            </w:pPr>
            <w:r>
              <w:rPr>
                <w:rFonts w:hint="eastAsia"/>
              </w:rPr>
              <w:t>含量（</w:t>
            </w:r>
            <w:r>
              <w:rPr>
                <w:rFonts w:hint="eastAsia"/>
              </w:rPr>
              <w:t>%</w:t>
            </w:r>
            <w:r>
              <w:rPr>
                <w:rFonts w:hint="eastAsia"/>
              </w:rPr>
              <w:t>）</w:t>
            </w:r>
          </w:p>
        </w:tc>
      </w:tr>
      <w:tr w:rsidR="00E579B9" w14:paraId="0D7FAC1C" w14:textId="77777777">
        <w:trPr>
          <w:trHeight w:val="285"/>
        </w:trPr>
        <w:tc>
          <w:tcPr>
            <w:tcW w:w="2906" w:type="dxa"/>
            <w:vMerge w:val="restart"/>
            <w:tcBorders>
              <w:top w:val="nil"/>
              <w:left w:val="single" w:sz="4" w:space="0" w:color="auto"/>
              <w:bottom w:val="single" w:sz="4" w:space="0" w:color="auto"/>
              <w:right w:val="single" w:sz="4" w:space="0" w:color="auto"/>
            </w:tcBorders>
          </w:tcPr>
          <w:p w14:paraId="77663B30" w14:textId="77777777" w:rsidR="00E579B9" w:rsidRDefault="00E579B9">
            <w:pPr>
              <w:pStyle w:val="aa"/>
            </w:pPr>
          </w:p>
          <w:p w14:paraId="27F99999" w14:textId="77777777" w:rsidR="00E579B9" w:rsidRDefault="00E579B9">
            <w:pPr>
              <w:pStyle w:val="aa"/>
            </w:pPr>
          </w:p>
          <w:p w14:paraId="2D86517C" w14:textId="77777777" w:rsidR="00E579B9" w:rsidRDefault="006A1398">
            <w:pPr>
              <w:pStyle w:val="aa"/>
            </w:pPr>
            <w:r>
              <w:rPr>
                <w:rFonts w:hint="eastAsia"/>
              </w:rPr>
              <w:t>大理岩</w:t>
            </w:r>
          </w:p>
        </w:tc>
        <w:tc>
          <w:tcPr>
            <w:tcW w:w="2907" w:type="dxa"/>
            <w:tcBorders>
              <w:top w:val="single" w:sz="4" w:space="0" w:color="auto"/>
              <w:left w:val="nil"/>
              <w:bottom w:val="single" w:sz="4" w:space="0" w:color="auto"/>
              <w:right w:val="single" w:sz="4" w:space="0" w:color="auto"/>
            </w:tcBorders>
          </w:tcPr>
          <w:p w14:paraId="14F0BFCA" w14:textId="77777777" w:rsidR="00E579B9" w:rsidRDefault="006A1398">
            <w:pPr>
              <w:pStyle w:val="aa"/>
            </w:pPr>
            <w:proofErr w:type="spellStart"/>
            <w:r>
              <w:rPr>
                <w:rFonts w:hint="eastAsia"/>
              </w:rPr>
              <w:t>CaO</w:t>
            </w:r>
            <w:proofErr w:type="spellEnd"/>
          </w:p>
        </w:tc>
        <w:tc>
          <w:tcPr>
            <w:tcW w:w="2907" w:type="dxa"/>
            <w:tcBorders>
              <w:top w:val="single" w:sz="4" w:space="0" w:color="auto"/>
              <w:left w:val="nil"/>
              <w:bottom w:val="single" w:sz="4" w:space="0" w:color="auto"/>
              <w:right w:val="single" w:sz="4" w:space="0" w:color="auto"/>
            </w:tcBorders>
          </w:tcPr>
          <w:p w14:paraId="72FA75A2" w14:textId="77777777" w:rsidR="00E579B9" w:rsidRDefault="006A1398">
            <w:pPr>
              <w:pStyle w:val="aa"/>
            </w:pPr>
            <w:r>
              <w:rPr>
                <w:rFonts w:hint="eastAsia"/>
              </w:rPr>
              <w:t>41.81</w:t>
            </w:r>
          </w:p>
        </w:tc>
      </w:tr>
      <w:tr w:rsidR="00E579B9" w14:paraId="4628D7A4" w14:textId="77777777">
        <w:trPr>
          <w:trHeight w:val="289"/>
        </w:trPr>
        <w:tc>
          <w:tcPr>
            <w:tcW w:w="2906" w:type="dxa"/>
            <w:vMerge/>
            <w:tcBorders>
              <w:top w:val="nil"/>
              <w:left w:val="single" w:sz="4" w:space="0" w:color="auto"/>
              <w:bottom w:val="single" w:sz="4" w:space="0" w:color="auto"/>
              <w:right w:val="single" w:sz="4" w:space="0" w:color="auto"/>
            </w:tcBorders>
            <w:vAlign w:val="center"/>
          </w:tcPr>
          <w:p w14:paraId="75FA6325" w14:textId="77777777" w:rsidR="00E579B9" w:rsidRDefault="00E579B9">
            <w:pPr>
              <w:pStyle w:val="aa"/>
            </w:pPr>
          </w:p>
        </w:tc>
        <w:tc>
          <w:tcPr>
            <w:tcW w:w="2907" w:type="dxa"/>
            <w:tcBorders>
              <w:top w:val="single" w:sz="4" w:space="0" w:color="auto"/>
              <w:left w:val="nil"/>
              <w:bottom w:val="single" w:sz="4" w:space="0" w:color="auto"/>
              <w:right w:val="single" w:sz="4" w:space="0" w:color="auto"/>
            </w:tcBorders>
          </w:tcPr>
          <w:p w14:paraId="21BA6C64" w14:textId="77777777" w:rsidR="00E579B9" w:rsidRDefault="006A1398">
            <w:pPr>
              <w:pStyle w:val="aa"/>
            </w:pPr>
            <w:r>
              <w:rPr>
                <w:rFonts w:hint="eastAsia"/>
              </w:rPr>
              <w:t>MgO</w:t>
            </w:r>
          </w:p>
        </w:tc>
        <w:tc>
          <w:tcPr>
            <w:tcW w:w="2907" w:type="dxa"/>
            <w:tcBorders>
              <w:top w:val="single" w:sz="4" w:space="0" w:color="auto"/>
              <w:left w:val="nil"/>
              <w:bottom w:val="single" w:sz="4" w:space="0" w:color="auto"/>
              <w:right w:val="single" w:sz="4" w:space="0" w:color="auto"/>
            </w:tcBorders>
          </w:tcPr>
          <w:p w14:paraId="07DD0C2D" w14:textId="77777777" w:rsidR="00E579B9" w:rsidRDefault="006A1398">
            <w:pPr>
              <w:pStyle w:val="aa"/>
            </w:pPr>
            <w:r>
              <w:rPr>
                <w:rFonts w:hint="eastAsia"/>
              </w:rPr>
              <w:t>3.86</w:t>
            </w:r>
          </w:p>
        </w:tc>
      </w:tr>
      <w:tr w:rsidR="00E579B9" w14:paraId="22A2724D" w14:textId="77777777">
        <w:trPr>
          <w:trHeight w:val="300"/>
        </w:trPr>
        <w:tc>
          <w:tcPr>
            <w:tcW w:w="2906" w:type="dxa"/>
            <w:vMerge/>
            <w:tcBorders>
              <w:top w:val="nil"/>
              <w:left w:val="single" w:sz="4" w:space="0" w:color="auto"/>
              <w:bottom w:val="single" w:sz="4" w:space="0" w:color="auto"/>
              <w:right w:val="single" w:sz="4" w:space="0" w:color="auto"/>
            </w:tcBorders>
            <w:vAlign w:val="center"/>
          </w:tcPr>
          <w:p w14:paraId="27E57862" w14:textId="77777777" w:rsidR="00E579B9" w:rsidRDefault="00E579B9">
            <w:pPr>
              <w:pStyle w:val="aa"/>
            </w:pPr>
          </w:p>
        </w:tc>
        <w:tc>
          <w:tcPr>
            <w:tcW w:w="2907" w:type="dxa"/>
            <w:tcBorders>
              <w:top w:val="single" w:sz="4" w:space="0" w:color="auto"/>
              <w:left w:val="nil"/>
              <w:bottom w:val="single" w:sz="4" w:space="0" w:color="auto"/>
              <w:right w:val="single" w:sz="4" w:space="0" w:color="auto"/>
            </w:tcBorders>
          </w:tcPr>
          <w:p w14:paraId="29481E38" w14:textId="77777777" w:rsidR="00E579B9" w:rsidRDefault="006A1398">
            <w:pPr>
              <w:pStyle w:val="aa"/>
            </w:pPr>
            <w:r>
              <w:rPr>
                <w:rFonts w:hint="eastAsia"/>
              </w:rPr>
              <w:t>SiO</w:t>
            </w:r>
            <w:r>
              <w:rPr>
                <w:rFonts w:hint="eastAsia"/>
                <w:vertAlign w:val="subscript"/>
              </w:rPr>
              <w:t>2</w:t>
            </w:r>
          </w:p>
        </w:tc>
        <w:tc>
          <w:tcPr>
            <w:tcW w:w="2907" w:type="dxa"/>
            <w:tcBorders>
              <w:top w:val="single" w:sz="4" w:space="0" w:color="auto"/>
              <w:left w:val="nil"/>
              <w:bottom w:val="single" w:sz="4" w:space="0" w:color="auto"/>
              <w:right w:val="single" w:sz="4" w:space="0" w:color="auto"/>
            </w:tcBorders>
          </w:tcPr>
          <w:p w14:paraId="4EBC2348" w14:textId="77777777" w:rsidR="00E579B9" w:rsidRDefault="006A1398">
            <w:pPr>
              <w:pStyle w:val="aa"/>
            </w:pPr>
            <w:r>
              <w:rPr>
                <w:rFonts w:hint="eastAsia"/>
              </w:rPr>
              <w:t>6.32</w:t>
            </w:r>
          </w:p>
        </w:tc>
      </w:tr>
      <w:tr w:rsidR="00E579B9" w14:paraId="0E42D5A4" w14:textId="77777777">
        <w:trPr>
          <w:trHeight w:val="300"/>
        </w:trPr>
        <w:tc>
          <w:tcPr>
            <w:tcW w:w="2906" w:type="dxa"/>
            <w:vMerge/>
            <w:tcBorders>
              <w:top w:val="nil"/>
              <w:left w:val="single" w:sz="4" w:space="0" w:color="auto"/>
              <w:bottom w:val="single" w:sz="4" w:space="0" w:color="auto"/>
              <w:right w:val="single" w:sz="4" w:space="0" w:color="auto"/>
            </w:tcBorders>
            <w:vAlign w:val="center"/>
          </w:tcPr>
          <w:p w14:paraId="4D07B216" w14:textId="77777777" w:rsidR="00E579B9" w:rsidRDefault="00E579B9">
            <w:pPr>
              <w:pStyle w:val="aa"/>
            </w:pPr>
          </w:p>
        </w:tc>
        <w:tc>
          <w:tcPr>
            <w:tcW w:w="2907" w:type="dxa"/>
            <w:tcBorders>
              <w:top w:val="single" w:sz="4" w:space="0" w:color="auto"/>
              <w:left w:val="nil"/>
              <w:bottom w:val="single" w:sz="4" w:space="0" w:color="auto"/>
              <w:right w:val="single" w:sz="4" w:space="0" w:color="auto"/>
            </w:tcBorders>
          </w:tcPr>
          <w:p w14:paraId="3B47E616" w14:textId="77777777" w:rsidR="00E579B9" w:rsidRDefault="006A1398">
            <w:pPr>
              <w:pStyle w:val="aa"/>
            </w:pPr>
            <w:r>
              <w:rPr>
                <w:rFonts w:hint="eastAsia"/>
              </w:rPr>
              <w:t>Al</w:t>
            </w:r>
            <w:r>
              <w:rPr>
                <w:rFonts w:hint="eastAsia"/>
                <w:vertAlign w:val="subscript"/>
              </w:rPr>
              <w:t>2</w:t>
            </w:r>
            <w:r>
              <w:rPr>
                <w:rFonts w:hint="eastAsia"/>
              </w:rPr>
              <w:t>O</w:t>
            </w:r>
            <w:r>
              <w:rPr>
                <w:rFonts w:hint="eastAsia"/>
                <w:vertAlign w:val="subscript"/>
              </w:rPr>
              <w:t>3</w:t>
            </w:r>
          </w:p>
        </w:tc>
        <w:tc>
          <w:tcPr>
            <w:tcW w:w="2907" w:type="dxa"/>
            <w:tcBorders>
              <w:top w:val="single" w:sz="4" w:space="0" w:color="auto"/>
              <w:left w:val="nil"/>
              <w:bottom w:val="single" w:sz="4" w:space="0" w:color="auto"/>
              <w:right w:val="single" w:sz="4" w:space="0" w:color="auto"/>
            </w:tcBorders>
          </w:tcPr>
          <w:p w14:paraId="5052A9A4" w14:textId="77777777" w:rsidR="00E579B9" w:rsidRDefault="006A1398">
            <w:pPr>
              <w:pStyle w:val="aa"/>
            </w:pPr>
            <w:r>
              <w:rPr>
                <w:rFonts w:hint="eastAsia"/>
              </w:rPr>
              <w:t>0.76</w:t>
            </w:r>
          </w:p>
        </w:tc>
      </w:tr>
      <w:tr w:rsidR="00E579B9" w14:paraId="4F6F51FF" w14:textId="77777777">
        <w:trPr>
          <w:trHeight w:val="286"/>
        </w:trPr>
        <w:tc>
          <w:tcPr>
            <w:tcW w:w="2906" w:type="dxa"/>
            <w:vMerge/>
            <w:tcBorders>
              <w:top w:val="nil"/>
              <w:left w:val="single" w:sz="4" w:space="0" w:color="auto"/>
              <w:bottom w:val="single" w:sz="4" w:space="0" w:color="auto"/>
              <w:right w:val="single" w:sz="4" w:space="0" w:color="auto"/>
            </w:tcBorders>
            <w:vAlign w:val="center"/>
          </w:tcPr>
          <w:p w14:paraId="350ABEFC" w14:textId="77777777" w:rsidR="00E579B9" w:rsidRDefault="00E579B9">
            <w:pPr>
              <w:pStyle w:val="aa"/>
            </w:pPr>
          </w:p>
        </w:tc>
        <w:tc>
          <w:tcPr>
            <w:tcW w:w="2907" w:type="dxa"/>
            <w:tcBorders>
              <w:top w:val="single" w:sz="4" w:space="0" w:color="auto"/>
              <w:left w:val="nil"/>
              <w:bottom w:val="single" w:sz="4" w:space="0" w:color="auto"/>
              <w:right w:val="single" w:sz="4" w:space="0" w:color="auto"/>
            </w:tcBorders>
          </w:tcPr>
          <w:p w14:paraId="784D8B2E" w14:textId="77777777" w:rsidR="00E579B9" w:rsidRDefault="006A1398">
            <w:pPr>
              <w:pStyle w:val="aa"/>
            </w:pPr>
            <w:r>
              <w:rPr>
                <w:rFonts w:hint="eastAsia"/>
              </w:rPr>
              <w:t>Fe</w:t>
            </w:r>
            <w:r>
              <w:rPr>
                <w:rFonts w:hint="eastAsia"/>
                <w:vertAlign w:val="subscript"/>
              </w:rPr>
              <w:t>2</w:t>
            </w:r>
            <w:r>
              <w:rPr>
                <w:rFonts w:hint="eastAsia"/>
              </w:rPr>
              <w:t>O</w:t>
            </w:r>
            <w:r>
              <w:rPr>
                <w:rFonts w:hint="eastAsia"/>
                <w:vertAlign w:val="subscript"/>
              </w:rPr>
              <w:t>3</w:t>
            </w:r>
          </w:p>
        </w:tc>
        <w:tc>
          <w:tcPr>
            <w:tcW w:w="2907" w:type="dxa"/>
            <w:tcBorders>
              <w:top w:val="single" w:sz="4" w:space="0" w:color="auto"/>
              <w:left w:val="nil"/>
              <w:bottom w:val="single" w:sz="4" w:space="0" w:color="auto"/>
              <w:right w:val="single" w:sz="4" w:space="0" w:color="auto"/>
            </w:tcBorders>
          </w:tcPr>
          <w:p w14:paraId="51E16868" w14:textId="77777777" w:rsidR="00E579B9" w:rsidRDefault="006A1398">
            <w:pPr>
              <w:pStyle w:val="aa"/>
            </w:pPr>
            <w:r>
              <w:rPr>
                <w:rFonts w:hint="eastAsia"/>
              </w:rPr>
              <w:t>0.48</w:t>
            </w:r>
          </w:p>
        </w:tc>
      </w:tr>
      <w:tr w:rsidR="00E579B9" w14:paraId="020CB245" w14:textId="77777777">
        <w:trPr>
          <w:trHeight w:val="285"/>
        </w:trPr>
        <w:tc>
          <w:tcPr>
            <w:tcW w:w="2906" w:type="dxa"/>
            <w:vMerge/>
            <w:tcBorders>
              <w:top w:val="nil"/>
              <w:left w:val="single" w:sz="4" w:space="0" w:color="auto"/>
              <w:bottom w:val="single" w:sz="4" w:space="0" w:color="auto"/>
              <w:right w:val="single" w:sz="4" w:space="0" w:color="auto"/>
            </w:tcBorders>
            <w:vAlign w:val="center"/>
          </w:tcPr>
          <w:p w14:paraId="7CA972E8" w14:textId="77777777" w:rsidR="00E579B9" w:rsidRDefault="00E579B9">
            <w:pPr>
              <w:pStyle w:val="aa"/>
            </w:pPr>
          </w:p>
        </w:tc>
        <w:tc>
          <w:tcPr>
            <w:tcW w:w="2907" w:type="dxa"/>
            <w:tcBorders>
              <w:top w:val="single" w:sz="4" w:space="0" w:color="auto"/>
              <w:left w:val="nil"/>
              <w:bottom w:val="single" w:sz="4" w:space="0" w:color="auto"/>
              <w:right w:val="single" w:sz="4" w:space="0" w:color="auto"/>
            </w:tcBorders>
          </w:tcPr>
          <w:p w14:paraId="0BAA353B" w14:textId="77777777" w:rsidR="00E579B9" w:rsidRDefault="006A1398">
            <w:pPr>
              <w:pStyle w:val="aa"/>
            </w:pPr>
            <w:r>
              <w:rPr>
                <w:rFonts w:hint="eastAsia"/>
              </w:rPr>
              <w:t>烧失量</w:t>
            </w:r>
          </w:p>
        </w:tc>
        <w:tc>
          <w:tcPr>
            <w:tcW w:w="2907" w:type="dxa"/>
            <w:tcBorders>
              <w:top w:val="single" w:sz="4" w:space="0" w:color="auto"/>
              <w:left w:val="nil"/>
              <w:bottom w:val="single" w:sz="4" w:space="0" w:color="auto"/>
              <w:right w:val="single" w:sz="4" w:space="0" w:color="auto"/>
            </w:tcBorders>
          </w:tcPr>
          <w:p w14:paraId="1BC8D128" w14:textId="77777777" w:rsidR="00E579B9" w:rsidRDefault="006A1398">
            <w:pPr>
              <w:pStyle w:val="aa"/>
            </w:pPr>
            <w:r>
              <w:rPr>
                <w:rFonts w:hint="eastAsia"/>
              </w:rPr>
              <w:t>40.93</w:t>
            </w:r>
          </w:p>
        </w:tc>
      </w:tr>
    </w:tbl>
    <w:p w14:paraId="3C1FA02A" w14:textId="77777777" w:rsidR="00E579B9" w:rsidRDefault="006A1398">
      <w:r>
        <w:rPr>
          <w:rFonts w:hint="eastAsia"/>
        </w:rPr>
        <w:t>根据《冶金、化工石大理岩及白云岩、水泥原料矿产地质勘查规范》中对水泥石灰质原料化学成分的要求：</w:t>
      </w:r>
      <w:proofErr w:type="spellStart"/>
      <w:r>
        <w:rPr>
          <w:rFonts w:hint="eastAsia"/>
        </w:rPr>
        <w:t>CaO</w:t>
      </w:r>
      <w:proofErr w:type="spellEnd"/>
      <w:r>
        <w:rPr>
          <w:rFonts w:hint="eastAsia"/>
        </w:rPr>
        <w:t>≥</w:t>
      </w:r>
      <w:r>
        <w:rPr>
          <w:rFonts w:hint="eastAsia"/>
        </w:rPr>
        <w:t>45%</w:t>
      </w:r>
      <w:r>
        <w:rPr>
          <w:rFonts w:hint="eastAsia"/>
        </w:rPr>
        <w:t>，</w:t>
      </w:r>
      <w:r>
        <w:rPr>
          <w:rFonts w:hint="eastAsia"/>
        </w:rPr>
        <w:t>MgO</w:t>
      </w:r>
      <w:r>
        <w:rPr>
          <w:rFonts w:hint="eastAsia"/>
        </w:rPr>
        <w:t>≤</w:t>
      </w:r>
      <w:r>
        <w:rPr>
          <w:rFonts w:hint="eastAsia"/>
        </w:rPr>
        <w:t>3.5%</w:t>
      </w:r>
      <w:r>
        <w:rPr>
          <w:rFonts w:hint="eastAsia"/>
        </w:rPr>
        <w:t>，</w:t>
      </w:r>
      <w:r>
        <w:rPr>
          <w:rFonts w:hint="eastAsia"/>
        </w:rPr>
        <w:t>SiO2</w:t>
      </w:r>
      <w:r>
        <w:rPr>
          <w:rFonts w:hint="eastAsia"/>
        </w:rPr>
        <w:t>≤</w:t>
      </w:r>
      <w:r>
        <w:rPr>
          <w:rFonts w:hint="eastAsia"/>
        </w:rPr>
        <w:t>4.0%</w:t>
      </w:r>
      <w:r>
        <w:rPr>
          <w:rFonts w:hint="eastAsia"/>
        </w:rPr>
        <w:t>。本区矿石中虽然有个别样品单项指标能达到，整体达不到规范中水泥大理岩等其他高附加值矿种的质量要求的，只可作为建筑石料用大理岩使用。</w:t>
      </w:r>
    </w:p>
    <w:p w14:paraId="24502D59" w14:textId="77777777" w:rsidR="00E579B9" w:rsidRDefault="006A1398">
      <w:r>
        <w:rPr>
          <w:rFonts w:hint="eastAsia"/>
        </w:rPr>
        <w:t>玄武岩的主要成份是二氧化硅（</w:t>
      </w:r>
      <w:r>
        <w:rPr>
          <w:rFonts w:hint="eastAsia"/>
        </w:rPr>
        <w:t>45%</w:t>
      </w:r>
      <w:r>
        <w:rPr>
          <w:rFonts w:hint="eastAsia"/>
        </w:rPr>
        <w:t>），三氧化二铝、氧化铁、氧化钙、氧化镁、还有少量的氧化钾、氧化钠。</w:t>
      </w:r>
    </w:p>
    <w:p w14:paraId="32E881C1" w14:textId="718B09BA" w:rsidR="00E579B9" w:rsidRDefault="0003710F">
      <w:r>
        <w:t>3.3</w:t>
      </w:r>
      <w:r w:rsidR="006A1398">
        <w:t>.6.3</w:t>
      </w:r>
      <w:r w:rsidR="006A1398">
        <w:rPr>
          <w:rFonts w:hint="eastAsia"/>
        </w:rPr>
        <w:t>矿石结构构造</w:t>
      </w:r>
    </w:p>
    <w:p w14:paraId="1CC69B76" w14:textId="77777777" w:rsidR="00E579B9" w:rsidRDefault="006A1398">
      <w:r>
        <w:rPr>
          <w:rFonts w:hint="eastAsia"/>
        </w:rPr>
        <w:t>大理岩矿石具粒状变晶结构，少量碎屑结构。矿石构造主要是块状构造、少见条带、条纹、斑块或斑点等构造。</w:t>
      </w:r>
    </w:p>
    <w:p w14:paraId="0A46C940" w14:textId="77777777" w:rsidR="00E579B9" w:rsidRDefault="006A1398">
      <w:r>
        <w:rPr>
          <w:rFonts w:hint="eastAsia"/>
        </w:rPr>
        <w:t>玄武岩结构主要</w:t>
      </w:r>
      <w:proofErr w:type="gramStart"/>
      <w:r>
        <w:rPr>
          <w:rFonts w:hint="eastAsia"/>
        </w:rPr>
        <w:t>有隐晶结构</w:t>
      </w:r>
      <w:proofErr w:type="gramEnd"/>
      <w:r>
        <w:rPr>
          <w:rFonts w:hint="eastAsia"/>
        </w:rPr>
        <w:t>、微晶至细粒结构、交织结构、玻璃质结构及斑状结构等；本区常见岩石构造为致密块状构造、杏仁状构造等。</w:t>
      </w:r>
    </w:p>
    <w:p w14:paraId="58A34562" w14:textId="0CA794C9" w:rsidR="00E579B9" w:rsidRDefault="0003710F">
      <w:r>
        <w:t>3.3</w:t>
      </w:r>
      <w:r w:rsidR="006A1398">
        <w:t>.6.4</w:t>
      </w:r>
      <w:r w:rsidR="006A1398">
        <w:rPr>
          <w:rFonts w:hint="eastAsia"/>
        </w:rPr>
        <w:t>矿石物性特征</w:t>
      </w:r>
    </w:p>
    <w:p w14:paraId="0AA9B618" w14:textId="77777777" w:rsidR="00E579B9" w:rsidRDefault="006A1398">
      <w:r>
        <w:rPr>
          <w:rFonts w:hint="eastAsia"/>
        </w:rPr>
        <w:t>为研究石料质量在矿区内矿体出露较好的地段采集了</w:t>
      </w:r>
      <w:r>
        <w:rPr>
          <w:rFonts w:hint="eastAsia"/>
        </w:rPr>
        <w:t>1</w:t>
      </w:r>
      <w:r>
        <w:rPr>
          <w:rFonts w:hint="eastAsia"/>
        </w:rPr>
        <w:t>个有代表性的大理岩样品，该样品经河南省方正检验检测技术有限公司检测显示：</w:t>
      </w:r>
    </w:p>
    <w:p w14:paraId="2BBB6301" w14:textId="77777777" w:rsidR="00E579B9" w:rsidRDefault="006A1398">
      <w:r>
        <w:rPr>
          <w:rFonts w:hint="eastAsia"/>
        </w:rPr>
        <w:t>1</w:t>
      </w:r>
      <w:r>
        <w:rPr>
          <w:rFonts w:hint="eastAsia"/>
        </w:rPr>
        <w:t>、硫酸盐硫化物（</w:t>
      </w:r>
      <w:r>
        <w:rPr>
          <w:rFonts w:hint="eastAsia"/>
        </w:rPr>
        <w:t>%</w:t>
      </w:r>
      <w:r>
        <w:rPr>
          <w:rFonts w:hint="eastAsia"/>
        </w:rPr>
        <w:t>）测试值为</w:t>
      </w:r>
      <w:r>
        <w:rPr>
          <w:rFonts w:hint="eastAsia"/>
        </w:rPr>
        <w:t>1</w:t>
      </w:r>
      <w:r>
        <w:rPr>
          <w:rFonts w:hint="eastAsia"/>
        </w:rPr>
        <w:t>；</w:t>
      </w:r>
    </w:p>
    <w:p w14:paraId="4ED1DE40" w14:textId="77777777" w:rsidR="00E579B9" w:rsidRDefault="006A1398">
      <w:r>
        <w:rPr>
          <w:rFonts w:hint="eastAsia"/>
        </w:rPr>
        <w:t>2</w:t>
      </w:r>
      <w:r>
        <w:rPr>
          <w:rFonts w:hint="eastAsia"/>
        </w:rPr>
        <w:t>、坚固性（质量损失）（</w:t>
      </w:r>
      <w:r>
        <w:rPr>
          <w:rFonts w:hint="eastAsia"/>
        </w:rPr>
        <w:t>%</w:t>
      </w:r>
      <w:r>
        <w:rPr>
          <w:rFonts w:hint="eastAsia"/>
        </w:rPr>
        <w:t>）测试值为</w:t>
      </w:r>
      <w:r>
        <w:rPr>
          <w:rFonts w:hint="eastAsia"/>
        </w:rPr>
        <w:t>4.4</w:t>
      </w:r>
      <w:r>
        <w:rPr>
          <w:rFonts w:hint="eastAsia"/>
        </w:rPr>
        <w:t>；</w:t>
      </w:r>
    </w:p>
    <w:p w14:paraId="644822A0" w14:textId="77777777" w:rsidR="00E579B9" w:rsidRDefault="006A1398">
      <w:r>
        <w:rPr>
          <w:rFonts w:hint="eastAsia"/>
        </w:rPr>
        <w:t>3</w:t>
      </w:r>
      <w:r>
        <w:rPr>
          <w:rFonts w:hint="eastAsia"/>
        </w:rPr>
        <w:t>、岩石抗压强度（</w:t>
      </w:r>
      <w:r>
        <w:rPr>
          <w:rFonts w:hint="eastAsia"/>
        </w:rPr>
        <w:t>MPa</w:t>
      </w:r>
      <w:r>
        <w:rPr>
          <w:rFonts w:hint="eastAsia"/>
        </w:rPr>
        <w:t>）测试值为</w:t>
      </w:r>
      <w:r>
        <w:rPr>
          <w:rFonts w:hint="eastAsia"/>
        </w:rPr>
        <w:t>67.4</w:t>
      </w:r>
      <w:r>
        <w:rPr>
          <w:rFonts w:hint="eastAsia"/>
        </w:rPr>
        <w:t>；</w:t>
      </w:r>
    </w:p>
    <w:p w14:paraId="3E654B1D" w14:textId="77777777" w:rsidR="00E579B9" w:rsidRDefault="006A1398">
      <w:r>
        <w:rPr>
          <w:rFonts w:hint="eastAsia"/>
        </w:rPr>
        <w:t>4</w:t>
      </w:r>
      <w:r>
        <w:rPr>
          <w:rFonts w:hint="eastAsia"/>
        </w:rPr>
        <w:t>、岩石压碎指数（</w:t>
      </w:r>
      <w:r>
        <w:rPr>
          <w:rFonts w:hint="eastAsia"/>
        </w:rPr>
        <w:t>%</w:t>
      </w:r>
      <w:r>
        <w:rPr>
          <w:rFonts w:hint="eastAsia"/>
        </w:rPr>
        <w:t>）：</w:t>
      </w:r>
      <w:r>
        <w:rPr>
          <w:rFonts w:hint="eastAsia"/>
        </w:rPr>
        <w:t>17.6</w:t>
      </w:r>
      <w:r>
        <w:rPr>
          <w:rFonts w:hint="eastAsia"/>
        </w:rPr>
        <w:t>；</w:t>
      </w:r>
    </w:p>
    <w:p w14:paraId="4EFF5C18" w14:textId="77777777" w:rsidR="00E579B9" w:rsidRDefault="006A1398">
      <w:r>
        <w:rPr>
          <w:rFonts w:hint="eastAsia"/>
        </w:rPr>
        <w:t>5</w:t>
      </w:r>
      <w:r>
        <w:rPr>
          <w:rFonts w:hint="eastAsia"/>
        </w:rPr>
        <w:t>、碱集料反应测试合格。</w:t>
      </w:r>
    </w:p>
    <w:p w14:paraId="357CE647" w14:textId="77777777" w:rsidR="00E579B9" w:rsidRDefault="006A1398">
      <w:r>
        <w:rPr>
          <w:rFonts w:hint="eastAsia"/>
        </w:rPr>
        <w:t>测试结论：该区石料符合Ⅱ类石料技术要求。</w:t>
      </w:r>
    </w:p>
    <w:p w14:paraId="139AF84E" w14:textId="79421A2C" w:rsidR="00E579B9" w:rsidRDefault="006A1398">
      <w:r>
        <w:rPr>
          <w:rFonts w:hint="eastAsia"/>
        </w:rPr>
        <w:t>玄武岩参考周边矿山实际生产资料显示可作为优质建筑石料使用。</w:t>
      </w:r>
    </w:p>
    <w:p w14:paraId="3B3478E4" w14:textId="6741685C" w:rsidR="00E579B9" w:rsidRDefault="0003710F">
      <w:pPr>
        <w:rPr>
          <w:rFonts w:ascii="宋体" w:hAnsi="宋体" w:cs="Times New Roman"/>
          <w:kern w:val="0"/>
          <w:szCs w:val="28"/>
        </w:rPr>
      </w:pPr>
      <w:r>
        <w:rPr>
          <w:rFonts w:hint="eastAsia"/>
        </w:rPr>
        <w:t>3.3</w:t>
      </w:r>
      <w:r w:rsidR="006A1398">
        <w:rPr>
          <w:rFonts w:hint="eastAsia"/>
        </w:rPr>
        <w:t>.6.5</w:t>
      </w:r>
      <w:r w:rsidR="006A1398">
        <w:rPr>
          <w:rFonts w:ascii="宋体" w:hAnsi="宋体" w:cs="Times New Roman" w:hint="eastAsia"/>
          <w:kern w:val="0"/>
          <w:szCs w:val="28"/>
        </w:rPr>
        <w:t>放射性</w:t>
      </w:r>
    </w:p>
    <w:p w14:paraId="670E9147" w14:textId="77777777" w:rsidR="00E579B9" w:rsidRDefault="006A1398">
      <w:pPr>
        <w:rPr>
          <w:rFonts w:cs="Times New Roman"/>
          <w:kern w:val="0"/>
          <w:sz w:val="28"/>
          <w:szCs w:val="28"/>
        </w:rPr>
      </w:pPr>
      <w:r>
        <w:rPr>
          <w:rFonts w:hint="eastAsia"/>
        </w:rPr>
        <w:lastRenderedPageBreak/>
        <w:t>原储量报告为研究矿大理岩和玄武岩的放射性，在报告评审后按照专家组要求进行了放射性测量，采用仪器</w:t>
      </w:r>
      <w:r>
        <w:t>为</w:t>
      </w:r>
      <w:r>
        <w:t>GS-512</w:t>
      </w:r>
      <w:proofErr w:type="gramStart"/>
      <w:r>
        <w:t>型伽马</w:t>
      </w:r>
      <w:proofErr w:type="gramEnd"/>
      <w:r>
        <w:t>能谱仪，是由捷克生产的一种测量伽马能量的仪器。</w:t>
      </w:r>
      <w:r>
        <w:rPr>
          <w:rFonts w:hint="eastAsia"/>
        </w:rPr>
        <w:t>测试结果如</w:t>
      </w:r>
      <w:r>
        <w:t>表</w:t>
      </w:r>
      <w:r>
        <w:rPr>
          <w:rFonts w:hint="eastAsia"/>
        </w:rPr>
        <w:t>5</w:t>
      </w:r>
      <w:r>
        <w:t>-</w:t>
      </w:r>
      <w:r>
        <w:rPr>
          <w:rFonts w:hint="eastAsia"/>
        </w:rPr>
        <w:t>4</w:t>
      </w:r>
      <w:r>
        <w:rPr>
          <w:rFonts w:hint="eastAsia"/>
        </w:rPr>
        <w:t>所示。依据《建筑材料放射性核素限量》（</w:t>
      </w:r>
      <w:r>
        <w:rPr>
          <w:rFonts w:hint="eastAsia"/>
        </w:rPr>
        <w:t>GB6566-2010</w:t>
      </w:r>
      <w:r>
        <w:rPr>
          <w:rFonts w:hint="eastAsia"/>
        </w:rPr>
        <w:t>）要求</w:t>
      </w:r>
      <w:r>
        <w:t>，</w:t>
      </w:r>
      <w:r>
        <w:rPr>
          <w:rFonts w:hint="eastAsia"/>
        </w:rPr>
        <w:t>本次测试建筑材料天然放射性核素镭</w:t>
      </w:r>
      <w:r>
        <w:rPr>
          <w:rFonts w:hint="eastAsia"/>
        </w:rPr>
        <w:t>-226</w:t>
      </w:r>
      <w:r>
        <w:rPr>
          <w:rFonts w:hint="eastAsia"/>
        </w:rPr>
        <w:t>、钍</w:t>
      </w:r>
      <w:r>
        <w:rPr>
          <w:rFonts w:hint="eastAsia"/>
        </w:rPr>
        <w:t>-232</w:t>
      </w:r>
      <w:r>
        <w:rPr>
          <w:rFonts w:hint="eastAsia"/>
        </w:rPr>
        <w:t>、钾</w:t>
      </w:r>
      <w:r>
        <w:rPr>
          <w:rFonts w:hint="eastAsia"/>
        </w:rPr>
        <w:t>-40</w:t>
      </w:r>
      <w:r>
        <w:rPr>
          <w:rFonts w:hint="eastAsia"/>
        </w:rPr>
        <w:t>的放射性比活度</w:t>
      </w:r>
      <w:r>
        <w:t>。</w:t>
      </w:r>
      <w:r>
        <w:rPr>
          <w:rFonts w:hint="eastAsia"/>
        </w:rPr>
        <w:t>经测试本</w:t>
      </w:r>
      <w:r>
        <w:t>矿区</w:t>
      </w:r>
      <w:r>
        <w:rPr>
          <w:rFonts w:hint="eastAsia"/>
        </w:rPr>
        <w:t>大理岩和玄武岩</w:t>
      </w:r>
      <w:r>
        <w:t>放射性</w:t>
      </w:r>
      <w:r>
        <w:rPr>
          <w:rFonts w:hint="eastAsia"/>
        </w:rPr>
        <w:t>值</w:t>
      </w:r>
      <w:r>
        <w:t>均较低</w:t>
      </w:r>
      <w:r>
        <w:rPr>
          <w:rFonts w:hint="eastAsia"/>
        </w:rPr>
        <w:t>，满足《建筑材料放射性核素限量》（</w:t>
      </w:r>
      <w:r>
        <w:rPr>
          <w:rFonts w:hint="eastAsia"/>
        </w:rPr>
        <w:t>GB6566-2010</w:t>
      </w:r>
      <w:r>
        <w:rPr>
          <w:rFonts w:hint="eastAsia"/>
        </w:rPr>
        <w:t>）要求（比活度应同时满足Ι</w:t>
      </w:r>
      <w:r>
        <w:rPr>
          <w:rFonts w:hint="eastAsia"/>
        </w:rPr>
        <w:t>Ra</w:t>
      </w:r>
      <w:r>
        <w:rPr>
          <w:rFonts w:hint="eastAsia"/>
        </w:rPr>
        <w:t>≤</w:t>
      </w:r>
      <w:r>
        <w:rPr>
          <w:rFonts w:hint="eastAsia"/>
        </w:rPr>
        <w:t>1.0</w:t>
      </w:r>
      <w:r>
        <w:rPr>
          <w:rFonts w:hint="eastAsia"/>
        </w:rPr>
        <w:t>和Ι</w:t>
      </w:r>
      <w:r>
        <w:rPr>
          <w:rFonts w:hint="eastAsia"/>
        </w:rPr>
        <w:t>Y</w:t>
      </w:r>
      <w:r>
        <w:rPr>
          <w:rFonts w:hint="eastAsia"/>
        </w:rPr>
        <w:t>≤</w:t>
      </w:r>
      <w:r>
        <w:rPr>
          <w:rFonts w:hint="eastAsia"/>
        </w:rPr>
        <w:t>1.0</w:t>
      </w:r>
      <w:r>
        <w:rPr>
          <w:rFonts w:hint="eastAsia"/>
        </w:rPr>
        <w:t>），</w:t>
      </w:r>
      <w:r>
        <w:t>对人体的伤害</w:t>
      </w:r>
      <w:r>
        <w:rPr>
          <w:rFonts w:hint="eastAsia"/>
        </w:rPr>
        <w:t>完全</w:t>
      </w:r>
      <w:r>
        <w:t>可</w:t>
      </w:r>
      <w:r>
        <w:rPr>
          <w:rFonts w:hint="eastAsia"/>
        </w:rPr>
        <w:t>以</w:t>
      </w:r>
      <w:r>
        <w:t>忽略不计</w:t>
      </w:r>
      <w:r>
        <w:rPr>
          <w:rFonts w:ascii="宋体" w:hAnsi="宋体" w:cs="Times New Roman"/>
          <w:kern w:val="0"/>
          <w:sz w:val="28"/>
          <w:szCs w:val="28"/>
        </w:rPr>
        <w:t>。</w:t>
      </w:r>
    </w:p>
    <w:p w14:paraId="34E83174" w14:textId="60574A20" w:rsidR="00E579B9" w:rsidRDefault="006A1398">
      <w:pPr>
        <w:pStyle w:val="21"/>
        <w:ind w:firstLineChars="650" w:firstLine="1560"/>
      </w:pPr>
      <w:r>
        <w:t>表</w:t>
      </w:r>
      <w:r w:rsidR="0003710F">
        <w:t>3.3</w:t>
      </w:r>
      <w:r>
        <w:t>-2</w:t>
      </w:r>
      <w:r>
        <w:t>放射性测试结果表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1416"/>
        <w:gridCol w:w="2315"/>
        <w:gridCol w:w="2063"/>
        <w:gridCol w:w="1928"/>
      </w:tblGrid>
      <w:tr w:rsidR="00E579B9" w14:paraId="65F38A29" w14:textId="77777777">
        <w:trPr>
          <w:trHeight w:val="90"/>
          <w:jc w:val="center"/>
        </w:trPr>
        <w:tc>
          <w:tcPr>
            <w:tcW w:w="800" w:type="dxa"/>
            <w:vAlign w:val="center"/>
          </w:tcPr>
          <w:p w14:paraId="4ABDEEC1" w14:textId="77777777" w:rsidR="00E579B9" w:rsidRDefault="006A1398">
            <w:pPr>
              <w:pStyle w:val="aa"/>
            </w:pPr>
            <w:r>
              <w:t>矿区</w:t>
            </w:r>
          </w:p>
        </w:tc>
        <w:tc>
          <w:tcPr>
            <w:tcW w:w="1416" w:type="dxa"/>
            <w:vAlign w:val="center"/>
          </w:tcPr>
          <w:p w14:paraId="737D441E" w14:textId="77777777" w:rsidR="00E579B9" w:rsidRDefault="006A1398">
            <w:pPr>
              <w:pStyle w:val="aa"/>
            </w:pPr>
            <w:r>
              <w:t>岩性</w:t>
            </w:r>
          </w:p>
        </w:tc>
        <w:tc>
          <w:tcPr>
            <w:tcW w:w="2315" w:type="dxa"/>
            <w:vAlign w:val="center"/>
          </w:tcPr>
          <w:p w14:paraId="27AB2338" w14:textId="77777777" w:rsidR="00E579B9" w:rsidRDefault="006A1398">
            <w:pPr>
              <w:pStyle w:val="aa"/>
            </w:pPr>
            <w:r>
              <w:t>点位</w:t>
            </w:r>
          </w:p>
        </w:tc>
        <w:tc>
          <w:tcPr>
            <w:tcW w:w="2063" w:type="dxa"/>
            <w:vAlign w:val="center"/>
          </w:tcPr>
          <w:p w14:paraId="6B72D99B" w14:textId="77777777" w:rsidR="00E579B9" w:rsidRDefault="006A1398">
            <w:pPr>
              <w:pStyle w:val="aa"/>
            </w:pPr>
            <w:r>
              <w:rPr>
                <w:rFonts w:hint="eastAsia"/>
              </w:rPr>
              <w:t>Ι</w:t>
            </w:r>
            <w:r>
              <w:rPr>
                <w:rFonts w:hint="eastAsia"/>
                <w:vertAlign w:val="subscript"/>
              </w:rPr>
              <w:t>Ra</w:t>
            </w:r>
          </w:p>
        </w:tc>
        <w:tc>
          <w:tcPr>
            <w:tcW w:w="1928" w:type="dxa"/>
            <w:vAlign w:val="center"/>
          </w:tcPr>
          <w:p w14:paraId="30130D57" w14:textId="77777777" w:rsidR="00E579B9" w:rsidRDefault="006A1398">
            <w:pPr>
              <w:pStyle w:val="aa"/>
            </w:pPr>
            <w:r>
              <w:rPr>
                <w:rFonts w:hint="eastAsia"/>
              </w:rPr>
              <w:t>Ι</w:t>
            </w:r>
            <w:r>
              <w:rPr>
                <w:rFonts w:hint="eastAsia"/>
                <w:vertAlign w:val="subscript"/>
              </w:rPr>
              <w:t>Y</w:t>
            </w:r>
          </w:p>
        </w:tc>
      </w:tr>
      <w:tr w:rsidR="00E579B9" w14:paraId="5F2CC9B0" w14:textId="77777777">
        <w:trPr>
          <w:trHeight w:val="90"/>
          <w:jc w:val="center"/>
        </w:trPr>
        <w:tc>
          <w:tcPr>
            <w:tcW w:w="800" w:type="dxa"/>
            <w:vMerge w:val="restart"/>
            <w:vAlign w:val="center"/>
          </w:tcPr>
          <w:p w14:paraId="4B0832A4" w14:textId="77777777" w:rsidR="00E579B9" w:rsidRDefault="006A1398">
            <w:pPr>
              <w:pStyle w:val="aa"/>
            </w:pPr>
            <w:r>
              <w:rPr>
                <w:rFonts w:hint="eastAsia"/>
              </w:rPr>
              <w:t>李尧</w:t>
            </w:r>
          </w:p>
        </w:tc>
        <w:tc>
          <w:tcPr>
            <w:tcW w:w="1416" w:type="dxa"/>
            <w:vAlign w:val="center"/>
          </w:tcPr>
          <w:p w14:paraId="148B9F10" w14:textId="77777777" w:rsidR="00E579B9" w:rsidRDefault="006A1398">
            <w:pPr>
              <w:pStyle w:val="aa"/>
            </w:pPr>
            <w:r>
              <w:rPr>
                <w:rFonts w:hint="eastAsia"/>
              </w:rPr>
              <w:t>大理岩</w:t>
            </w:r>
          </w:p>
        </w:tc>
        <w:tc>
          <w:tcPr>
            <w:tcW w:w="2315" w:type="dxa"/>
            <w:vAlign w:val="center"/>
          </w:tcPr>
          <w:p w14:paraId="4B61E85A" w14:textId="77777777" w:rsidR="00E579B9" w:rsidRDefault="006A1398">
            <w:pPr>
              <w:pStyle w:val="aa"/>
            </w:pPr>
            <w:r>
              <w:rPr>
                <w:rFonts w:hint="eastAsia"/>
              </w:rPr>
              <w:t>01</w:t>
            </w:r>
          </w:p>
        </w:tc>
        <w:tc>
          <w:tcPr>
            <w:tcW w:w="2063" w:type="dxa"/>
            <w:vAlign w:val="center"/>
          </w:tcPr>
          <w:p w14:paraId="061B9FBD" w14:textId="77777777" w:rsidR="00E579B9" w:rsidRDefault="006A1398">
            <w:pPr>
              <w:pStyle w:val="aa"/>
            </w:pPr>
            <w:r>
              <w:rPr>
                <w:rFonts w:hint="eastAsia"/>
              </w:rPr>
              <w:t>0.04</w:t>
            </w:r>
          </w:p>
        </w:tc>
        <w:tc>
          <w:tcPr>
            <w:tcW w:w="1928" w:type="dxa"/>
            <w:vAlign w:val="center"/>
          </w:tcPr>
          <w:p w14:paraId="6CCBBD5F" w14:textId="77777777" w:rsidR="00E579B9" w:rsidRDefault="006A1398">
            <w:pPr>
              <w:pStyle w:val="aa"/>
            </w:pPr>
            <w:r>
              <w:rPr>
                <w:rFonts w:hint="eastAsia"/>
              </w:rPr>
              <w:t>0.02</w:t>
            </w:r>
          </w:p>
        </w:tc>
      </w:tr>
      <w:tr w:rsidR="00E579B9" w14:paraId="1602B055" w14:textId="77777777">
        <w:trPr>
          <w:trHeight w:val="90"/>
          <w:jc w:val="center"/>
        </w:trPr>
        <w:tc>
          <w:tcPr>
            <w:tcW w:w="800" w:type="dxa"/>
            <w:vMerge/>
            <w:vAlign w:val="center"/>
          </w:tcPr>
          <w:p w14:paraId="54425F98" w14:textId="77777777" w:rsidR="00E579B9" w:rsidRDefault="00E579B9">
            <w:pPr>
              <w:pStyle w:val="aa"/>
            </w:pPr>
          </w:p>
        </w:tc>
        <w:tc>
          <w:tcPr>
            <w:tcW w:w="1416" w:type="dxa"/>
            <w:vAlign w:val="center"/>
          </w:tcPr>
          <w:p w14:paraId="115A3153" w14:textId="77777777" w:rsidR="00E579B9" w:rsidRDefault="006A1398">
            <w:pPr>
              <w:pStyle w:val="aa"/>
            </w:pPr>
            <w:r>
              <w:rPr>
                <w:rFonts w:hint="eastAsia"/>
              </w:rPr>
              <w:t>大理岩</w:t>
            </w:r>
          </w:p>
        </w:tc>
        <w:tc>
          <w:tcPr>
            <w:tcW w:w="2315" w:type="dxa"/>
            <w:vAlign w:val="center"/>
          </w:tcPr>
          <w:p w14:paraId="4C22EE3B" w14:textId="77777777" w:rsidR="00E579B9" w:rsidRDefault="006A1398">
            <w:pPr>
              <w:pStyle w:val="aa"/>
            </w:pPr>
            <w:r>
              <w:rPr>
                <w:rFonts w:hint="eastAsia"/>
              </w:rPr>
              <w:t>02</w:t>
            </w:r>
          </w:p>
        </w:tc>
        <w:tc>
          <w:tcPr>
            <w:tcW w:w="2063" w:type="dxa"/>
            <w:vAlign w:val="center"/>
          </w:tcPr>
          <w:p w14:paraId="731A264C" w14:textId="77777777" w:rsidR="00E579B9" w:rsidRDefault="006A1398">
            <w:pPr>
              <w:pStyle w:val="aa"/>
            </w:pPr>
            <w:r>
              <w:rPr>
                <w:rFonts w:hint="eastAsia"/>
              </w:rPr>
              <w:t>0.03</w:t>
            </w:r>
          </w:p>
        </w:tc>
        <w:tc>
          <w:tcPr>
            <w:tcW w:w="1928" w:type="dxa"/>
            <w:vAlign w:val="center"/>
          </w:tcPr>
          <w:p w14:paraId="4D3C1BC8" w14:textId="77777777" w:rsidR="00E579B9" w:rsidRDefault="006A1398">
            <w:pPr>
              <w:pStyle w:val="aa"/>
            </w:pPr>
            <w:r>
              <w:rPr>
                <w:rFonts w:hint="eastAsia"/>
              </w:rPr>
              <w:t>0.03</w:t>
            </w:r>
          </w:p>
        </w:tc>
      </w:tr>
      <w:tr w:rsidR="00E579B9" w14:paraId="7725E71B" w14:textId="77777777">
        <w:trPr>
          <w:trHeight w:val="90"/>
          <w:jc w:val="center"/>
        </w:trPr>
        <w:tc>
          <w:tcPr>
            <w:tcW w:w="800" w:type="dxa"/>
            <w:vMerge/>
            <w:vAlign w:val="center"/>
          </w:tcPr>
          <w:p w14:paraId="00337D35" w14:textId="77777777" w:rsidR="00E579B9" w:rsidRDefault="00E579B9">
            <w:pPr>
              <w:pStyle w:val="aa"/>
            </w:pPr>
          </w:p>
        </w:tc>
        <w:tc>
          <w:tcPr>
            <w:tcW w:w="1416" w:type="dxa"/>
            <w:vAlign w:val="center"/>
          </w:tcPr>
          <w:p w14:paraId="525702F0" w14:textId="77777777" w:rsidR="00E579B9" w:rsidRDefault="006A1398">
            <w:pPr>
              <w:pStyle w:val="aa"/>
            </w:pPr>
            <w:r>
              <w:rPr>
                <w:rFonts w:hint="eastAsia"/>
              </w:rPr>
              <w:t>大理岩</w:t>
            </w:r>
          </w:p>
        </w:tc>
        <w:tc>
          <w:tcPr>
            <w:tcW w:w="2315" w:type="dxa"/>
            <w:vAlign w:val="center"/>
          </w:tcPr>
          <w:p w14:paraId="6F18A33A" w14:textId="77777777" w:rsidR="00E579B9" w:rsidRDefault="006A1398">
            <w:pPr>
              <w:pStyle w:val="aa"/>
            </w:pPr>
            <w:r>
              <w:rPr>
                <w:rFonts w:hint="eastAsia"/>
              </w:rPr>
              <w:t>03</w:t>
            </w:r>
          </w:p>
        </w:tc>
        <w:tc>
          <w:tcPr>
            <w:tcW w:w="2063" w:type="dxa"/>
            <w:vAlign w:val="center"/>
          </w:tcPr>
          <w:p w14:paraId="1F3AE1D5" w14:textId="77777777" w:rsidR="00E579B9" w:rsidRDefault="006A1398">
            <w:pPr>
              <w:pStyle w:val="aa"/>
            </w:pPr>
            <w:r>
              <w:rPr>
                <w:rFonts w:hint="eastAsia"/>
              </w:rPr>
              <w:t>0.05</w:t>
            </w:r>
          </w:p>
        </w:tc>
        <w:tc>
          <w:tcPr>
            <w:tcW w:w="1928" w:type="dxa"/>
            <w:vAlign w:val="center"/>
          </w:tcPr>
          <w:p w14:paraId="30F6624D" w14:textId="77777777" w:rsidR="00E579B9" w:rsidRDefault="006A1398">
            <w:pPr>
              <w:pStyle w:val="aa"/>
            </w:pPr>
            <w:r>
              <w:rPr>
                <w:rFonts w:hint="eastAsia"/>
              </w:rPr>
              <w:t>0.03</w:t>
            </w:r>
          </w:p>
        </w:tc>
      </w:tr>
      <w:tr w:rsidR="00E579B9" w14:paraId="22E33A21" w14:textId="77777777">
        <w:trPr>
          <w:trHeight w:val="90"/>
          <w:jc w:val="center"/>
        </w:trPr>
        <w:tc>
          <w:tcPr>
            <w:tcW w:w="800" w:type="dxa"/>
            <w:vMerge/>
            <w:vAlign w:val="center"/>
          </w:tcPr>
          <w:p w14:paraId="041FED6D" w14:textId="77777777" w:rsidR="00E579B9" w:rsidRDefault="00E579B9">
            <w:pPr>
              <w:pStyle w:val="aa"/>
            </w:pPr>
          </w:p>
        </w:tc>
        <w:tc>
          <w:tcPr>
            <w:tcW w:w="1416" w:type="dxa"/>
            <w:vAlign w:val="center"/>
          </w:tcPr>
          <w:p w14:paraId="57E41064" w14:textId="77777777" w:rsidR="00E579B9" w:rsidRDefault="006A1398">
            <w:pPr>
              <w:pStyle w:val="aa"/>
            </w:pPr>
            <w:r>
              <w:rPr>
                <w:rFonts w:hint="eastAsia"/>
              </w:rPr>
              <w:t>大理岩</w:t>
            </w:r>
          </w:p>
        </w:tc>
        <w:tc>
          <w:tcPr>
            <w:tcW w:w="2315" w:type="dxa"/>
            <w:vAlign w:val="center"/>
          </w:tcPr>
          <w:p w14:paraId="6355A318" w14:textId="77777777" w:rsidR="00E579B9" w:rsidRDefault="006A1398">
            <w:pPr>
              <w:pStyle w:val="aa"/>
            </w:pPr>
            <w:r>
              <w:rPr>
                <w:rFonts w:hint="eastAsia"/>
              </w:rPr>
              <w:t>04</w:t>
            </w:r>
          </w:p>
        </w:tc>
        <w:tc>
          <w:tcPr>
            <w:tcW w:w="2063" w:type="dxa"/>
            <w:vAlign w:val="center"/>
          </w:tcPr>
          <w:p w14:paraId="675EB698" w14:textId="77777777" w:rsidR="00E579B9" w:rsidRDefault="006A1398">
            <w:pPr>
              <w:pStyle w:val="aa"/>
            </w:pPr>
            <w:r>
              <w:rPr>
                <w:rFonts w:hint="eastAsia"/>
              </w:rPr>
              <w:t>0.03</w:t>
            </w:r>
          </w:p>
        </w:tc>
        <w:tc>
          <w:tcPr>
            <w:tcW w:w="1928" w:type="dxa"/>
            <w:vAlign w:val="center"/>
          </w:tcPr>
          <w:p w14:paraId="378FCE1F" w14:textId="77777777" w:rsidR="00E579B9" w:rsidRDefault="006A1398">
            <w:pPr>
              <w:pStyle w:val="aa"/>
            </w:pPr>
            <w:r>
              <w:rPr>
                <w:rFonts w:hint="eastAsia"/>
              </w:rPr>
              <w:t>0.05</w:t>
            </w:r>
          </w:p>
        </w:tc>
      </w:tr>
      <w:tr w:rsidR="00E579B9" w14:paraId="4F36A681" w14:textId="77777777">
        <w:trPr>
          <w:trHeight w:val="90"/>
          <w:jc w:val="center"/>
        </w:trPr>
        <w:tc>
          <w:tcPr>
            <w:tcW w:w="800" w:type="dxa"/>
            <w:vMerge/>
            <w:vAlign w:val="center"/>
          </w:tcPr>
          <w:p w14:paraId="0239C6AE" w14:textId="77777777" w:rsidR="00E579B9" w:rsidRDefault="00E579B9">
            <w:pPr>
              <w:pStyle w:val="aa"/>
            </w:pPr>
          </w:p>
        </w:tc>
        <w:tc>
          <w:tcPr>
            <w:tcW w:w="1416" w:type="dxa"/>
            <w:vAlign w:val="center"/>
          </w:tcPr>
          <w:p w14:paraId="7D87A7A5" w14:textId="77777777" w:rsidR="00E579B9" w:rsidRDefault="006A1398">
            <w:pPr>
              <w:pStyle w:val="aa"/>
            </w:pPr>
            <w:r>
              <w:rPr>
                <w:rFonts w:hint="eastAsia"/>
              </w:rPr>
              <w:t>大理岩</w:t>
            </w:r>
          </w:p>
        </w:tc>
        <w:tc>
          <w:tcPr>
            <w:tcW w:w="2315" w:type="dxa"/>
            <w:vAlign w:val="center"/>
          </w:tcPr>
          <w:p w14:paraId="58376C1D" w14:textId="77777777" w:rsidR="00E579B9" w:rsidRDefault="006A1398">
            <w:pPr>
              <w:pStyle w:val="aa"/>
            </w:pPr>
            <w:r>
              <w:rPr>
                <w:rFonts w:hint="eastAsia"/>
              </w:rPr>
              <w:t>05</w:t>
            </w:r>
          </w:p>
        </w:tc>
        <w:tc>
          <w:tcPr>
            <w:tcW w:w="2063" w:type="dxa"/>
            <w:vAlign w:val="center"/>
          </w:tcPr>
          <w:p w14:paraId="613B792A" w14:textId="77777777" w:rsidR="00E579B9" w:rsidRDefault="006A1398">
            <w:pPr>
              <w:pStyle w:val="aa"/>
            </w:pPr>
            <w:r>
              <w:rPr>
                <w:rFonts w:hint="eastAsia"/>
              </w:rPr>
              <w:t>0.04</w:t>
            </w:r>
          </w:p>
        </w:tc>
        <w:tc>
          <w:tcPr>
            <w:tcW w:w="1928" w:type="dxa"/>
            <w:vAlign w:val="center"/>
          </w:tcPr>
          <w:p w14:paraId="41A417ED" w14:textId="77777777" w:rsidR="00E579B9" w:rsidRDefault="006A1398">
            <w:pPr>
              <w:pStyle w:val="aa"/>
            </w:pPr>
            <w:r>
              <w:rPr>
                <w:rFonts w:hint="eastAsia"/>
              </w:rPr>
              <w:t>0.03</w:t>
            </w:r>
          </w:p>
        </w:tc>
      </w:tr>
      <w:tr w:rsidR="00E579B9" w14:paraId="7079C1E3" w14:textId="77777777">
        <w:trPr>
          <w:trHeight w:val="90"/>
          <w:jc w:val="center"/>
        </w:trPr>
        <w:tc>
          <w:tcPr>
            <w:tcW w:w="800" w:type="dxa"/>
            <w:vMerge/>
            <w:vAlign w:val="center"/>
          </w:tcPr>
          <w:p w14:paraId="7E9E80AC" w14:textId="77777777" w:rsidR="00E579B9" w:rsidRDefault="00E579B9">
            <w:pPr>
              <w:pStyle w:val="aa"/>
            </w:pPr>
          </w:p>
        </w:tc>
        <w:tc>
          <w:tcPr>
            <w:tcW w:w="1416" w:type="dxa"/>
            <w:vAlign w:val="center"/>
          </w:tcPr>
          <w:p w14:paraId="21BB3036" w14:textId="77777777" w:rsidR="00E579B9" w:rsidRDefault="006A1398">
            <w:pPr>
              <w:pStyle w:val="aa"/>
            </w:pPr>
            <w:r>
              <w:rPr>
                <w:rFonts w:hint="eastAsia"/>
              </w:rPr>
              <w:t>大理岩</w:t>
            </w:r>
          </w:p>
        </w:tc>
        <w:tc>
          <w:tcPr>
            <w:tcW w:w="2315" w:type="dxa"/>
            <w:vAlign w:val="center"/>
          </w:tcPr>
          <w:p w14:paraId="2535467C" w14:textId="77777777" w:rsidR="00E579B9" w:rsidRDefault="006A1398">
            <w:pPr>
              <w:pStyle w:val="aa"/>
            </w:pPr>
            <w:r>
              <w:rPr>
                <w:rFonts w:hint="eastAsia"/>
              </w:rPr>
              <w:t>06</w:t>
            </w:r>
          </w:p>
        </w:tc>
        <w:tc>
          <w:tcPr>
            <w:tcW w:w="2063" w:type="dxa"/>
            <w:vAlign w:val="center"/>
          </w:tcPr>
          <w:p w14:paraId="07DDC5BD" w14:textId="77777777" w:rsidR="00E579B9" w:rsidRDefault="006A1398">
            <w:pPr>
              <w:pStyle w:val="aa"/>
            </w:pPr>
            <w:r>
              <w:rPr>
                <w:rFonts w:hint="eastAsia"/>
              </w:rPr>
              <w:t>0.04</w:t>
            </w:r>
          </w:p>
        </w:tc>
        <w:tc>
          <w:tcPr>
            <w:tcW w:w="1928" w:type="dxa"/>
            <w:vAlign w:val="center"/>
          </w:tcPr>
          <w:p w14:paraId="61F78A19" w14:textId="77777777" w:rsidR="00E579B9" w:rsidRDefault="006A1398">
            <w:pPr>
              <w:pStyle w:val="aa"/>
            </w:pPr>
            <w:r>
              <w:t>0.0</w:t>
            </w:r>
            <w:r>
              <w:rPr>
                <w:rFonts w:hint="eastAsia"/>
              </w:rPr>
              <w:t>3</w:t>
            </w:r>
          </w:p>
        </w:tc>
      </w:tr>
      <w:tr w:rsidR="00E579B9" w14:paraId="795F8EE5" w14:textId="77777777">
        <w:trPr>
          <w:trHeight w:val="90"/>
          <w:jc w:val="center"/>
        </w:trPr>
        <w:tc>
          <w:tcPr>
            <w:tcW w:w="800" w:type="dxa"/>
            <w:vMerge/>
            <w:vAlign w:val="center"/>
          </w:tcPr>
          <w:p w14:paraId="0A101562" w14:textId="77777777" w:rsidR="00E579B9" w:rsidRDefault="00E579B9">
            <w:pPr>
              <w:pStyle w:val="aa"/>
            </w:pPr>
          </w:p>
        </w:tc>
        <w:tc>
          <w:tcPr>
            <w:tcW w:w="1416" w:type="dxa"/>
            <w:vAlign w:val="center"/>
          </w:tcPr>
          <w:p w14:paraId="26110414" w14:textId="77777777" w:rsidR="00E579B9" w:rsidRDefault="006A1398">
            <w:pPr>
              <w:pStyle w:val="aa"/>
            </w:pPr>
            <w:r>
              <w:t>平均</w:t>
            </w:r>
          </w:p>
        </w:tc>
        <w:tc>
          <w:tcPr>
            <w:tcW w:w="2315" w:type="dxa"/>
            <w:vAlign w:val="center"/>
          </w:tcPr>
          <w:p w14:paraId="75D644EF" w14:textId="77777777" w:rsidR="00E579B9" w:rsidRDefault="006A1398">
            <w:pPr>
              <w:pStyle w:val="aa"/>
            </w:pPr>
            <w:r>
              <w:rPr>
                <w:rFonts w:hint="eastAsia"/>
              </w:rPr>
              <w:t>/</w:t>
            </w:r>
          </w:p>
        </w:tc>
        <w:tc>
          <w:tcPr>
            <w:tcW w:w="2063" w:type="dxa"/>
            <w:vAlign w:val="center"/>
          </w:tcPr>
          <w:p w14:paraId="381F8494" w14:textId="77777777" w:rsidR="00E579B9" w:rsidRDefault="006A1398">
            <w:pPr>
              <w:pStyle w:val="aa"/>
            </w:pPr>
            <w:r>
              <w:rPr>
                <w:rFonts w:hint="eastAsia"/>
              </w:rPr>
              <w:t>0.04</w:t>
            </w:r>
          </w:p>
        </w:tc>
        <w:tc>
          <w:tcPr>
            <w:tcW w:w="1928" w:type="dxa"/>
            <w:vAlign w:val="center"/>
          </w:tcPr>
          <w:p w14:paraId="2C2DF011" w14:textId="77777777" w:rsidR="00E579B9" w:rsidRDefault="006A1398">
            <w:pPr>
              <w:pStyle w:val="aa"/>
            </w:pPr>
            <w:r>
              <w:rPr>
                <w:rFonts w:hint="eastAsia"/>
              </w:rPr>
              <w:t>0.03</w:t>
            </w:r>
          </w:p>
        </w:tc>
      </w:tr>
      <w:tr w:rsidR="00E579B9" w14:paraId="2A105734" w14:textId="77777777">
        <w:trPr>
          <w:trHeight w:val="90"/>
          <w:jc w:val="center"/>
        </w:trPr>
        <w:tc>
          <w:tcPr>
            <w:tcW w:w="800" w:type="dxa"/>
            <w:vMerge/>
            <w:vAlign w:val="center"/>
          </w:tcPr>
          <w:p w14:paraId="61F9D569" w14:textId="77777777" w:rsidR="00E579B9" w:rsidRDefault="00E579B9">
            <w:pPr>
              <w:pStyle w:val="aa"/>
            </w:pPr>
          </w:p>
        </w:tc>
        <w:tc>
          <w:tcPr>
            <w:tcW w:w="1416" w:type="dxa"/>
            <w:vAlign w:val="center"/>
          </w:tcPr>
          <w:p w14:paraId="487CFE7A" w14:textId="77777777" w:rsidR="00E579B9" w:rsidRDefault="006A1398">
            <w:pPr>
              <w:pStyle w:val="aa"/>
            </w:pPr>
            <w:r>
              <w:rPr>
                <w:rFonts w:hint="eastAsia"/>
              </w:rPr>
              <w:t>玄武岩</w:t>
            </w:r>
          </w:p>
        </w:tc>
        <w:tc>
          <w:tcPr>
            <w:tcW w:w="2315" w:type="dxa"/>
            <w:vAlign w:val="center"/>
          </w:tcPr>
          <w:p w14:paraId="7E3B6648" w14:textId="77777777" w:rsidR="00E579B9" w:rsidRDefault="006A1398">
            <w:pPr>
              <w:pStyle w:val="aa"/>
            </w:pPr>
            <w:r>
              <w:rPr>
                <w:rFonts w:hint="eastAsia"/>
              </w:rPr>
              <w:t>07</w:t>
            </w:r>
          </w:p>
        </w:tc>
        <w:tc>
          <w:tcPr>
            <w:tcW w:w="2063" w:type="dxa"/>
            <w:vAlign w:val="center"/>
          </w:tcPr>
          <w:p w14:paraId="47CFE1CD" w14:textId="77777777" w:rsidR="00E579B9" w:rsidRDefault="006A1398">
            <w:pPr>
              <w:pStyle w:val="aa"/>
            </w:pPr>
            <w:r>
              <w:rPr>
                <w:rFonts w:hint="eastAsia"/>
              </w:rPr>
              <w:t>0.05</w:t>
            </w:r>
          </w:p>
        </w:tc>
        <w:tc>
          <w:tcPr>
            <w:tcW w:w="1928" w:type="dxa"/>
            <w:vAlign w:val="center"/>
          </w:tcPr>
          <w:p w14:paraId="0D1642E1" w14:textId="77777777" w:rsidR="00E579B9" w:rsidRDefault="006A1398">
            <w:pPr>
              <w:pStyle w:val="aa"/>
            </w:pPr>
            <w:r>
              <w:rPr>
                <w:rFonts w:hint="eastAsia"/>
              </w:rPr>
              <w:t>0.04</w:t>
            </w:r>
          </w:p>
        </w:tc>
      </w:tr>
      <w:tr w:rsidR="00E579B9" w14:paraId="1CCD79E2" w14:textId="77777777">
        <w:trPr>
          <w:trHeight w:val="90"/>
          <w:jc w:val="center"/>
        </w:trPr>
        <w:tc>
          <w:tcPr>
            <w:tcW w:w="800" w:type="dxa"/>
            <w:vMerge/>
            <w:vAlign w:val="center"/>
          </w:tcPr>
          <w:p w14:paraId="4FEE38D6" w14:textId="77777777" w:rsidR="00E579B9" w:rsidRDefault="00E579B9">
            <w:pPr>
              <w:pStyle w:val="aa"/>
            </w:pPr>
          </w:p>
        </w:tc>
        <w:tc>
          <w:tcPr>
            <w:tcW w:w="1416" w:type="dxa"/>
            <w:vAlign w:val="center"/>
          </w:tcPr>
          <w:p w14:paraId="01074682" w14:textId="77777777" w:rsidR="00E579B9" w:rsidRDefault="006A1398">
            <w:pPr>
              <w:pStyle w:val="aa"/>
            </w:pPr>
            <w:r>
              <w:rPr>
                <w:rFonts w:hint="eastAsia"/>
              </w:rPr>
              <w:t>玄武岩</w:t>
            </w:r>
          </w:p>
        </w:tc>
        <w:tc>
          <w:tcPr>
            <w:tcW w:w="2315" w:type="dxa"/>
            <w:vAlign w:val="center"/>
          </w:tcPr>
          <w:p w14:paraId="0F2897C3" w14:textId="77777777" w:rsidR="00E579B9" w:rsidRDefault="006A1398">
            <w:pPr>
              <w:pStyle w:val="aa"/>
            </w:pPr>
            <w:r>
              <w:rPr>
                <w:rFonts w:hint="eastAsia"/>
              </w:rPr>
              <w:t>08</w:t>
            </w:r>
          </w:p>
        </w:tc>
        <w:tc>
          <w:tcPr>
            <w:tcW w:w="2063" w:type="dxa"/>
            <w:vAlign w:val="center"/>
          </w:tcPr>
          <w:p w14:paraId="2352BF9A" w14:textId="77777777" w:rsidR="00E579B9" w:rsidRDefault="006A1398">
            <w:pPr>
              <w:pStyle w:val="aa"/>
            </w:pPr>
            <w:r>
              <w:rPr>
                <w:rFonts w:hint="eastAsia"/>
              </w:rPr>
              <w:t>0.04</w:t>
            </w:r>
          </w:p>
        </w:tc>
        <w:tc>
          <w:tcPr>
            <w:tcW w:w="1928" w:type="dxa"/>
            <w:vAlign w:val="center"/>
          </w:tcPr>
          <w:p w14:paraId="388D38EC" w14:textId="77777777" w:rsidR="00E579B9" w:rsidRDefault="006A1398">
            <w:pPr>
              <w:pStyle w:val="aa"/>
            </w:pPr>
            <w:r>
              <w:rPr>
                <w:rFonts w:hint="eastAsia"/>
              </w:rPr>
              <w:t>0.04</w:t>
            </w:r>
          </w:p>
        </w:tc>
      </w:tr>
      <w:tr w:rsidR="00E579B9" w14:paraId="67C20F6E" w14:textId="77777777">
        <w:trPr>
          <w:trHeight w:val="90"/>
          <w:jc w:val="center"/>
        </w:trPr>
        <w:tc>
          <w:tcPr>
            <w:tcW w:w="800" w:type="dxa"/>
            <w:vMerge/>
            <w:vAlign w:val="center"/>
          </w:tcPr>
          <w:p w14:paraId="11C9A17B" w14:textId="77777777" w:rsidR="00E579B9" w:rsidRDefault="00E579B9">
            <w:pPr>
              <w:pStyle w:val="aa"/>
            </w:pPr>
          </w:p>
        </w:tc>
        <w:tc>
          <w:tcPr>
            <w:tcW w:w="1416" w:type="dxa"/>
            <w:vAlign w:val="center"/>
          </w:tcPr>
          <w:p w14:paraId="7F449F02" w14:textId="77777777" w:rsidR="00E579B9" w:rsidRDefault="006A1398">
            <w:pPr>
              <w:pStyle w:val="aa"/>
            </w:pPr>
            <w:r>
              <w:rPr>
                <w:rFonts w:hint="eastAsia"/>
              </w:rPr>
              <w:t>平均</w:t>
            </w:r>
          </w:p>
        </w:tc>
        <w:tc>
          <w:tcPr>
            <w:tcW w:w="2315" w:type="dxa"/>
            <w:vAlign w:val="center"/>
          </w:tcPr>
          <w:p w14:paraId="0694F9D4" w14:textId="77777777" w:rsidR="00E579B9" w:rsidRDefault="006A1398">
            <w:pPr>
              <w:pStyle w:val="aa"/>
            </w:pPr>
            <w:r>
              <w:rPr>
                <w:rFonts w:hint="eastAsia"/>
              </w:rPr>
              <w:t>/</w:t>
            </w:r>
          </w:p>
        </w:tc>
        <w:tc>
          <w:tcPr>
            <w:tcW w:w="2063" w:type="dxa"/>
            <w:vAlign w:val="center"/>
          </w:tcPr>
          <w:p w14:paraId="1C40F549" w14:textId="77777777" w:rsidR="00E579B9" w:rsidRDefault="006A1398">
            <w:pPr>
              <w:pStyle w:val="aa"/>
            </w:pPr>
            <w:r>
              <w:rPr>
                <w:rFonts w:hint="eastAsia"/>
              </w:rPr>
              <w:t>0.05</w:t>
            </w:r>
          </w:p>
        </w:tc>
        <w:tc>
          <w:tcPr>
            <w:tcW w:w="1928" w:type="dxa"/>
            <w:vAlign w:val="center"/>
          </w:tcPr>
          <w:p w14:paraId="030EBF00" w14:textId="77777777" w:rsidR="00E579B9" w:rsidRDefault="006A1398">
            <w:pPr>
              <w:pStyle w:val="aa"/>
            </w:pPr>
            <w:r>
              <w:rPr>
                <w:rFonts w:hint="eastAsia"/>
              </w:rPr>
              <w:t>0.04</w:t>
            </w:r>
          </w:p>
        </w:tc>
      </w:tr>
    </w:tbl>
    <w:p w14:paraId="7688517A" w14:textId="77777777" w:rsidR="00E579B9" w:rsidRDefault="006A1398">
      <w:pPr>
        <w:pStyle w:val="2"/>
        <w:ind w:firstLine="560"/>
      </w:pPr>
      <w:bookmarkStart w:id="117" w:name="_Toc20297"/>
      <w:bookmarkStart w:id="118" w:name="_Toc531939324"/>
      <w:bookmarkStart w:id="119" w:name="_Toc304130052"/>
      <w:bookmarkStart w:id="120" w:name="_Toc33021794"/>
      <w:r>
        <w:t>3</w:t>
      </w:r>
      <w:r>
        <w:rPr>
          <w:rFonts w:hint="eastAsia"/>
        </w:rPr>
        <w:t>.4</w:t>
      </w:r>
      <w:r>
        <w:rPr>
          <w:rFonts w:hint="eastAsia"/>
        </w:rPr>
        <w:t>矿山开拓方案</w:t>
      </w:r>
      <w:bookmarkEnd w:id="117"/>
      <w:bookmarkEnd w:id="118"/>
      <w:bookmarkEnd w:id="119"/>
      <w:bookmarkEnd w:id="120"/>
    </w:p>
    <w:p w14:paraId="66AA99DF" w14:textId="77777777" w:rsidR="00E579B9" w:rsidRDefault="006A1398">
      <w:pPr>
        <w:pStyle w:val="3"/>
        <w:ind w:firstLine="560"/>
      </w:pPr>
      <w:bookmarkStart w:id="121" w:name="_Toc31497"/>
      <w:bookmarkStart w:id="122" w:name="_Toc531939325"/>
      <w:r>
        <w:t>3.4.1</w:t>
      </w:r>
      <w:r>
        <w:t>开采范围</w:t>
      </w:r>
    </w:p>
    <w:p w14:paraId="39DDF739" w14:textId="77777777" w:rsidR="00E579B9" w:rsidRDefault="006A1398">
      <w:bookmarkStart w:id="123" w:name="_Toc531939306"/>
      <w:bookmarkStart w:id="124" w:name="_Toc15403"/>
      <w:bookmarkStart w:id="125" w:name="_Toc531939326"/>
      <w:bookmarkStart w:id="126" w:name="_Toc14757"/>
      <w:r>
        <w:t>根据本项目</w:t>
      </w:r>
      <w:r>
        <w:rPr>
          <w:rFonts w:hint="eastAsia"/>
        </w:rPr>
        <w:t>《驻马店市驿城区李尧建筑石料用大理岩矿矿产资源开发利用方案》</w:t>
      </w:r>
      <w:r>
        <w:t>，驻马店市</w:t>
      </w:r>
      <w:proofErr w:type="gramStart"/>
      <w:r>
        <w:t>驿</w:t>
      </w:r>
      <w:proofErr w:type="gramEnd"/>
      <w:r>
        <w:t>城区李</w:t>
      </w:r>
      <w:proofErr w:type="gramStart"/>
      <w:r>
        <w:t>尧建筑</w:t>
      </w:r>
      <w:proofErr w:type="gramEnd"/>
      <w:r>
        <w:t>用大理岩矿开采项目矿区范围由</w:t>
      </w:r>
      <w:r>
        <w:t>4</w:t>
      </w:r>
      <w:r>
        <w:t>个拐点圈定</w:t>
      </w:r>
      <w:r>
        <w:rPr>
          <w:rFonts w:hint="eastAsia"/>
        </w:rPr>
        <w:t>，矿区面积为</w:t>
      </w:r>
      <w:r>
        <w:t>0.2965</w:t>
      </w:r>
      <w:r>
        <w:rPr>
          <w:rFonts w:hint="eastAsia"/>
        </w:rPr>
        <w:t>km</w:t>
      </w:r>
      <w:r>
        <w:rPr>
          <w:rFonts w:hint="eastAsia"/>
          <w:vertAlign w:val="superscript"/>
        </w:rPr>
        <w:t>2</w:t>
      </w:r>
      <w:r>
        <w:rPr>
          <w:rFonts w:hint="eastAsia"/>
        </w:rPr>
        <w:t>。</w:t>
      </w:r>
    </w:p>
    <w:p w14:paraId="13621F2D" w14:textId="77777777" w:rsidR="00E579B9" w:rsidRDefault="006A1398">
      <w:pPr>
        <w:pStyle w:val="3"/>
        <w:ind w:firstLine="560"/>
      </w:pPr>
      <w:r>
        <w:t>3</w:t>
      </w:r>
      <w:r>
        <w:rPr>
          <w:rFonts w:hint="eastAsia"/>
        </w:rPr>
        <w:t>.</w:t>
      </w:r>
      <w:r>
        <w:t>4</w:t>
      </w:r>
      <w:r>
        <w:rPr>
          <w:rFonts w:hint="eastAsia"/>
        </w:rPr>
        <w:t>.</w:t>
      </w:r>
      <w:r>
        <w:t>2</w:t>
      </w:r>
      <w:r>
        <w:rPr>
          <w:rFonts w:hint="eastAsia"/>
        </w:rPr>
        <w:t>开采</w:t>
      </w:r>
      <w:bookmarkEnd w:id="123"/>
      <w:bookmarkEnd w:id="124"/>
      <w:r>
        <w:rPr>
          <w:rFonts w:hint="eastAsia"/>
        </w:rPr>
        <w:t>方式</w:t>
      </w:r>
    </w:p>
    <w:p w14:paraId="3652B02E" w14:textId="77777777" w:rsidR="00E579B9" w:rsidRDefault="006A1398">
      <w:pPr>
        <w:rPr>
          <w:rFonts w:cs="Times New Roman"/>
        </w:rPr>
      </w:pPr>
      <w:r>
        <w:rPr>
          <w:rFonts w:cs="Times New Roman"/>
        </w:rPr>
        <w:t>矿体裸露地表，无顶板，存在</w:t>
      </w:r>
      <w:proofErr w:type="gramStart"/>
      <w:r>
        <w:rPr>
          <w:rFonts w:cs="Times New Roman"/>
        </w:rPr>
        <w:t>吧一定</w:t>
      </w:r>
      <w:proofErr w:type="gramEnd"/>
      <w:r>
        <w:rPr>
          <w:rFonts w:cs="Times New Roman"/>
        </w:rPr>
        <w:t>覆盖层和部分夹石。经计算，露天开采平均剥采比为</w:t>
      </w:r>
      <w:r>
        <w:rPr>
          <w:rFonts w:cs="Times New Roman"/>
        </w:rPr>
        <w:t>0.22m</w:t>
      </w:r>
      <w:r>
        <w:rPr>
          <w:rFonts w:cs="Times New Roman"/>
          <w:vertAlign w:val="superscript"/>
        </w:rPr>
        <w:t>3</w:t>
      </w:r>
      <w:r>
        <w:rPr>
          <w:rFonts w:cs="Times New Roman"/>
        </w:rPr>
        <w:t>/m</w:t>
      </w:r>
      <w:r>
        <w:rPr>
          <w:rFonts w:cs="Times New Roman"/>
          <w:vertAlign w:val="superscript"/>
        </w:rPr>
        <w:t>3</w:t>
      </w:r>
      <w:r>
        <w:rPr>
          <w:rFonts w:cs="Times New Roman"/>
        </w:rPr>
        <w:t>（小于</w:t>
      </w:r>
      <w:r>
        <w:rPr>
          <w:rFonts w:cs="Times New Roman"/>
        </w:rPr>
        <w:t>0.5m</w:t>
      </w:r>
      <w:r>
        <w:rPr>
          <w:rFonts w:cs="Times New Roman"/>
          <w:vertAlign w:val="superscript"/>
        </w:rPr>
        <w:t>3</w:t>
      </w:r>
      <w:r>
        <w:rPr>
          <w:rFonts w:cs="Times New Roman"/>
        </w:rPr>
        <w:t>/m</w:t>
      </w:r>
      <w:r>
        <w:rPr>
          <w:rFonts w:cs="Times New Roman"/>
          <w:vertAlign w:val="superscript"/>
        </w:rPr>
        <w:t>3</w:t>
      </w:r>
      <w:r>
        <w:rPr>
          <w:rFonts w:cs="Times New Roman"/>
        </w:rPr>
        <w:t>），剥采比较小，明显适合露天开采，</w:t>
      </w:r>
      <w:proofErr w:type="gramStart"/>
      <w:r>
        <w:rPr>
          <w:rFonts w:cs="Times New Roman"/>
        </w:rPr>
        <w:t>故设计</w:t>
      </w:r>
      <w:proofErr w:type="gramEnd"/>
      <w:r>
        <w:rPr>
          <w:rFonts w:cs="Times New Roman"/>
        </w:rPr>
        <w:t>选用露天开采方式。</w:t>
      </w:r>
    </w:p>
    <w:p w14:paraId="1D3D9C58" w14:textId="77777777" w:rsidR="00E579B9" w:rsidRDefault="006A1398">
      <w:pPr>
        <w:pStyle w:val="3"/>
        <w:ind w:firstLine="560"/>
      </w:pPr>
      <w:r>
        <w:t>3</w:t>
      </w:r>
      <w:r>
        <w:rPr>
          <w:rFonts w:hint="eastAsia"/>
        </w:rPr>
        <w:t>.</w:t>
      </w:r>
      <w:r>
        <w:t>4</w:t>
      </w:r>
      <w:r>
        <w:rPr>
          <w:rFonts w:hint="eastAsia"/>
        </w:rPr>
        <w:t>.</w:t>
      </w:r>
      <w:r>
        <w:t>3</w:t>
      </w:r>
      <w:r>
        <w:rPr>
          <w:rFonts w:hint="eastAsia"/>
        </w:rPr>
        <w:t>采剥工艺</w:t>
      </w:r>
    </w:p>
    <w:p w14:paraId="5FA3A852" w14:textId="77777777" w:rsidR="00E579B9" w:rsidRDefault="006A1398">
      <w:pPr>
        <w:rPr>
          <w:rFonts w:ascii="Arial"/>
        </w:rPr>
      </w:pPr>
      <w:r>
        <w:rPr>
          <w:rFonts w:hint="eastAsia"/>
        </w:rPr>
        <w:lastRenderedPageBreak/>
        <w:t>采用自上而下台阶式开采。采剥工作面采用横向采矿法，即工作面垂直矿体，</w:t>
      </w:r>
      <w:proofErr w:type="gramStart"/>
      <w:r>
        <w:rPr>
          <w:rFonts w:hint="eastAsia"/>
        </w:rPr>
        <w:t>沿走向</w:t>
      </w:r>
      <w:proofErr w:type="gramEnd"/>
      <w:r>
        <w:rPr>
          <w:rFonts w:hint="eastAsia"/>
        </w:rPr>
        <w:t>推进。</w:t>
      </w:r>
    </w:p>
    <w:p w14:paraId="247D2F27" w14:textId="77777777" w:rsidR="00E579B9" w:rsidRDefault="006A1398">
      <w:pPr>
        <w:pStyle w:val="3"/>
        <w:ind w:firstLine="560"/>
      </w:pPr>
      <w:r>
        <w:t>3.4.4</w:t>
      </w:r>
      <w:r>
        <w:rPr>
          <w:rFonts w:hint="eastAsia"/>
        </w:rPr>
        <w:t>穿孔爆破</w:t>
      </w:r>
    </w:p>
    <w:p w14:paraId="7186AB14" w14:textId="77777777" w:rsidR="00E579B9" w:rsidRDefault="006A1398">
      <w:r>
        <w:rPr>
          <w:rFonts w:hint="eastAsia"/>
        </w:rPr>
        <w:t>根据矿体的开采技术条件、生产规模、矿岩性质及其它同类矿山生产实践，使用潜孔钻机进行中深孔穿孔作业，使用岩石膨化硝铵炸药，采用毫秒雷管非电起爆方法。爆破网络采用塑料导爆管非电起爆系统。设计工作台阶高度为</w:t>
      </w:r>
      <w:r>
        <w:rPr>
          <w:rFonts w:hint="eastAsia"/>
        </w:rPr>
        <w:t>15m</w:t>
      </w:r>
      <w:r>
        <w:rPr>
          <w:rFonts w:hint="eastAsia"/>
        </w:rPr>
        <w:t>，钻孔取孔径φ</w:t>
      </w:r>
      <w:r>
        <w:rPr>
          <w:rFonts w:hint="eastAsia"/>
        </w:rPr>
        <w:t>180mm</w:t>
      </w:r>
      <w:r>
        <w:rPr>
          <w:rFonts w:hint="eastAsia"/>
        </w:rPr>
        <w:t>。采矿时爆破作业每段</w:t>
      </w:r>
      <w:r>
        <w:rPr>
          <w:rFonts w:hint="eastAsia"/>
        </w:rPr>
        <w:t>2</w:t>
      </w:r>
      <w:r>
        <w:rPr>
          <w:rFonts w:hint="eastAsia"/>
        </w:rPr>
        <w:t>个炮孔，段间微差</w:t>
      </w:r>
      <w:r>
        <w:rPr>
          <w:rFonts w:hint="eastAsia"/>
        </w:rPr>
        <w:t>25ms</w:t>
      </w:r>
      <w:r>
        <w:rPr>
          <w:rFonts w:hint="eastAsia"/>
        </w:rPr>
        <w:t>，段间</w:t>
      </w:r>
      <w:r>
        <w:rPr>
          <w:rFonts w:hint="eastAsia"/>
        </w:rPr>
        <w:t>1</w:t>
      </w:r>
      <w:r>
        <w:rPr>
          <w:rFonts w:hint="eastAsia"/>
        </w:rPr>
        <w:t>段导爆管雷管连接，孔内双向起爆，瞬发电雷管引爆起爆网路。</w:t>
      </w:r>
      <w:proofErr w:type="gramStart"/>
      <w:r>
        <w:rPr>
          <w:rFonts w:hint="eastAsia"/>
        </w:rPr>
        <w:t>单段装药量</w:t>
      </w:r>
      <w:proofErr w:type="gramEnd"/>
      <w:r>
        <w:rPr>
          <w:rFonts w:hint="eastAsia"/>
        </w:rPr>
        <w:t>371kg</w:t>
      </w:r>
      <w:r>
        <w:rPr>
          <w:rFonts w:hint="eastAsia"/>
        </w:rPr>
        <w:t>，总装药量</w:t>
      </w:r>
      <w:r>
        <w:rPr>
          <w:rFonts w:hint="eastAsia"/>
        </w:rPr>
        <w:t>5569kg</w:t>
      </w:r>
      <w:r>
        <w:rPr>
          <w:rFonts w:hint="eastAsia"/>
        </w:rPr>
        <w:t>，共</w:t>
      </w:r>
      <w:r>
        <w:rPr>
          <w:rFonts w:hint="eastAsia"/>
        </w:rPr>
        <w:t>30</w:t>
      </w:r>
      <w:r>
        <w:rPr>
          <w:rFonts w:hint="eastAsia"/>
        </w:rPr>
        <w:t>个炮孔。每个工作面爆破周期为</w:t>
      </w:r>
      <w:r>
        <w:rPr>
          <w:rFonts w:hint="eastAsia"/>
        </w:rPr>
        <w:t>7</w:t>
      </w:r>
      <w:r>
        <w:rPr>
          <w:rFonts w:hint="eastAsia"/>
        </w:rPr>
        <w:t>至</w:t>
      </w:r>
      <w:r>
        <w:rPr>
          <w:rFonts w:hint="eastAsia"/>
        </w:rPr>
        <w:t>8</w:t>
      </w:r>
      <w:r>
        <w:rPr>
          <w:rFonts w:hint="eastAsia"/>
        </w:rPr>
        <w:t>天一次。</w:t>
      </w:r>
    </w:p>
    <w:p w14:paraId="565E1C25" w14:textId="77777777" w:rsidR="00E579B9" w:rsidRDefault="006A1398">
      <w:r>
        <w:rPr>
          <w:rFonts w:hint="eastAsia"/>
        </w:rPr>
        <w:t>考虑到边角矿体开采和采准、剥离等作业，矿山另配备</w:t>
      </w:r>
      <w:r>
        <w:rPr>
          <w:rFonts w:hint="eastAsia"/>
        </w:rPr>
        <w:t>KQG-100</w:t>
      </w:r>
      <w:r>
        <w:rPr>
          <w:rFonts w:hint="eastAsia"/>
        </w:rPr>
        <w:t>型露天潜孔钻机</w:t>
      </w:r>
      <w:r>
        <w:rPr>
          <w:rFonts w:hint="eastAsia"/>
        </w:rPr>
        <w:t>1</w:t>
      </w:r>
      <w:r>
        <w:rPr>
          <w:rFonts w:hint="eastAsia"/>
        </w:rPr>
        <w:t>台，钻孔直径Φ</w:t>
      </w:r>
      <w:r>
        <w:rPr>
          <w:rFonts w:hint="eastAsia"/>
        </w:rPr>
        <w:t>105mm</w:t>
      </w:r>
      <w:r>
        <w:rPr>
          <w:rFonts w:hint="eastAsia"/>
        </w:rPr>
        <w:t>，</w:t>
      </w:r>
      <w:proofErr w:type="gramStart"/>
      <w:r>
        <w:rPr>
          <w:rFonts w:hint="eastAsia"/>
        </w:rPr>
        <w:t>钻孔深</w:t>
      </w:r>
      <w:proofErr w:type="gramEnd"/>
      <w:r>
        <w:rPr>
          <w:rFonts w:hint="eastAsia"/>
        </w:rPr>
        <w:t>30m</w:t>
      </w:r>
      <w:r>
        <w:rPr>
          <w:rFonts w:hint="eastAsia"/>
        </w:rPr>
        <w:t>。配套</w:t>
      </w:r>
      <w:proofErr w:type="gramStart"/>
      <w:r>
        <w:rPr>
          <w:rFonts w:hint="eastAsia"/>
        </w:rPr>
        <w:t>的供风设备</w:t>
      </w:r>
      <w:proofErr w:type="gramEnd"/>
      <w:r>
        <w:rPr>
          <w:rFonts w:hint="eastAsia"/>
        </w:rPr>
        <w:t>，采用</w:t>
      </w:r>
      <w:r>
        <w:rPr>
          <w:rFonts w:hint="eastAsia"/>
        </w:rPr>
        <w:t>VHP600E</w:t>
      </w:r>
      <w:r>
        <w:rPr>
          <w:rFonts w:hint="eastAsia"/>
        </w:rPr>
        <w:t>型移动式螺杆空压机</w:t>
      </w:r>
      <w:r>
        <w:rPr>
          <w:rFonts w:hint="eastAsia"/>
        </w:rPr>
        <w:t>1</w:t>
      </w:r>
      <w:r>
        <w:rPr>
          <w:rFonts w:hint="eastAsia"/>
        </w:rPr>
        <w:t>台，排风量</w:t>
      </w:r>
      <w:r>
        <w:rPr>
          <w:rFonts w:hint="eastAsia"/>
        </w:rPr>
        <w:t>17m</w:t>
      </w:r>
      <w:r>
        <w:rPr>
          <w:rFonts w:hint="eastAsia"/>
          <w:vertAlign w:val="superscript"/>
        </w:rPr>
        <w:t>3</w:t>
      </w:r>
      <w:r>
        <w:rPr>
          <w:rFonts w:hint="eastAsia"/>
        </w:rPr>
        <w:t>/min</w:t>
      </w:r>
      <w:r>
        <w:rPr>
          <w:rFonts w:hint="eastAsia"/>
        </w:rPr>
        <w:t>，排风压力</w:t>
      </w:r>
      <w:r>
        <w:rPr>
          <w:rFonts w:hint="eastAsia"/>
        </w:rPr>
        <w:t>1.2MPa</w:t>
      </w:r>
      <w:r>
        <w:rPr>
          <w:rFonts w:hint="eastAsia"/>
        </w:rPr>
        <w:t>。</w:t>
      </w:r>
    </w:p>
    <w:p w14:paraId="736A9746" w14:textId="77777777" w:rsidR="00E579B9" w:rsidRDefault="006A1398">
      <w:pPr>
        <w:pStyle w:val="3"/>
        <w:ind w:firstLine="560"/>
      </w:pPr>
      <w:r>
        <w:t>3</w:t>
      </w:r>
      <w:r>
        <w:rPr>
          <w:rFonts w:hint="eastAsia"/>
        </w:rPr>
        <w:t>.4.5</w:t>
      </w:r>
      <w:r>
        <w:rPr>
          <w:rFonts w:hint="eastAsia"/>
        </w:rPr>
        <w:t>大块二次处理</w:t>
      </w:r>
    </w:p>
    <w:p w14:paraId="5B3A3E7B" w14:textId="77777777" w:rsidR="00E579B9" w:rsidRDefault="006A1398">
      <w:pPr>
        <w:rPr>
          <w:kern w:val="0"/>
        </w:rPr>
      </w:pPr>
      <w:r>
        <w:rPr>
          <w:rFonts w:hint="eastAsia"/>
          <w:kern w:val="0"/>
        </w:rPr>
        <w:t>采用深孔多排孔微差挤压爆破，产生的大块较少。但为保证矿山安全开采，偶有的大块矿石采用液压破碎</w:t>
      </w:r>
      <w:proofErr w:type="gramStart"/>
      <w:r>
        <w:rPr>
          <w:rFonts w:hint="eastAsia"/>
          <w:kern w:val="0"/>
        </w:rPr>
        <w:t>锤</w:t>
      </w:r>
      <w:proofErr w:type="gramEnd"/>
      <w:r>
        <w:rPr>
          <w:rFonts w:hint="eastAsia"/>
          <w:kern w:val="0"/>
        </w:rPr>
        <w:t>进行二次破碎。另配备</w:t>
      </w:r>
      <w:r>
        <w:rPr>
          <w:rFonts w:hint="eastAsia"/>
          <w:kern w:val="0"/>
        </w:rPr>
        <w:t>2</w:t>
      </w:r>
      <w:r>
        <w:rPr>
          <w:rFonts w:hint="eastAsia"/>
          <w:kern w:val="0"/>
        </w:rPr>
        <w:t>台</w:t>
      </w:r>
      <w:r>
        <w:rPr>
          <w:rFonts w:hint="eastAsia"/>
          <w:kern w:val="0"/>
        </w:rPr>
        <w:t>CAT320</w:t>
      </w:r>
      <w:r>
        <w:rPr>
          <w:rFonts w:hint="eastAsia"/>
          <w:kern w:val="0"/>
        </w:rPr>
        <w:t>挖掘机挂破碎锤，进行二次破碎。</w:t>
      </w:r>
    </w:p>
    <w:p w14:paraId="647BDDCE" w14:textId="77777777" w:rsidR="00E579B9" w:rsidRDefault="006A1398">
      <w:pPr>
        <w:pStyle w:val="3"/>
        <w:ind w:firstLine="560"/>
        <w:rPr>
          <w:rFonts w:ascii="宋体" w:hAnsi="宋体"/>
        </w:rPr>
      </w:pPr>
      <w:r>
        <w:t>3.4.6</w:t>
      </w:r>
      <w:r>
        <w:rPr>
          <w:rFonts w:ascii="宋体" w:hAnsi="宋体" w:hint="eastAsia"/>
        </w:rPr>
        <w:t>采装作业</w:t>
      </w:r>
    </w:p>
    <w:p w14:paraId="7EF921F7" w14:textId="77777777" w:rsidR="00E579B9" w:rsidRDefault="006A1398">
      <w:r>
        <w:rPr>
          <w:rFonts w:hint="eastAsia"/>
        </w:rPr>
        <w:t>设计选用</w:t>
      </w:r>
      <w:r>
        <w:rPr>
          <w:rFonts w:hint="eastAsia"/>
        </w:rPr>
        <w:t>2</w:t>
      </w:r>
      <w:r>
        <w:rPr>
          <w:rFonts w:hint="eastAsia"/>
        </w:rPr>
        <w:t>台</w:t>
      </w:r>
      <w:r>
        <w:rPr>
          <w:rFonts w:hint="eastAsia"/>
        </w:rPr>
        <w:t>CAT3.2m</w:t>
      </w:r>
      <w:r>
        <w:rPr>
          <w:rFonts w:hint="eastAsia"/>
          <w:vertAlign w:val="superscript"/>
        </w:rPr>
        <w:t>3</w:t>
      </w:r>
      <w:r>
        <w:rPr>
          <w:rFonts w:hint="eastAsia"/>
        </w:rPr>
        <w:t>挖掘机进行采装作业。</w:t>
      </w:r>
    </w:p>
    <w:p w14:paraId="369903C8" w14:textId="77777777" w:rsidR="00E579B9" w:rsidRDefault="006A1398">
      <w:r>
        <w:rPr>
          <w:rFonts w:hint="eastAsia"/>
        </w:rPr>
        <w:t>另配</w:t>
      </w:r>
      <w:r>
        <w:rPr>
          <w:rFonts w:hint="eastAsia"/>
        </w:rPr>
        <w:t>4</w:t>
      </w:r>
      <w:r>
        <w:rPr>
          <w:rFonts w:hint="eastAsia"/>
        </w:rPr>
        <w:t>台</w:t>
      </w:r>
      <w:r>
        <w:rPr>
          <w:rFonts w:hint="eastAsia"/>
        </w:rPr>
        <w:t>3.0m</w:t>
      </w:r>
      <w:r>
        <w:rPr>
          <w:rFonts w:hint="eastAsia"/>
          <w:vertAlign w:val="superscript"/>
        </w:rPr>
        <w:t>3</w:t>
      </w:r>
      <w:r>
        <w:rPr>
          <w:rFonts w:hint="eastAsia"/>
        </w:rPr>
        <w:t>ZL50C</w:t>
      </w:r>
      <w:r>
        <w:rPr>
          <w:rFonts w:hint="eastAsia"/>
        </w:rPr>
        <w:t>装载机用于采准、铺路等辅助作业。</w:t>
      </w:r>
    </w:p>
    <w:p w14:paraId="2732DDA9" w14:textId="77777777" w:rsidR="00E579B9" w:rsidRDefault="006A1398">
      <w:pPr>
        <w:pStyle w:val="3"/>
        <w:ind w:firstLine="560"/>
      </w:pPr>
      <w:r>
        <w:t>3.4.7</w:t>
      </w:r>
      <w:r>
        <w:rPr>
          <w:rFonts w:hint="eastAsia"/>
        </w:rPr>
        <w:t>开拓运输方案</w:t>
      </w:r>
    </w:p>
    <w:p w14:paraId="656E533D" w14:textId="77777777" w:rsidR="00E579B9" w:rsidRDefault="006A1398">
      <w:r>
        <w:rPr>
          <w:rFonts w:hint="eastAsia"/>
        </w:rPr>
        <w:t>采用公路开拓，汽车运输。运输设备根据运距情况、道路条件、尽量利用现有车辆和满足生产需要的原则进行具体选用。矿石运输仅考虑从采场运至工业广场。</w:t>
      </w:r>
    </w:p>
    <w:p w14:paraId="547C49DD" w14:textId="77777777" w:rsidR="00E579B9" w:rsidRDefault="006A1398">
      <w:pPr>
        <w:rPr>
          <w:rFonts w:ascii="Arial"/>
        </w:rPr>
      </w:pPr>
      <w:r>
        <w:rPr>
          <w:rFonts w:hint="eastAsia"/>
        </w:rPr>
        <w:t>设计选用</w:t>
      </w:r>
      <w:r>
        <w:rPr>
          <w:rFonts w:hint="eastAsia"/>
        </w:rPr>
        <w:t>32</w:t>
      </w:r>
      <w:r>
        <w:rPr>
          <w:rFonts w:hint="eastAsia"/>
        </w:rPr>
        <w:t>吨矿用自卸汽车，矿石运距最远按</w:t>
      </w:r>
      <w:r>
        <w:rPr>
          <w:rFonts w:hint="eastAsia"/>
        </w:rPr>
        <w:t>1.5km</w:t>
      </w:r>
      <w:r>
        <w:rPr>
          <w:rFonts w:hint="eastAsia"/>
        </w:rPr>
        <w:t>计算，每天工作两班，平均</w:t>
      </w:r>
      <w:r>
        <w:rPr>
          <w:rFonts w:hint="eastAsia"/>
        </w:rPr>
        <w:t>28</w:t>
      </w:r>
      <w:r>
        <w:rPr>
          <w:rFonts w:hint="eastAsia"/>
        </w:rPr>
        <w:t>分钟</w:t>
      </w:r>
      <w:r>
        <w:rPr>
          <w:rFonts w:hint="eastAsia"/>
        </w:rPr>
        <w:t>/</w:t>
      </w:r>
      <w:r>
        <w:rPr>
          <w:rFonts w:hint="eastAsia"/>
        </w:rPr>
        <w:t>次，汽车台班效率为</w:t>
      </w:r>
      <w:r>
        <w:rPr>
          <w:rFonts w:hint="eastAsia"/>
        </w:rPr>
        <w:t>1088t/d</w:t>
      </w:r>
      <w:r>
        <w:rPr>
          <w:rFonts w:hint="eastAsia"/>
        </w:rPr>
        <w:t>，加上生产不均衡系数以及出车率，需配备</w:t>
      </w:r>
      <w:r>
        <w:rPr>
          <w:rFonts w:hint="eastAsia"/>
        </w:rPr>
        <w:t>9</w:t>
      </w:r>
      <w:r>
        <w:rPr>
          <w:rFonts w:hint="eastAsia"/>
        </w:rPr>
        <w:t>台</w:t>
      </w:r>
      <w:r>
        <w:rPr>
          <w:rFonts w:hint="eastAsia"/>
        </w:rPr>
        <w:t>32</w:t>
      </w:r>
      <w:r>
        <w:rPr>
          <w:rFonts w:hint="eastAsia"/>
        </w:rPr>
        <w:t>吨矿用自卸汽车。</w:t>
      </w:r>
    </w:p>
    <w:bookmarkEnd w:id="125"/>
    <w:bookmarkEnd w:id="126"/>
    <w:p w14:paraId="3F2A830B" w14:textId="77777777" w:rsidR="00E579B9" w:rsidRDefault="006A1398">
      <w:pPr>
        <w:pStyle w:val="3"/>
        <w:ind w:firstLine="560"/>
      </w:pPr>
      <w:r>
        <w:t>3</w:t>
      </w:r>
      <w:r>
        <w:rPr>
          <w:rFonts w:hint="eastAsia"/>
        </w:rPr>
        <w:t>.</w:t>
      </w:r>
      <w:r>
        <w:t>4</w:t>
      </w:r>
      <w:r>
        <w:rPr>
          <w:rFonts w:hint="eastAsia"/>
        </w:rPr>
        <w:t>.</w:t>
      </w:r>
      <w:r>
        <w:t>8</w:t>
      </w:r>
      <w:r>
        <w:rPr>
          <w:rFonts w:hint="eastAsia"/>
        </w:rPr>
        <w:t>开采最终境界的圈定</w:t>
      </w:r>
    </w:p>
    <w:p w14:paraId="5CF21C14" w14:textId="77777777" w:rsidR="00E579B9" w:rsidRDefault="006A1398">
      <w:r>
        <w:rPr>
          <w:rFonts w:hint="eastAsia"/>
        </w:rPr>
        <w:lastRenderedPageBreak/>
        <w:t>根据《驻马店市驿城区李尧建筑石料用大理岩矿矿产资源开发利用方案》，整合后露天开采最终境界的确定如下：</w:t>
      </w:r>
    </w:p>
    <w:p w14:paraId="4F2C185C" w14:textId="77777777" w:rsidR="00E579B9" w:rsidRDefault="006A1398">
      <w:r>
        <w:rPr>
          <w:rFonts w:hint="eastAsia"/>
        </w:rPr>
        <w:t>（</w:t>
      </w:r>
      <w:r>
        <w:rPr>
          <w:rFonts w:hint="eastAsia"/>
        </w:rPr>
        <w:t>1</w:t>
      </w:r>
      <w:r>
        <w:rPr>
          <w:rFonts w:hint="eastAsia"/>
        </w:rPr>
        <w:t>）露天开采最终边坡角的确定：确定露天采场的最终边坡角不大于</w:t>
      </w:r>
      <w:r>
        <w:rPr>
          <w:rFonts w:hint="eastAsia"/>
        </w:rPr>
        <w:t>6</w:t>
      </w:r>
      <w:r>
        <w:t>0°</w:t>
      </w:r>
      <w:r>
        <w:rPr>
          <w:rFonts w:hint="eastAsia"/>
        </w:rPr>
        <w:t>。</w:t>
      </w:r>
    </w:p>
    <w:p w14:paraId="69AF6D3E" w14:textId="77777777" w:rsidR="00E579B9" w:rsidRDefault="006A1398">
      <w:r>
        <w:rPr>
          <w:rFonts w:hint="eastAsia"/>
        </w:rPr>
        <w:t>（</w:t>
      </w:r>
      <w:r>
        <w:rPr>
          <w:rFonts w:hint="eastAsia"/>
        </w:rPr>
        <w:t>2</w:t>
      </w:r>
      <w:r>
        <w:rPr>
          <w:rFonts w:hint="eastAsia"/>
        </w:rPr>
        <w:t>）开采深度的确定：最低标高为</w:t>
      </w:r>
      <w:r>
        <w:rPr>
          <w:rFonts w:hint="eastAsia"/>
        </w:rPr>
        <w:t>29</w:t>
      </w:r>
      <w:r>
        <w:t>0</w:t>
      </w:r>
      <w:r>
        <w:rPr>
          <w:rFonts w:hint="eastAsia"/>
        </w:rPr>
        <w:t>米。</w:t>
      </w:r>
    </w:p>
    <w:p w14:paraId="09FECBFA" w14:textId="77777777" w:rsidR="00E579B9" w:rsidRDefault="006A1398">
      <w:r>
        <w:rPr>
          <w:rFonts w:hint="eastAsia"/>
        </w:rPr>
        <w:t>根据露天开采境界内矿体赋存条件，工作线垂直矿体布置，沿矿体走向推进。</w:t>
      </w:r>
    </w:p>
    <w:p w14:paraId="0EE3F13E" w14:textId="77777777" w:rsidR="00E579B9" w:rsidRDefault="006A1398">
      <w:pPr>
        <w:pStyle w:val="21"/>
        <w:jc w:val="center"/>
      </w:pPr>
      <w:r>
        <w:rPr>
          <w:rFonts w:hint="eastAsia"/>
        </w:rPr>
        <w:t>表</w:t>
      </w:r>
      <w:r>
        <w:t>3.4</w:t>
      </w:r>
      <w:r>
        <w:rPr>
          <w:rFonts w:hint="eastAsia"/>
        </w:rPr>
        <w:t>-</w:t>
      </w:r>
      <w:r>
        <w:t>1</w:t>
      </w:r>
      <w:r>
        <w:rPr>
          <w:rFonts w:hint="eastAsia"/>
        </w:rPr>
        <w:t>露天采场结构要素表</w:t>
      </w:r>
    </w:p>
    <w:tbl>
      <w:tblPr>
        <w:tblW w:w="883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43"/>
        <w:gridCol w:w="1042"/>
        <w:gridCol w:w="2949"/>
      </w:tblGrid>
      <w:tr w:rsidR="00E579B9" w14:paraId="295C8703" w14:textId="77777777">
        <w:trPr>
          <w:trHeight w:val="20"/>
          <w:jc w:val="center"/>
        </w:trPr>
        <w:tc>
          <w:tcPr>
            <w:tcW w:w="4843" w:type="dxa"/>
            <w:tcBorders>
              <w:top w:val="single" w:sz="2" w:space="0" w:color="auto"/>
              <w:left w:val="single" w:sz="2" w:space="0" w:color="auto"/>
              <w:bottom w:val="single" w:sz="2" w:space="0" w:color="auto"/>
              <w:right w:val="single" w:sz="2" w:space="0" w:color="auto"/>
            </w:tcBorders>
            <w:vAlign w:val="center"/>
          </w:tcPr>
          <w:p w14:paraId="59AA8C92" w14:textId="77777777" w:rsidR="00E579B9" w:rsidRDefault="006A1398">
            <w:pPr>
              <w:pStyle w:val="aa"/>
            </w:pPr>
            <w:bookmarkStart w:id="127" w:name="_Toc18360"/>
            <w:bookmarkStart w:id="128" w:name="_Toc531939328"/>
            <w:r>
              <w:rPr>
                <w:rFonts w:hint="eastAsia"/>
              </w:rPr>
              <w:t>项目</w:t>
            </w:r>
          </w:p>
        </w:tc>
        <w:tc>
          <w:tcPr>
            <w:tcW w:w="1042" w:type="dxa"/>
            <w:tcBorders>
              <w:top w:val="single" w:sz="2" w:space="0" w:color="auto"/>
              <w:left w:val="nil"/>
              <w:bottom w:val="single" w:sz="2" w:space="0" w:color="auto"/>
              <w:right w:val="single" w:sz="2" w:space="0" w:color="auto"/>
            </w:tcBorders>
            <w:vAlign w:val="center"/>
          </w:tcPr>
          <w:p w14:paraId="7EDFADF4" w14:textId="77777777" w:rsidR="00E579B9" w:rsidRDefault="006A1398">
            <w:pPr>
              <w:pStyle w:val="aa"/>
            </w:pPr>
            <w:r>
              <w:rPr>
                <w:rFonts w:hint="eastAsia"/>
              </w:rPr>
              <w:t>单位</w:t>
            </w:r>
          </w:p>
        </w:tc>
        <w:tc>
          <w:tcPr>
            <w:tcW w:w="2949" w:type="dxa"/>
            <w:tcBorders>
              <w:top w:val="single" w:sz="2" w:space="0" w:color="auto"/>
              <w:left w:val="nil"/>
              <w:bottom w:val="single" w:sz="2" w:space="0" w:color="auto"/>
              <w:right w:val="single" w:sz="2" w:space="0" w:color="auto"/>
            </w:tcBorders>
            <w:vAlign w:val="center"/>
          </w:tcPr>
          <w:p w14:paraId="66215F93" w14:textId="77777777" w:rsidR="00E579B9" w:rsidRDefault="006A1398">
            <w:pPr>
              <w:pStyle w:val="aa"/>
            </w:pPr>
            <w:r>
              <w:rPr>
                <w:rFonts w:hint="eastAsia"/>
              </w:rPr>
              <w:t>参数</w:t>
            </w:r>
          </w:p>
        </w:tc>
      </w:tr>
      <w:tr w:rsidR="00E579B9" w14:paraId="0B5D7288" w14:textId="77777777">
        <w:trPr>
          <w:trHeight w:val="20"/>
          <w:jc w:val="center"/>
        </w:trPr>
        <w:tc>
          <w:tcPr>
            <w:tcW w:w="4843" w:type="dxa"/>
            <w:tcBorders>
              <w:top w:val="single" w:sz="2" w:space="0" w:color="auto"/>
              <w:left w:val="single" w:sz="2" w:space="0" w:color="auto"/>
              <w:bottom w:val="single" w:sz="2" w:space="0" w:color="auto"/>
              <w:right w:val="single" w:sz="2" w:space="0" w:color="auto"/>
            </w:tcBorders>
            <w:vAlign w:val="center"/>
          </w:tcPr>
          <w:p w14:paraId="5DB43430" w14:textId="77777777" w:rsidR="00E579B9" w:rsidRDefault="006A1398">
            <w:pPr>
              <w:pStyle w:val="aa"/>
            </w:pPr>
            <w:r>
              <w:rPr>
                <w:rFonts w:hint="eastAsia"/>
              </w:rPr>
              <w:t>工作台阶高度（基岩）</w:t>
            </w:r>
          </w:p>
        </w:tc>
        <w:tc>
          <w:tcPr>
            <w:tcW w:w="1042" w:type="dxa"/>
            <w:tcBorders>
              <w:top w:val="single" w:sz="2" w:space="0" w:color="auto"/>
              <w:left w:val="nil"/>
              <w:bottom w:val="single" w:sz="2" w:space="0" w:color="auto"/>
              <w:right w:val="single" w:sz="2" w:space="0" w:color="auto"/>
            </w:tcBorders>
            <w:vAlign w:val="center"/>
          </w:tcPr>
          <w:p w14:paraId="6542F4D2" w14:textId="77777777" w:rsidR="00E579B9" w:rsidRDefault="006A1398">
            <w:pPr>
              <w:pStyle w:val="aa"/>
            </w:pPr>
            <w:r>
              <w:rPr>
                <w:rFonts w:hint="eastAsia"/>
              </w:rPr>
              <w:t>m</w:t>
            </w:r>
          </w:p>
        </w:tc>
        <w:tc>
          <w:tcPr>
            <w:tcW w:w="2949" w:type="dxa"/>
            <w:tcBorders>
              <w:top w:val="single" w:sz="2" w:space="0" w:color="auto"/>
              <w:left w:val="nil"/>
              <w:bottom w:val="single" w:sz="2" w:space="0" w:color="auto"/>
              <w:right w:val="single" w:sz="2" w:space="0" w:color="auto"/>
            </w:tcBorders>
            <w:vAlign w:val="center"/>
          </w:tcPr>
          <w:p w14:paraId="54B6FEE5" w14:textId="77777777" w:rsidR="00E579B9" w:rsidRDefault="006A1398">
            <w:pPr>
              <w:pStyle w:val="aa"/>
            </w:pPr>
            <w:r>
              <w:rPr>
                <w:rFonts w:hint="eastAsia"/>
              </w:rPr>
              <w:t>15</w:t>
            </w:r>
          </w:p>
        </w:tc>
      </w:tr>
      <w:tr w:rsidR="00E579B9" w14:paraId="69A8A19B" w14:textId="77777777">
        <w:trPr>
          <w:trHeight w:val="20"/>
          <w:jc w:val="center"/>
        </w:trPr>
        <w:tc>
          <w:tcPr>
            <w:tcW w:w="4843" w:type="dxa"/>
            <w:tcBorders>
              <w:top w:val="single" w:sz="2" w:space="0" w:color="auto"/>
              <w:left w:val="single" w:sz="2" w:space="0" w:color="auto"/>
              <w:bottom w:val="single" w:sz="2" w:space="0" w:color="auto"/>
              <w:right w:val="single" w:sz="2" w:space="0" w:color="auto"/>
            </w:tcBorders>
            <w:vAlign w:val="center"/>
          </w:tcPr>
          <w:p w14:paraId="1AFF8EFF" w14:textId="77777777" w:rsidR="00E579B9" w:rsidRDefault="006A1398">
            <w:pPr>
              <w:pStyle w:val="aa"/>
            </w:pPr>
            <w:r>
              <w:rPr>
                <w:rFonts w:hint="eastAsia"/>
              </w:rPr>
              <w:t>工作台阶坡面角（基岩）</w:t>
            </w:r>
          </w:p>
        </w:tc>
        <w:tc>
          <w:tcPr>
            <w:tcW w:w="1042" w:type="dxa"/>
            <w:tcBorders>
              <w:top w:val="single" w:sz="2" w:space="0" w:color="auto"/>
              <w:left w:val="nil"/>
              <w:bottom w:val="single" w:sz="2" w:space="0" w:color="auto"/>
              <w:right w:val="single" w:sz="2" w:space="0" w:color="auto"/>
            </w:tcBorders>
            <w:vAlign w:val="center"/>
          </w:tcPr>
          <w:p w14:paraId="591D79F8" w14:textId="77777777" w:rsidR="00E579B9" w:rsidRDefault="006A1398">
            <w:pPr>
              <w:pStyle w:val="aa"/>
            </w:pPr>
            <w:r>
              <w:rPr>
                <w:rFonts w:hint="eastAsia"/>
              </w:rPr>
              <w:t>度</w:t>
            </w:r>
          </w:p>
        </w:tc>
        <w:tc>
          <w:tcPr>
            <w:tcW w:w="2949" w:type="dxa"/>
            <w:tcBorders>
              <w:top w:val="single" w:sz="2" w:space="0" w:color="auto"/>
              <w:left w:val="nil"/>
              <w:bottom w:val="single" w:sz="2" w:space="0" w:color="auto"/>
              <w:right w:val="single" w:sz="2" w:space="0" w:color="auto"/>
            </w:tcBorders>
            <w:vAlign w:val="center"/>
          </w:tcPr>
          <w:p w14:paraId="5ADCF4CF" w14:textId="77777777" w:rsidR="00E579B9" w:rsidRDefault="006A1398">
            <w:pPr>
              <w:pStyle w:val="aa"/>
            </w:pPr>
            <w:r>
              <w:rPr>
                <w:rFonts w:hint="eastAsia"/>
              </w:rPr>
              <w:t>75</w:t>
            </w:r>
          </w:p>
        </w:tc>
      </w:tr>
      <w:tr w:rsidR="00E579B9" w14:paraId="16378E6A" w14:textId="77777777">
        <w:trPr>
          <w:trHeight w:val="20"/>
          <w:jc w:val="center"/>
        </w:trPr>
        <w:tc>
          <w:tcPr>
            <w:tcW w:w="4843" w:type="dxa"/>
            <w:tcBorders>
              <w:top w:val="single" w:sz="2" w:space="0" w:color="auto"/>
              <w:left w:val="single" w:sz="2" w:space="0" w:color="auto"/>
              <w:bottom w:val="single" w:sz="2" w:space="0" w:color="auto"/>
              <w:right w:val="single" w:sz="2" w:space="0" w:color="auto"/>
            </w:tcBorders>
            <w:vAlign w:val="center"/>
          </w:tcPr>
          <w:p w14:paraId="054CB38B" w14:textId="77777777" w:rsidR="00E579B9" w:rsidRDefault="006A1398">
            <w:pPr>
              <w:pStyle w:val="aa"/>
            </w:pPr>
            <w:r>
              <w:rPr>
                <w:rFonts w:hint="eastAsia"/>
              </w:rPr>
              <w:t>终了台阶高度（基岩）</w:t>
            </w:r>
          </w:p>
        </w:tc>
        <w:tc>
          <w:tcPr>
            <w:tcW w:w="1042" w:type="dxa"/>
            <w:tcBorders>
              <w:top w:val="single" w:sz="2" w:space="0" w:color="auto"/>
              <w:left w:val="nil"/>
              <w:bottom w:val="single" w:sz="2" w:space="0" w:color="auto"/>
              <w:right w:val="single" w:sz="2" w:space="0" w:color="auto"/>
            </w:tcBorders>
            <w:vAlign w:val="center"/>
          </w:tcPr>
          <w:p w14:paraId="6A90951D" w14:textId="77777777" w:rsidR="00E579B9" w:rsidRDefault="006A1398">
            <w:pPr>
              <w:pStyle w:val="aa"/>
            </w:pPr>
            <w:r>
              <w:rPr>
                <w:rFonts w:hint="eastAsia"/>
              </w:rPr>
              <w:t>m</w:t>
            </w:r>
          </w:p>
        </w:tc>
        <w:tc>
          <w:tcPr>
            <w:tcW w:w="2949" w:type="dxa"/>
            <w:tcBorders>
              <w:top w:val="single" w:sz="2" w:space="0" w:color="auto"/>
              <w:left w:val="nil"/>
              <w:bottom w:val="single" w:sz="2" w:space="0" w:color="auto"/>
              <w:right w:val="single" w:sz="2" w:space="0" w:color="auto"/>
            </w:tcBorders>
            <w:vAlign w:val="center"/>
          </w:tcPr>
          <w:p w14:paraId="47B56D86" w14:textId="77777777" w:rsidR="00E579B9" w:rsidRDefault="006A1398">
            <w:pPr>
              <w:pStyle w:val="aa"/>
            </w:pPr>
            <w:r>
              <w:rPr>
                <w:rFonts w:hint="eastAsia"/>
              </w:rPr>
              <w:t>15</w:t>
            </w:r>
          </w:p>
        </w:tc>
      </w:tr>
      <w:tr w:rsidR="00E579B9" w14:paraId="2820BB1A" w14:textId="77777777">
        <w:trPr>
          <w:trHeight w:val="20"/>
          <w:jc w:val="center"/>
        </w:trPr>
        <w:tc>
          <w:tcPr>
            <w:tcW w:w="4843" w:type="dxa"/>
            <w:tcBorders>
              <w:top w:val="single" w:sz="2" w:space="0" w:color="auto"/>
              <w:left w:val="single" w:sz="2" w:space="0" w:color="auto"/>
              <w:bottom w:val="single" w:sz="2" w:space="0" w:color="auto"/>
              <w:right w:val="single" w:sz="2" w:space="0" w:color="auto"/>
            </w:tcBorders>
            <w:vAlign w:val="center"/>
          </w:tcPr>
          <w:p w14:paraId="6C5F3F16" w14:textId="77777777" w:rsidR="00E579B9" w:rsidRDefault="006A1398">
            <w:pPr>
              <w:pStyle w:val="aa"/>
            </w:pPr>
            <w:r>
              <w:rPr>
                <w:rFonts w:hint="eastAsia"/>
              </w:rPr>
              <w:t>终了台阶坡面角（基岩）</w:t>
            </w:r>
          </w:p>
        </w:tc>
        <w:tc>
          <w:tcPr>
            <w:tcW w:w="1042" w:type="dxa"/>
            <w:tcBorders>
              <w:top w:val="single" w:sz="2" w:space="0" w:color="auto"/>
              <w:left w:val="nil"/>
              <w:bottom w:val="single" w:sz="2" w:space="0" w:color="auto"/>
              <w:right w:val="single" w:sz="2" w:space="0" w:color="auto"/>
            </w:tcBorders>
            <w:vAlign w:val="center"/>
          </w:tcPr>
          <w:p w14:paraId="1D04333E" w14:textId="77777777" w:rsidR="00E579B9" w:rsidRDefault="006A1398">
            <w:pPr>
              <w:pStyle w:val="aa"/>
            </w:pPr>
            <w:r>
              <w:rPr>
                <w:rFonts w:hint="eastAsia"/>
              </w:rPr>
              <w:t>度</w:t>
            </w:r>
          </w:p>
        </w:tc>
        <w:tc>
          <w:tcPr>
            <w:tcW w:w="2949" w:type="dxa"/>
            <w:tcBorders>
              <w:top w:val="single" w:sz="2" w:space="0" w:color="auto"/>
              <w:left w:val="nil"/>
              <w:bottom w:val="single" w:sz="2" w:space="0" w:color="auto"/>
              <w:right w:val="single" w:sz="2" w:space="0" w:color="auto"/>
            </w:tcBorders>
            <w:vAlign w:val="center"/>
          </w:tcPr>
          <w:p w14:paraId="452E9BED" w14:textId="77777777" w:rsidR="00E579B9" w:rsidRDefault="006A1398">
            <w:pPr>
              <w:pStyle w:val="aa"/>
            </w:pPr>
            <w:r>
              <w:rPr>
                <w:rFonts w:hint="eastAsia"/>
              </w:rPr>
              <w:t>70</w:t>
            </w:r>
          </w:p>
        </w:tc>
      </w:tr>
      <w:tr w:rsidR="00E579B9" w14:paraId="03550F61" w14:textId="77777777">
        <w:trPr>
          <w:trHeight w:val="308"/>
          <w:jc w:val="center"/>
        </w:trPr>
        <w:tc>
          <w:tcPr>
            <w:tcW w:w="4843" w:type="dxa"/>
            <w:tcBorders>
              <w:top w:val="single" w:sz="2" w:space="0" w:color="auto"/>
              <w:left w:val="single" w:sz="2" w:space="0" w:color="auto"/>
              <w:bottom w:val="single" w:sz="2" w:space="0" w:color="auto"/>
              <w:right w:val="single" w:sz="2" w:space="0" w:color="auto"/>
            </w:tcBorders>
            <w:vAlign w:val="center"/>
          </w:tcPr>
          <w:p w14:paraId="0AB68C6C" w14:textId="77777777" w:rsidR="00E579B9" w:rsidRDefault="006A1398">
            <w:pPr>
              <w:pStyle w:val="aa"/>
            </w:pPr>
            <w:r>
              <w:rPr>
                <w:rFonts w:hint="eastAsia"/>
              </w:rPr>
              <w:t>第四系表土台阶坡面角</w:t>
            </w:r>
          </w:p>
        </w:tc>
        <w:tc>
          <w:tcPr>
            <w:tcW w:w="1042" w:type="dxa"/>
            <w:tcBorders>
              <w:top w:val="single" w:sz="2" w:space="0" w:color="auto"/>
              <w:left w:val="nil"/>
              <w:bottom w:val="single" w:sz="2" w:space="0" w:color="auto"/>
              <w:right w:val="single" w:sz="2" w:space="0" w:color="auto"/>
            </w:tcBorders>
            <w:vAlign w:val="center"/>
          </w:tcPr>
          <w:p w14:paraId="1835B2A6" w14:textId="77777777" w:rsidR="00E579B9" w:rsidRDefault="006A1398">
            <w:pPr>
              <w:pStyle w:val="aa"/>
            </w:pPr>
            <w:r>
              <w:rPr>
                <w:rFonts w:hint="eastAsia"/>
              </w:rPr>
              <w:t>度</w:t>
            </w:r>
          </w:p>
        </w:tc>
        <w:tc>
          <w:tcPr>
            <w:tcW w:w="2949" w:type="dxa"/>
            <w:tcBorders>
              <w:top w:val="single" w:sz="2" w:space="0" w:color="auto"/>
              <w:left w:val="nil"/>
              <w:bottom w:val="single" w:sz="2" w:space="0" w:color="auto"/>
              <w:right w:val="single" w:sz="2" w:space="0" w:color="auto"/>
            </w:tcBorders>
            <w:vAlign w:val="center"/>
          </w:tcPr>
          <w:p w14:paraId="5F13529C" w14:textId="77777777" w:rsidR="00E579B9" w:rsidRDefault="006A1398">
            <w:pPr>
              <w:pStyle w:val="aa"/>
            </w:pPr>
            <w:r>
              <w:rPr>
                <w:rFonts w:hint="eastAsia"/>
              </w:rPr>
              <w:t>45</w:t>
            </w:r>
          </w:p>
        </w:tc>
      </w:tr>
      <w:tr w:rsidR="00E579B9" w14:paraId="6BFD0751" w14:textId="77777777">
        <w:trPr>
          <w:trHeight w:val="20"/>
          <w:jc w:val="center"/>
        </w:trPr>
        <w:tc>
          <w:tcPr>
            <w:tcW w:w="4843" w:type="dxa"/>
            <w:tcBorders>
              <w:top w:val="single" w:sz="2" w:space="0" w:color="auto"/>
              <w:left w:val="single" w:sz="2" w:space="0" w:color="auto"/>
              <w:bottom w:val="single" w:sz="2" w:space="0" w:color="auto"/>
              <w:right w:val="single" w:sz="2" w:space="0" w:color="auto"/>
            </w:tcBorders>
            <w:vAlign w:val="center"/>
          </w:tcPr>
          <w:p w14:paraId="713BB482" w14:textId="77777777" w:rsidR="00E579B9" w:rsidRDefault="006A1398">
            <w:pPr>
              <w:pStyle w:val="aa"/>
            </w:pPr>
            <w:r>
              <w:rPr>
                <w:rFonts w:hint="eastAsia"/>
              </w:rPr>
              <w:t>安全平台宽度</w:t>
            </w:r>
          </w:p>
        </w:tc>
        <w:tc>
          <w:tcPr>
            <w:tcW w:w="1042" w:type="dxa"/>
            <w:tcBorders>
              <w:top w:val="single" w:sz="2" w:space="0" w:color="auto"/>
              <w:left w:val="nil"/>
              <w:bottom w:val="single" w:sz="2" w:space="0" w:color="auto"/>
              <w:right w:val="single" w:sz="2" w:space="0" w:color="auto"/>
            </w:tcBorders>
            <w:vAlign w:val="center"/>
          </w:tcPr>
          <w:p w14:paraId="1A88C8E1" w14:textId="77777777" w:rsidR="00E579B9" w:rsidRDefault="006A1398">
            <w:pPr>
              <w:pStyle w:val="aa"/>
            </w:pPr>
            <w:r>
              <w:rPr>
                <w:rFonts w:hint="eastAsia"/>
              </w:rPr>
              <w:t>m</w:t>
            </w:r>
          </w:p>
        </w:tc>
        <w:tc>
          <w:tcPr>
            <w:tcW w:w="2949" w:type="dxa"/>
            <w:tcBorders>
              <w:top w:val="single" w:sz="2" w:space="0" w:color="auto"/>
              <w:left w:val="nil"/>
              <w:bottom w:val="single" w:sz="2" w:space="0" w:color="auto"/>
              <w:right w:val="single" w:sz="2" w:space="0" w:color="auto"/>
            </w:tcBorders>
            <w:vAlign w:val="center"/>
          </w:tcPr>
          <w:p w14:paraId="0C8F2EA4" w14:textId="77777777" w:rsidR="00E579B9" w:rsidRDefault="006A1398">
            <w:pPr>
              <w:pStyle w:val="aa"/>
            </w:pPr>
            <w:r>
              <w:rPr>
                <w:rFonts w:hint="eastAsia"/>
              </w:rPr>
              <w:t>4</w:t>
            </w:r>
          </w:p>
        </w:tc>
      </w:tr>
      <w:tr w:rsidR="00E579B9" w14:paraId="06C934B9" w14:textId="77777777">
        <w:trPr>
          <w:trHeight w:val="20"/>
          <w:jc w:val="center"/>
        </w:trPr>
        <w:tc>
          <w:tcPr>
            <w:tcW w:w="4843" w:type="dxa"/>
            <w:tcBorders>
              <w:top w:val="single" w:sz="2" w:space="0" w:color="auto"/>
              <w:left w:val="single" w:sz="2" w:space="0" w:color="auto"/>
              <w:bottom w:val="single" w:sz="2" w:space="0" w:color="auto"/>
              <w:right w:val="single" w:sz="2" w:space="0" w:color="auto"/>
            </w:tcBorders>
            <w:vAlign w:val="center"/>
          </w:tcPr>
          <w:p w14:paraId="650EA20A" w14:textId="77777777" w:rsidR="00E579B9" w:rsidRDefault="006A1398">
            <w:pPr>
              <w:pStyle w:val="aa"/>
            </w:pPr>
            <w:r>
              <w:rPr>
                <w:rFonts w:hint="eastAsia"/>
              </w:rPr>
              <w:t>清扫平台宽度</w:t>
            </w:r>
          </w:p>
        </w:tc>
        <w:tc>
          <w:tcPr>
            <w:tcW w:w="1042" w:type="dxa"/>
            <w:tcBorders>
              <w:top w:val="single" w:sz="2" w:space="0" w:color="auto"/>
              <w:left w:val="nil"/>
              <w:bottom w:val="single" w:sz="2" w:space="0" w:color="auto"/>
              <w:right w:val="single" w:sz="2" w:space="0" w:color="auto"/>
            </w:tcBorders>
            <w:vAlign w:val="center"/>
          </w:tcPr>
          <w:p w14:paraId="7D6B3DF5" w14:textId="77777777" w:rsidR="00E579B9" w:rsidRDefault="006A1398">
            <w:pPr>
              <w:pStyle w:val="aa"/>
            </w:pPr>
            <w:r>
              <w:rPr>
                <w:rFonts w:hint="eastAsia"/>
              </w:rPr>
              <w:t>m</w:t>
            </w:r>
          </w:p>
        </w:tc>
        <w:tc>
          <w:tcPr>
            <w:tcW w:w="2949" w:type="dxa"/>
            <w:tcBorders>
              <w:top w:val="single" w:sz="2" w:space="0" w:color="auto"/>
              <w:left w:val="nil"/>
              <w:bottom w:val="single" w:sz="2" w:space="0" w:color="auto"/>
              <w:right w:val="single" w:sz="2" w:space="0" w:color="auto"/>
            </w:tcBorders>
            <w:vAlign w:val="center"/>
          </w:tcPr>
          <w:p w14:paraId="1634E887" w14:textId="77777777" w:rsidR="00E579B9" w:rsidRDefault="006A1398">
            <w:pPr>
              <w:pStyle w:val="aa"/>
            </w:pPr>
            <w:r>
              <w:rPr>
                <w:rFonts w:hint="eastAsia"/>
              </w:rPr>
              <w:t>6</w:t>
            </w:r>
            <w:r>
              <w:rPr>
                <w:rFonts w:hint="eastAsia"/>
              </w:rPr>
              <w:t>（隔</w:t>
            </w:r>
            <w:r>
              <w:rPr>
                <w:rFonts w:hint="eastAsia"/>
              </w:rPr>
              <w:t>2</w:t>
            </w:r>
            <w:r>
              <w:rPr>
                <w:rFonts w:hint="eastAsia"/>
              </w:rPr>
              <w:t>设</w:t>
            </w:r>
            <w:r>
              <w:rPr>
                <w:rFonts w:hint="eastAsia"/>
              </w:rPr>
              <w:t>1</w:t>
            </w:r>
            <w:r>
              <w:rPr>
                <w:rFonts w:hint="eastAsia"/>
              </w:rPr>
              <w:t>）</w:t>
            </w:r>
          </w:p>
        </w:tc>
      </w:tr>
      <w:tr w:rsidR="00E579B9" w14:paraId="0B98034C" w14:textId="77777777">
        <w:trPr>
          <w:trHeight w:val="20"/>
          <w:jc w:val="center"/>
        </w:trPr>
        <w:tc>
          <w:tcPr>
            <w:tcW w:w="4843" w:type="dxa"/>
            <w:tcBorders>
              <w:top w:val="single" w:sz="2" w:space="0" w:color="auto"/>
              <w:left w:val="single" w:sz="2" w:space="0" w:color="auto"/>
              <w:bottom w:val="single" w:sz="2" w:space="0" w:color="auto"/>
              <w:right w:val="single" w:sz="2" w:space="0" w:color="auto"/>
            </w:tcBorders>
            <w:vAlign w:val="center"/>
          </w:tcPr>
          <w:p w14:paraId="6FF86117" w14:textId="77777777" w:rsidR="00E579B9" w:rsidRDefault="006A1398">
            <w:pPr>
              <w:pStyle w:val="aa"/>
            </w:pPr>
            <w:r>
              <w:rPr>
                <w:rFonts w:hint="eastAsia"/>
              </w:rPr>
              <w:t>最终边坡角</w:t>
            </w:r>
          </w:p>
        </w:tc>
        <w:tc>
          <w:tcPr>
            <w:tcW w:w="1042" w:type="dxa"/>
            <w:tcBorders>
              <w:top w:val="single" w:sz="2" w:space="0" w:color="auto"/>
              <w:left w:val="nil"/>
              <w:bottom w:val="single" w:sz="2" w:space="0" w:color="auto"/>
              <w:right w:val="single" w:sz="2" w:space="0" w:color="auto"/>
            </w:tcBorders>
            <w:vAlign w:val="center"/>
          </w:tcPr>
          <w:p w14:paraId="26B19EED" w14:textId="77777777" w:rsidR="00E579B9" w:rsidRDefault="00E579B9">
            <w:pPr>
              <w:pStyle w:val="aa"/>
            </w:pPr>
          </w:p>
        </w:tc>
        <w:tc>
          <w:tcPr>
            <w:tcW w:w="2949" w:type="dxa"/>
            <w:tcBorders>
              <w:top w:val="single" w:sz="2" w:space="0" w:color="auto"/>
              <w:left w:val="nil"/>
              <w:bottom w:val="single" w:sz="2" w:space="0" w:color="auto"/>
              <w:right w:val="single" w:sz="2" w:space="0" w:color="auto"/>
            </w:tcBorders>
            <w:vAlign w:val="center"/>
          </w:tcPr>
          <w:p w14:paraId="072AAF69" w14:textId="77777777" w:rsidR="00E579B9" w:rsidRDefault="006A1398">
            <w:pPr>
              <w:pStyle w:val="aa"/>
            </w:pPr>
            <w:r>
              <w:rPr>
                <w:rFonts w:hint="eastAsia"/>
              </w:rPr>
              <w:t>＜</w:t>
            </w:r>
            <w:r>
              <w:rPr>
                <w:rFonts w:hint="eastAsia"/>
              </w:rPr>
              <w:t>60</w:t>
            </w:r>
            <w:r>
              <w:rPr>
                <w:rFonts w:hint="eastAsia"/>
              </w:rPr>
              <w:t>°</w:t>
            </w:r>
          </w:p>
        </w:tc>
      </w:tr>
      <w:tr w:rsidR="00E579B9" w14:paraId="0783FDD5" w14:textId="77777777">
        <w:trPr>
          <w:trHeight w:val="20"/>
          <w:jc w:val="center"/>
        </w:trPr>
        <w:tc>
          <w:tcPr>
            <w:tcW w:w="4843" w:type="dxa"/>
            <w:tcBorders>
              <w:top w:val="single" w:sz="2" w:space="0" w:color="auto"/>
              <w:left w:val="single" w:sz="2" w:space="0" w:color="auto"/>
              <w:bottom w:val="single" w:sz="2" w:space="0" w:color="auto"/>
              <w:right w:val="single" w:sz="2" w:space="0" w:color="auto"/>
            </w:tcBorders>
            <w:vAlign w:val="center"/>
          </w:tcPr>
          <w:p w14:paraId="61C33E45" w14:textId="77777777" w:rsidR="00E579B9" w:rsidRDefault="006A1398">
            <w:pPr>
              <w:pStyle w:val="aa"/>
            </w:pPr>
            <w:r>
              <w:rPr>
                <w:rFonts w:hint="eastAsia"/>
              </w:rPr>
              <w:t>正常生产时最小工作平台宽度</w:t>
            </w:r>
          </w:p>
        </w:tc>
        <w:tc>
          <w:tcPr>
            <w:tcW w:w="1042" w:type="dxa"/>
            <w:tcBorders>
              <w:top w:val="single" w:sz="2" w:space="0" w:color="auto"/>
              <w:left w:val="nil"/>
              <w:bottom w:val="single" w:sz="2" w:space="0" w:color="auto"/>
              <w:right w:val="single" w:sz="2" w:space="0" w:color="auto"/>
            </w:tcBorders>
            <w:vAlign w:val="center"/>
          </w:tcPr>
          <w:p w14:paraId="1A38B7BB" w14:textId="77777777" w:rsidR="00E579B9" w:rsidRDefault="006A1398">
            <w:pPr>
              <w:pStyle w:val="aa"/>
            </w:pPr>
            <w:r>
              <w:rPr>
                <w:rFonts w:hint="eastAsia"/>
              </w:rPr>
              <w:t>m</w:t>
            </w:r>
          </w:p>
        </w:tc>
        <w:tc>
          <w:tcPr>
            <w:tcW w:w="2949" w:type="dxa"/>
            <w:tcBorders>
              <w:top w:val="single" w:sz="2" w:space="0" w:color="auto"/>
              <w:left w:val="nil"/>
              <w:bottom w:val="single" w:sz="2" w:space="0" w:color="auto"/>
              <w:right w:val="single" w:sz="2" w:space="0" w:color="auto"/>
            </w:tcBorders>
            <w:vAlign w:val="center"/>
          </w:tcPr>
          <w:p w14:paraId="0CED5289" w14:textId="77777777" w:rsidR="00E579B9" w:rsidRDefault="006A1398">
            <w:pPr>
              <w:pStyle w:val="aa"/>
            </w:pPr>
            <w:r>
              <w:rPr>
                <w:rFonts w:hint="eastAsia"/>
              </w:rPr>
              <w:t>≥</w:t>
            </w:r>
            <w:r>
              <w:rPr>
                <w:rFonts w:hint="eastAsia"/>
              </w:rPr>
              <w:t>45</w:t>
            </w:r>
          </w:p>
        </w:tc>
      </w:tr>
      <w:tr w:rsidR="00E579B9" w14:paraId="006B6659" w14:textId="77777777">
        <w:trPr>
          <w:trHeight w:val="20"/>
          <w:jc w:val="center"/>
        </w:trPr>
        <w:tc>
          <w:tcPr>
            <w:tcW w:w="4843" w:type="dxa"/>
            <w:tcBorders>
              <w:top w:val="single" w:sz="2" w:space="0" w:color="auto"/>
              <w:left w:val="single" w:sz="2" w:space="0" w:color="auto"/>
              <w:bottom w:val="single" w:sz="2" w:space="0" w:color="auto"/>
              <w:right w:val="single" w:sz="2" w:space="0" w:color="auto"/>
            </w:tcBorders>
            <w:vAlign w:val="center"/>
          </w:tcPr>
          <w:p w14:paraId="6DAD805C" w14:textId="77777777" w:rsidR="00E579B9" w:rsidRDefault="006A1398">
            <w:pPr>
              <w:pStyle w:val="aa"/>
            </w:pPr>
            <w:r>
              <w:rPr>
                <w:rFonts w:hint="eastAsia"/>
              </w:rPr>
              <w:t>平台初始宽度</w:t>
            </w:r>
          </w:p>
        </w:tc>
        <w:tc>
          <w:tcPr>
            <w:tcW w:w="1042" w:type="dxa"/>
            <w:tcBorders>
              <w:top w:val="single" w:sz="2" w:space="0" w:color="auto"/>
              <w:left w:val="nil"/>
              <w:bottom w:val="single" w:sz="2" w:space="0" w:color="auto"/>
              <w:right w:val="single" w:sz="2" w:space="0" w:color="auto"/>
            </w:tcBorders>
            <w:vAlign w:val="center"/>
          </w:tcPr>
          <w:p w14:paraId="34223B2A" w14:textId="77777777" w:rsidR="00E579B9" w:rsidRDefault="006A1398">
            <w:pPr>
              <w:pStyle w:val="aa"/>
            </w:pPr>
            <w:r>
              <w:rPr>
                <w:rFonts w:hint="eastAsia"/>
              </w:rPr>
              <w:t>m</w:t>
            </w:r>
          </w:p>
        </w:tc>
        <w:tc>
          <w:tcPr>
            <w:tcW w:w="2949" w:type="dxa"/>
            <w:tcBorders>
              <w:top w:val="single" w:sz="2" w:space="0" w:color="auto"/>
              <w:left w:val="nil"/>
              <w:bottom w:val="single" w:sz="2" w:space="0" w:color="auto"/>
              <w:right w:val="single" w:sz="2" w:space="0" w:color="auto"/>
            </w:tcBorders>
            <w:vAlign w:val="center"/>
          </w:tcPr>
          <w:p w14:paraId="204489E9" w14:textId="77777777" w:rsidR="00E579B9" w:rsidRDefault="006A1398">
            <w:pPr>
              <w:pStyle w:val="aa"/>
            </w:pPr>
            <w:r>
              <w:rPr>
                <w:rFonts w:hint="eastAsia"/>
              </w:rPr>
              <w:t>≥</w:t>
            </w:r>
            <w:r>
              <w:rPr>
                <w:rFonts w:hint="eastAsia"/>
              </w:rPr>
              <w:t>30</w:t>
            </w:r>
          </w:p>
        </w:tc>
      </w:tr>
      <w:tr w:rsidR="00E579B9" w14:paraId="26FF1D06" w14:textId="77777777">
        <w:trPr>
          <w:trHeight w:val="20"/>
          <w:jc w:val="center"/>
        </w:trPr>
        <w:tc>
          <w:tcPr>
            <w:tcW w:w="4843" w:type="dxa"/>
            <w:tcBorders>
              <w:top w:val="single" w:sz="2" w:space="0" w:color="auto"/>
              <w:left w:val="single" w:sz="2" w:space="0" w:color="auto"/>
              <w:bottom w:val="single" w:sz="2" w:space="0" w:color="auto"/>
              <w:right w:val="single" w:sz="2" w:space="0" w:color="auto"/>
            </w:tcBorders>
            <w:vAlign w:val="center"/>
          </w:tcPr>
          <w:p w14:paraId="33420860" w14:textId="77777777" w:rsidR="00E579B9" w:rsidRDefault="006A1398">
            <w:pPr>
              <w:pStyle w:val="aa"/>
            </w:pPr>
            <w:r>
              <w:rPr>
                <w:rFonts w:hint="eastAsia"/>
              </w:rPr>
              <w:t>挖掘机占用工作线长度</w:t>
            </w:r>
          </w:p>
        </w:tc>
        <w:tc>
          <w:tcPr>
            <w:tcW w:w="1042" w:type="dxa"/>
            <w:tcBorders>
              <w:top w:val="single" w:sz="2" w:space="0" w:color="auto"/>
              <w:left w:val="nil"/>
              <w:bottom w:val="single" w:sz="2" w:space="0" w:color="auto"/>
              <w:right w:val="single" w:sz="2" w:space="0" w:color="auto"/>
            </w:tcBorders>
            <w:vAlign w:val="center"/>
          </w:tcPr>
          <w:p w14:paraId="07480C84" w14:textId="77777777" w:rsidR="00E579B9" w:rsidRDefault="006A1398">
            <w:pPr>
              <w:pStyle w:val="aa"/>
            </w:pPr>
            <w:r>
              <w:rPr>
                <w:rFonts w:hint="eastAsia"/>
              </w:rPr>
              <w:t>m</w:t>
            </w:r>
          </w:p>
        </w:tc>
        <w:tc>
          <w:tcPr>
            <w:tcW w:w="2949" w:type="dxa"/>
            <w:tcBorders>
              <w:top w:val="single" w:sz="2" w:space="0" w:color="auto"/>
              <w:left w:val="nil"/>
              <w:bottom w:val="single" w:sz="2" w:space="0" w:color="auto"/>
              <w:right w:val="single" w:sz="2" w:space="0" w:color="auto"/>
            </w:tcBorders>
            <w:vAlign w:val="center"/>
          </w:tcPr>
          <w:p w14:paraId="7214E76C" w14:textId="77777777" w:rsidR="00E579B9" w:rsidRDefault="006A1398">
            <w:pPr>
              <w:pStyle w:val="aa"/>
            </w:pPr>
            <w:r>
              <w:rPr>
                <w:rFonts w:hint="eastAsia"/>
              </w:rPr>
              <w:t>150</w:t>
            </w:r>
          </w:p>
        </w:tc>
      </w:tr>
    </w:tbl>
    <w:p w14:paraId="240937F0" w14:textId="77777777" w:rsidR="00E579B9" w:rsidRDefault="006A1398">
      <w:pPr>
        <w:pStyle w:val="3"/>
        <w:ind w:firstLine="560"/>
      </w:pPr>
      <w:r>
        <w:t>3.4.9</w:t>
      </w:r>
      <w:r>
        <w:rPr>
          <w:rFonts w:hint="eastAsia"/>
        </w:rPr>
        <w:t>项目</w:t>
      </w:r>
      <w:r>
        <w:t>排水</w:t>
      </w:r>
      <w:bookmarkEnd w:id="127"/>
      <w:r>
        <w:rPr>
          <w:rFonts w:hint="eastAsia"/>
        </w:rPr>
        <w:t>方案</w:t>
      </w:r>
      <w:bookmarkEnd w:id="128"/>
    </w:p>
    <w:p w14:paraId="10B3B3FA" w14:textId="77777777" w:rsidR="00E579B9" w:rsidRDefault="006A1398">
      <w:pPr>
        <w:rPr>
          <w:rFonts w:cs="Times New Roman"/>
        </w:rPr>
      </w:pPr>
      <w:r>
        <w:rPr>
          <w:rFonts w:cs="Times New Roman"/>
        </w:rPr>
        <w:t>露天采场最低开采标高</w:t>
      </w:r>
      <w:r>
        <w:rPr>
          <w:rFonts w:cs="Times New Roman"/>
        </w:rPr>
        <w:t>+290m</w:t>
      </w:r>
      <w:r>
        <w:rPr>
          <w:rFonts w:cs="Times New Roman"/>
        </w:rPr>
        <w:t>，最终形成山坡开采露天矿，可实现自然排水。为防止雨水渗透、冲刷对露天开采边坡产生不利影响，可在采场周边开采境界以外</w:t>
      </w:r>
      <w:r>
        <w:rPr>
          <w:rFonts w:cs="Times New Roman"/>
        </w:rPr>
        <w:t>2.0m</w:t>
      </w:r>
      <w:r>
        <w:rPr>
          <w:rFonts w:cs="Times New Roman"/>
        </w:rPr>
        <w:t>的位置，根据地形条件设置</w:t>
      </w:r>
      <w:proofErr w:type="gramStart"/>
      <w:r>
        <w:rPr>
          <w:rFonts w:cs="Times New Roman"/>
        </w:rPr>
        <w:t>截</w:t>
      </w:r>
      <w:proofErr w:type="gramEnd"/>
      <w:r>
        <w:rPr>
          <w:rFonts w:cs="Times New Roman"/>
        </w:rPr>
        <w:t>排水沟，将</w:t>
      </w:r>
      <w:proofErr w:type="gramStart"/>
      <w:r>
        <w:rPr>
          <w:rFonts w:cs="Times New Roman"/>
        </w:rPr>
        <w:t>雨水排离采场</w:t>
      </w:r>
      <w:proofErr w:type="gramEnd"/>
      <w:r>
        <w:rPr>
          <w:rFonts w:cs="Times New Roman"/>
        </w:rPr>
        <w:t>。</w:t>
      </w:r>
    </w:p>
    <w:p w14:paraId="590C43BA" w14:textId="269B1A77" w:rsidR="00E579B9" w:rsidRDefault="006A1398">
      <w:pPr>
        <w:rPr>
          <w:rFonts w:cs="Times New Roman"/>
        </w:rPr>
      </w:pPr>
      <w:r>
        <w:rPr>
          <w:rFonts w:cs="Times New Roman"/>
        </w:rPr>
        <w:t>为便于排水沟自流排水，在各标高台阶上设置排水沟，以拦截平台表面及坡面汇水，将雨水排到采场外面，防止地表水沿边坡任意流淌而破坏边坡，确保露天采场生产安全。必要时为保证</w:t>
      </w:r>
      <w:proofErr w:type="gramStart"/>
      <w:r>
        <w:rPr>
          <w:rFonts w:cs="Times New Roman"/>
        </w:rPr>
        <w:t>采坑正常</w:t>
      </w:r>
      <w:proofErr w:type="gramEnd"/>
      <w:r>
        <w:rPr>
          <w:rFonts w:cs="Times New Roman"/>
        </w:rPr>
        <w:t>生产、需要安排一定量水泵</w:t>
      </w:r>
      <w:proofErr w:type="gramStart"/>
      <w:r>
        <w:rPr>
          <w:rFonts w:cs="Times New Roman"/>
        </w:rPr>
        <w:t>排除采坑积水</w:t>
      </w:r>
      <w:proofErr w:type="gramEnd"/>
      <w:r>
        <w:rPr>
          <w:rFonts w:cs="Times New Roman"/>
        </w:rPr>
        <w:t>。</w:t>
      </w:r>
    </w:p>
    <w:p w14:paraId="7A0ACD01" w14:textId="6033DF42" w:rsidR="006047BF" w:rsidRDefault="006047BF" w:rsidP="006047BF">
      <w:pPr>
        <w:pStyle w:val="2"/>
        <w:ind w:firstLine="560"/>
      </w:pPr>
      <w:bookmarkStart w:id="129" w:name="_Toc9326"/>
      <w:bookmarkStart w:id="130" w:name="_Toc531939320"/>
      <w:bookmarkStart w:id="131" w:name="_Toc33021795"/>
      <w:r>
        <w:t>3</w:t>
      </w:r>
      <w:r>
        <w:rPr>
          <w:rFonts w:hint="eastAsia"/>
        </w:rPr>
        <w:t>.5</w:t>
      </w:r>
      <w:r>
        <w:rPr>
          <w:rFonts w:hint="eastAsia"/>
        </w:rPr>
        <w:t>本项目建设条件</w:t>
      </w:r>
      <w:bookmarkEnd w:id="129"/>
      <w:bookmarkEnd w:id="130"/>
      <w:bookmarkEnd w:id="131"/>
    </w:p>
    <w:p w14:paraId="0B679E5F" w14:textId="6882420B" w:rsidR="006047BF" w:rsidRDefault="006047BF" w:rsidP="006047BF">
      <w:pPr>
        <w:pStyle w:val="3"/>
        <w:ind w:firstLine="560"/>
      </w:pPr>
      <w:bookmarkStart w:id="132" w:name="_Toc1647"/>
      <w:bookmarkStart w:id="133" w:name="_Toc531939321"/>
      <w:r>
        <w:t>3.5.1</w:t>
      </w:r>
      <w:r>
        <w:rPr>
          <w:rFonts w:hint="eastAsia"/>
        </w:rPr>
        <w:t>本项目</w:t>
      </w:r>
      <w:r>
        <w:t>建设的外部条件</w:t>
      </w:r>
      <w:bookmarkEnd w:id="132"/>
      <w:bookmarkEnd w:id="133"/>
    </w:p>
    <w:p w14:paraId="2133517E" w14:textId="0E7E6A94" w:rsidR="006047BF" w:rsidRDefault="006047BF" w:rsidP="006047BF">
      <w:bookmarkStart w:id="134" w:name="_Toc6188"/>
      <w:r>
        <w:t>3.5.1.1</w:t>
      </w:r>
      <w:r>
        <w:t>交通条件</w:t>
      </w:r>
      <w:bookmarkEnd w:id="134"/>
    </w:p>
    <w:p w14:paraId="48CA2457" w14:textId="77777777" w:rsidR="006047BF" w:rsidRDefault="006047BF" w:rsidP="006047BF">
      <w:pPr>
        <w:rPr>
          <w:lang w:val="zh-CN"/>
        </w:rPr>
      </w:pPr>
      <w:bookmarkStart w:id="135" w:name="_Toc1895"/>
      <w:r>
        <w:rPr>
          <w:rFonts w:hint="eastAsia"/>
          <w:lang w:val="zh-CN"/>
        </w:rPr>
        <w:t>矿区位于驻马店市</w:t>
      </w:r>
      <w:proofErr w:type="gramStart"/>
      <w:r>
        <w:rPr>
          <w:rFonts w:hint="eastAsia"/>
          <w:lang w:val="zh-CN"/>
        </w:rPr>
        <w:t>驿</w:t>
      </w:r>
      <w:proofErr w:type="gramEnd"/>
      <w:r>
        <w:rPr>
          <w:rFonts w:hint="eastAsia"/>
          <w:lang w:val="zh-CN"/>
        </w:rPr>
        <w:t>城区沙河店</w:t>
      </w:r>
      <w:proofErr w:type="gramStart"/>
      <w:r>
        <w:rPr>
          <w:rFonts w:hint="eastAsia"/>
          <w:lang w:val="zh-CN"/>
        </w:rPr>
        <w:t>镇赵尧村</w:t>
      </w:r>
      <w:proofErr w:type="gramEnd"/>
      <w:r>
        <w:rPr>
          <w:rFonts w:hint="eastAsia"/>
          <w:lang w:val="zh-CN"/>
        </w:rPr>
        <w:t>，分布在大顶山一带，北与舞钢市搭界。矿区内有简易乡村道路</w:t>
      </w:r>
      <w:proofErr w:type="gramStart"/>
      <w:r>
        <w:rPr>
          <w:rFonts w:hint="eastAsia"/>
          <w:lang w:val="zh-CN"/>
        </w:rPr>
        <w:t>通往驻</w:t>
      </w:r>
      <w:proofErr w:type="gramEnd"/>
      <w:r>
        <w:rPr>
          <w:rFonts w:hint="eastAsia"/>
          <w:lang w:val="zh-CN"/>
        </w:rPr>
        <w:t>马店—南阳的公路，矿区东南至驻马店</w:t>
      </w:r>
      <w:r>
        <w:rPr>
          <w:rFonts w:hint="eastAsia"/>
          <w:lang w:val="zh-CN"/>
        </w:rPr>
        <w:t>50km</w:t>
      </w:r>
      <w:r>
        <w:rPr>
          <w:rFonts w:hint="eastAsia"/>
          <w:lang w:val="zh-CN"/>
        </w:rPr>
        <w:t>，</w:t>
      </w:r>
      <w:r>
        <w:rPr>
          <w:rFonts w:hint="eastAsia"/>
          <w:lang w:val="zh-CN"/>
        </w:rPr>
        <w:lastRenderedPageBreak/>
        <w:t>西北至舞钢</w:t>
      </w:r>
      <w:r>
        <w:rPr>
          <w:rFonts w:hint="eastAsia"/>
          <w:lang w:val="zh-CN"/>
        </w:rPr>
        <w:t>20km</w:t>
      </w:r>
      <w:r>
        <w:rPr>
          <w:rFonts w:hint="eastAsia"/>
          <w:lang w:val="zh-CN"/>
        </w:rPr>
        <w:t>，其间均为沥青路面与国道和京广铁路各车站相通，交通较便利。</w:t>
      </w:r>
    </w:p>
    <w:p w14:paraId="0DE10815" w14:textId="72825279" w:rsidR="006047BF" w:rsidRDefault="006047BF" w:rsidP="006047BF">
      <w:pPr>
        <w:tabs>
          <w:tab w:val="left" w:pos="6570"/>
        </w:tabs>
      </w:pPr>
      <w:r>
        <w:t>3.5.1.2</w:t>
      </w:r>
      <w:r>
        <w:t>供电、供水</w:t>
      </w:r>
      <w:r>
        <w:rPr>
          <w:rFonts w:hint="eastAsia"/>
        </w:rPr>
        <w:t>和供热</w:t>
      </w:r>
      <w:r>
        <w:t>条件</w:t>
      </w:r>
      <w:bookmarkEnd w:id="135"/>
      <w:r>
        <w:tab/>
      </w:r>
    </w:p>
    <w:p w14:paraId="0CFFC561" w14:textId="77777777" w:rsidR="006047BF" w:rsidRDefault="006047BF" w:rsidP="006047BF">
      <w:bookmarkStart w:id="136" w:name="_Toc10575"/>
      <w:r>
        <w:rPr>
          <w:rFonts w:hint="eastAsia"/>
        </w:rPr>
        <w:t>（</w:t>
      </w:r>
      <w:r>
        <w:rPr>
          <w:rFonts w:hint="eastAsia"/>
        </w:rPr>
        <w:t>1</w:t>
      </w:r>
      <w:r>
        <w:rPr>
          <w:rFonts w:hint="eastAsia"/>
        </w:rPr>
        <w:t>）</w:t>
      </w:r>
      <w:r>
        <w:t>供电</w:t>
      </w:r>
      <w:bookmarkStart w:id="137" w:name="_Toc7679"/>
      <w:bookmarkEnd w:id="136"/>
    </w:p>
    <w:p w14:paraId="4B43D31C" w14:textId="77777777" w:rsidR="006047BF" w:rsidRDefault="006047BF" w:rsidP="006047BF">
      <w:pPr>
        <w:rPr>
          <w:lang w:val="zh-CN"/>
        </w:rPr>
      </w:pPr>
      <w:r>
        <w:rPr>
          <w:rFonts w:hint="eastAsia"/>
          <w:lang w:val="zh-CN"/>
        </w:rPr>
        <w:t>矿权区内电力有高压输电线路与省内电网连通，</w:t>
      </w:r>
      <w:r>
        <w:rPr>
          <w:rFonts w:hint="eastAsia"/>
          <w:lang w:val="zh-CN"/>
        </w:rPr>
        <w:t>220</w:t>
      </w:r>
      <w:r>
        <w:rPr>
          <w:rFonts w:hint="eastAsia"/>
          <w:lang w:val="zh-CN"/>
        </w:rPr>
        <w:t>伏照明电直通矿区，电力充足，能满足矿山生产、生活用电。本项目年用电量</w:t>
      </w:r>
      <w:r>
        <w:rPr>
          <w:lang w:val="zh-CN"/>
        </w:rPr>
        <w:t>2475</w:t>
      </w:r>
      <w:r>
        <w:rPr>
          <w:rFonts w:hint="eastAsia"/>
          <w:lang w:val="zh-CN"/>
        </w:rPr>
        <w:t>万度，能满足矿山生产、生活用电。</w:t>
      </w:r>
      <w:bookmarkEnd w:id="137"/>
    </w:p>
    <w:p w14:paraId="0406ADD8" w14:textId="77777777" w:rsidR="006047BF" w:rsidRDefault="006047BF" w:rsidP="006047BF">
      <w:bookmarkStart w:id="138" w:name="_Toc29995"/>
      <w:r>
        <w:rPr>
          <w:rFonts w:hint="eastAsia"/>
        </w:rPr>
        <w:t>（</w:t>
      </w:r>
      <w:r>
        <w:rPr>
          <w:rFonts w:hint="eastAsia"/>
        </w:rPr>
        <w:t>2</w:t>
      </w:r>
      <w:r>
        <w:rPr>
          <w:rFonts w:hint="eastAsia"/>
        </w:rPr>
        <w:t>）</w:t>
      </w:r>
      <w:r>
        <w:t>供水</w:t>
      </w:r>
      <w:bookmarkEnd w:id="138"/>
    </w:p>
    <w:p w14:paraId="0F47F4B0" w14:textId="77777777" w:rsidR="006047BF" w:rsidRDefault="006047BF" w:rsidP="006047BF">
      <w:bookmarkStart w:id="139" w:name="_Toc17057"/>
      <w:r>
        <w:rPr>
          <w:rFonts w:hint="eastAsia"/>
        </w:rPr>
        <w:t>矿区及附近生产、生活用水主要来源于地下水（矿区周边村庄均有水井），水量丰富，可以作为未来矿山开采时和生产生活用水水源。</w:t>
      </w:r>
    </w:p>
    <w:p w14:paraId="5682C6C6" w14:textId="77777777" w:rsidR="006047BF" w:rsidRDefault="006047BF" w:rsidP="006047BF">
      <w:r>
        <w:rPr>
          <w:rFonts w:hint="eastAsia"/>
        </w:rPr>
        <w:t>（</w:t>
      </w:r>
      <w:r>
        <w:rPr>
          <w:rFonts w:hint="eastAsia"/>
        </w:rPr>
        <w:t>3</w:t>
      </w:r>
      <w:r>
        <w:rPr>
          <w:rFonts w:hint="eastAsia"/>
        </w:rPr>
        <w:t>）供热</w:t>
      </w:r>
    </w:p>
    <w:p w14:paraId="721074AA" w14:textId="77777777" w:rsidR="006047BF" w:rsidRDefault="006047BF" w:rsidP="006047BF">
      <w:r>
        <w:rPr>
          <w:rFonts w:hint="eastAsia"/>
        </w:rPr>
        <w:t>本项目矿区值班室与办公室采用空调供暖。</w:t>
      </w:r>
    </w:p>
    <w:p w14:paraId="7C589CAF" w14:textId="0C495084" w:rsidR="006047BF" w:rsidRDefault="006047BF" w:rsidP="006047BF">
      <w:pPr>
        <w:pStyle w:val="3"/>
        <w:ind w:firstLine="560"/>
      </w:pPr>
      <w:bookmarkStart w:id="140" w:name="_Toc531939322"/>
      <w:r>
        <w:t>3.5</w:t>
      </w:r>
      <w:r>
        <w:rPr>
          <w:rFonts w:hint="eastAsia"/>
        </w:rPr>
        <w:t>.2</w:t>
      </w:r>
      <w:r>
        <w:rPr>
          <w:rFonts w:hint="eastAsia"/>
        </w:rPr>
        <w:t>项目建设的资源条件</w:t>
      </w:r>
      <w:bookmarkEnd w:id="139"/>
      <w:bookmarkEnd w:id="140"/>
    </w:p>
    <w:p w14:paraId="6E7FDA63" w14:textId="77777777" w:rsidR="006047BF" w:rsidRDefault="006047BF" w:rsidP="006047BF">
      <w:r>
        <w:rPr>
          <w:lang w:val="zh-CN"/>
        </w:rPr>
        <w:t>据项目储量报告，</w:t>
      </w:r>
      <w:r>
        <w:t>在矿区范围内共查明（</w:t>
      </w:r>
      <w:r>
        <w:t>122b</w:t>
      </w:r>
      <w:r>
        <w:t>）类资源储量</w:t>
      </w:r>
      <w:r>
        <w:t>1979.00</w:t>
      </w:r>
      <w:r>
        <w:t>万</w:t>
      </w:r>
      <w:r>
        <w:t>t(</w:t>
      </w:r>
      <w:r>
        <w:t>合</w:t>
      </w:r>
      <w:r>
        <w:t>761.16</w:t>
      </w:r>
      <w:r>
        <w:t>万</w:t>
      </w:r>
      <w:r>
        <w:t>m³)</w:t>
      </w:r>
      <w:r>
        <w:t>，全部为保有资源储量。另外，参考周边矿山资料在露采剥离物中的玄武岩可综合回收利用，经计算可综合回收利用的玄武岩</w:t>
      </w:r>
      <w:r>
        <w:t>71.36</w:t>
      </w:r>
      <w:r>
        <w:t>万</w:t>
      </w:r>
      <w:r>
        <w:t>m³</w:t>
      </w:r>
      <w:r>
        <w:t>（合</w:t>
      </w:r>
      <w:r>
        <w:t>199.83</w:t>
      </w:r>
      <w:r>
        <w:t>万</w:t>
      </w:r>
      <w:r>
        <w:t>t</w:t>
      </w:r>
      <w:r>
        <w:t>）</w:t>
      </w:r>
      <w:r>
        <w:rPr>
          <w:rFonts w:hint="eastAsia"/>
        </w:rPr>
        <w:t>；</w:t>
      </w:r>
      <w:r>
        <w:t>设计利用资源储量</w:t>
      </w:r>
      <w:r>
        <w:t>2178.83</w:t>
      </w:r>
      <w:r>
        <w:t>万吨（其中，大理岩</w:t>
      </w:r>
      <w:r>
        <w:t>1979.00</w:t>
      </w:r>
      <w:r>
        <w:t>万吨，玄武岩</w:t>
      </w:r>
      <w:r>
        <w:t>199.83</w:t>
      </w:r>
      <w:r>
        <w:t>万吨）</w:t>
      </w:r>
      <w:r>
        <w:rPr>
          <w:rFonts w:hint="eastAsia"/>
        </w:rPr>
        <w:t>；</w:t>
      </w:r>
      <w:r>
        <w:t>类比相似类型矿山开采情况，开采损失率取</w:t>
      </w:r>
      <w:r>
        <w:t>5%</w:t>
      </w:r>
      <w:r>
        <w:t>。</w:t>
      </w:r>
    </w:p>
    <w:p w14:paraId="39E9E8B3" w14:textId="77777777" w:rsidR="006047BF" w:rsidRDefault="006047BF" w:rsidP="006047BF">
      <w:r>
        <w:t>可采储量</w:t>
      </w:r>
      <w:r>
        <w:t>=</w:t>
      </w:r>
      <w:r>
        <w:t>（</w:t>
      </w:r>
      <w:r>
        <w:t>1979.00+199.83</w:t>
      </w:r>
      <w:r>
        <w:t>）</w:t>
      </w:r>
      <w:r>
        <w:rPr>
          <w:rFonts w:hint="eastAsia"/>
        </w:rPr>
        <w:t>万</w:t>
      </w:r>
      <w:r>
        <w:t>吨</w:t>
      </w:r>
      <w:r>
        <w:t>×0.95=2069.89</w:t>
      </w:r>
      <w:r>
        <w:rPr>
          <w:rFonts w:hint="eastAsia"/>
        </w:rPr>
        <w:t>万</w:t>
      </w:r>
      <w:r>
        <w:t>吨。</w:t>
      </w:r>
    </w:p>
    <w:p w14:paraId="5D90E1AF" w14:textId="40FF07C6" w:rsidR="006047BF" w:rsidRDefault="006047BF" w:rsidP="006047BF">
      <w:pPr>
        <w:pStyle w:val="3"/>
        <w:ind w:firstLine="560"/>
      </w:pPr>
      <w:r>
        <w:t>3.5</w:t>
      </w:r>
      <w:r>
        <w:rPr>
          <w:rFonts w:hint="eastAsia"/>
        </w:rPr>
        <w:t>.</w:t>
      </w:r>
      <w:r>
        <w:t>3</w:t>
      </w:r>
      <w:r>
        <w:rPr>
          <w:rFonts w:hint="eastAsia"/>
        </w:rPr>
        <w:t>项目开采地质条件</w:t>
      </w:r>
    </w:p>
    <w:p w14:paraId="1A2EDB6E" w14:textId="54EA0E68" w:rsidR="006047BF" w:rsidRDefault="006047BF" w:rsidP="006047BF">
      <w:r>
        <w:t>3.5.3.1</w:t>
      </w:r>
      <w:r>
        <w:t>水文地质</w:t>
      </w:r>
    </w:p>
    <w:p w14:paraId="12A4D12C" w14:textId="77777777" w:rsidR="006047BF" w:rsidRDefault="006047BF" w:rsidP="006047BF">
      <w:r>
        <w:rPr>
          <w:rFonts w:hint="eastAsia"/>
        </w:rPr>
        <w:t>矿区位于暖温带南部，属大陆性湿润季风气候区，雨热同季，气候温和，多年平均气温</w:t>
      </w:r>
      <w:r>
        <w:rPr>
          <w:rFonts w:hint="eastAsia"/>
        </w:rPr>
        <w:t>15</w:t>
      </w:r>
      <w:r>
        <w:rPr>
          <w:rFonts w:hint="eastAsia"/>
        </w:rPr>
        <w:t>℃，多年平均降水量</w:t>
      </w:r>
      <w:r>
        <w:rPr>
          <w:rFonts w:hint="eastAsia"/>
        </w:rPr>
        <w:t>920</w:t>
      </w:r>
      <w:r>
        <w:rPr>
          <w:rFonts w:hint="eastAsia"/>
        </w:rPr>
        <w:t>毫米。年降水分配不均，多集中在</w:t>
      </w:r>
      <w:r>
        <w:rPr>
          <w:rFonts w:hint="eastAsia"/>
        </w:rPr>
        <w:t>6-9</w:t>
      </w:r>
      <w:r>
        <w:rPr>
          <w:rFonts w:hint="eastAsia"/>
        </w:rPr>
        <w:t>月份，占全年降水量的</w:t>
      </w:r>
      <w:r>
        <w:rPr>
          <w:rFonts w:hint="eastAsia"/>
        </w:rPr>
        <w:t>63.38%</w:t>
      </w:r>
      <w:r>
        <w:rPr>
          <w:rFonts w:hint="eastAsia"/>
        </w:rPr>
        <w:t>，</w:t>
      </w:r>
      <w:r>
        <w:rPr>
          <w:rFonts w:hint="eastAsia"/>
        </w:rPr>
        <w:t>12</w:t>
      </w:r>
      <w:r>
        <w:rPr>
          <w:rFonts w:hint="eastAsia"/>
        </w:rPr>
        <w:t>月至翌年</w:t>
      </w:r>
      <w:r>
        <w:rPr>
          <w:rFonts w:hint="eastAsia"/>
        </w:rPr>
        <w:t>2</w:t>
      </w:r>
      <w:r>
        <w:rPr>
          <w:rFonts w:hint="eastAsia"/>
        </w:rPr>
        <w:t>月，降水量最小，占全年降水量的</w:t>
      </w:r>
      <w:r>
        <w:rPr>
          <w:rFonts w:hint="eastAsia"/>
        </w:rPr>
        <w:t>7.46%</w:t>
      </w:r>
      <w:r>
        <w:rPr>
          <w:rFonts w:hint="eastAsia"/>
        </w:rPr>
        <w:t>，其余月份占全年降水量的</w:t>
      </w:r>
      <w:r>
        <w:rPr>
          <w:rFonts w:hint="eastAsia"/>
        </w:rPr>
        <w:t>29.16%</w:t>
      </w:r>
      <w:r>
        <w:rPr>
          <w:rFonts w:hint="eastAsia"/>
        </w:rPr>
        <w:t>。多年平均蒸发量为</w:t>
      </w:r>
      <w:r>
        <w:rPr>
          <w:rFonts w:hint="eastAsia"/>
        </w:rPr>
        <w:t>1259.8</w:t>
      </w:r>
      <w:r>
        <w:rPr>
          <w:rFonts w:hint="eastAsia"/>
        </w:rPr>
        <w:t>毫米。年内</w:t>
      </w:r>
      <w:r>
        <w:rPr>
          <w:rFonts w:hint="eastAsia"/>
        </w:rPr>
        <w:t>5-8</w:t>
      </w:r>
      <w:r>
        <w:rPr>
          <w:rFonts w:hint="eastAsia"/>
        </w:rPr>
        <w:t>月份蒸发量最大，占全年蒸发量的</w:t>
      </w:r>
      <w:r>
        <w:rPr>
          <w:rFonts w:hint="eastAsia"/>
        </w:rPr>
        <w:t>51.3%</w:t>
      </w:r>
      <w:r>
        <w:rPr>
          <w:rFonts w:hint="eastAsia"/>
        </w:rPr>
        <w:t>。</w:t>
      </w:r>
      <w:r>
        <w:rPr>
          <w:rFonts w:hint="eastAsia"/>
        </w:rPr>
        <w:t>11</w:t>
      </w:r>
      <w:r>
        <w:rPr>
          <w:rFonts w:hint="eastAsia"/>
        </w:rPr>
        <w:t>月至翌年</w:t>
      </w:r>
      <w:r>
        <w:rPr>
          <w:rFonts w:hint="eastAsia"/>
        </w:rPr>
        <w:t>2</w:t>
      </w:r>
      <w:r>
        <w:rPr>
          <w:rFonts w:hint="eastAsia"/>
        </w:rPr>
        <w:t>月最小，仅占全年蒸发量的</w:t>
      </w:r>
      <w:r>
        <w:rPr>
          <w:rFonts w:hint="eastAsia"/>
        </w:rPr>
        <w:t>17.2%</w:t>
      </w:r>
      <w:r>
        <w:rPr>
          <w:rFonts w:hint="eastAsia"/>
        </w:rPr>
        <w:t>，其它月份蒸发量占全年蒸发量的</w:t>
      </w:r>
      <w:r>
        <w:rPr>
          <w:rFonts w:hint="eastAsia"/>
        </w:rPr>
        <w:t>31.5%</w:t>
      </w:r>
      <w:r>
        <w:rPr>
          <w:rFonts w:hint="eastAsia"/>
        </w:rPr>
        <w:t>。</w:t>
      </w:r>
    </w:p>
    <w:p w14:paraId="57F94007" w14:textId="77777777" w:rsidR="006047BF" w:rsidRDefault="006047BF" w:rsidP="006047BF">
      <w:r>
        <w:rPr>
          <w:rFonts w:hint="eastAsia"/>
        </w:rPr>
        <w:lastRenderedPageBreak/>
        <w:t>本区属淮河水系和白河水系上游源区。矿区处于分水岭西南坡，沿地形切割的沟谷，自西北向东南流向，属季节性河流。</w:t>
      </w:r>
    </w:p>
    <w:p w14:paraId="101A2B7B" w14:textId="77777777" w:rsidR="006047BF" w:rsidRDefault="006047BF" w:rsidP="006047BF">
      <w:pPr>
        <w:rPr>
          <w:kern w:val="0"/>
        </w:rPr>
      </w:pPr>
      <w:r>
        <w:rPr>
          <w:rFonts w:hint="eastAsia"/>
        </w:rPr>
        <w:t>区内地形地貌以低山、丘陵为主，西高东低，地形起伏相对较大。矿区内总的地形走势为西高东低，海拔最高点约</w:t>
      </w:r>
      <w:r>
        <w:rPr>
          <w:rFonts w:hint="eastAsia"/>
        </w:rPr>
        <w:t>530</w:t>
      </w:r>
      <w:r>
        <w:rPr>
          <w:rFonts w:hint="eastAsia"/>
        </w:rPr>
        <w:t>米，最低点约</w:t>
      </w:r>
      <w:r>
        <w:rPr>
          <w:rFonts w:hint="eastAsia"/>
        </w:rPr>
        <w:t>270</w:t>
      </w:r>
      <w:r>
        <w:rPr>
          <w:rFonts w:hint="eastAsia"/>
        </w:rPr>
        <w:t>米，最大相对高差约</w:t>
      </w:r>
      <w:r>
        <w:rPr>
          <w:rFonts w:hint="eastAsia"/>
        </w:rPr>
        <w:t>160</w:t>
      </w:r>
      <w:r>
        <w:rPr>
          <w:rFonts w:hint="eastAsia"/>
        </w:rPr>
        <w:t>米。本次资源储量估算最低标高为</w:t>
      </w:r>
      <w:r>
        <w:rPr>
          <w:rFonts w:hint="eastAsia"/>
        </w:rPr>
        <w:t>+290</w:t>
      </w:r>
      <w:r>
        <w:rPr>
          <w:rFonts w:hint="eastAsia"/>
        </w:rPr>
        <w:t>，高于矿区最低侵蚀基准面。</w:t>
      </w:r>
    </w:p>
    <w:p w14:paraId="5702C67A" w14:textId="77777777" w:rsidR="006047BF" w:rsidRDefault="006047BF" w:rsidP="006047BF">
      <w:r>
        <w:rPr>
          <w:rFonts w:hint="eastAsia"/>
        </w:rPr>
        <w:t>由于该矿属于地表开采，矿体中无断层发育，节理多为闭合型，为非含（隔）水层，几乎不含地下水，导水性较差，故矿区地下水的补、径、排条件简单。</w:t>
      </w:r>
    </w:p>
    <w:p w14:paraId="20852A63" w14:textId="77777777" w:rsidR="006047BF" w:rsidRDefault="006047BF" w:rsidP="006047BF">
      <w:r>
        <w:rPr>
          <w:rFonts w:hint="eastAsia"/>
        </w:rPr>
        <w:t>未来开采充水因素主要为大气降水，矿床未来开采方式为露天开采，最低开采标高高于矿区最低侵蚀基准面，有利于自然排水条件，故采区构筑山坡防洪沟和场外泄洪</w:t>
      </w:r>
      <w:proofErr w:type="gramStart"/>
      <w:r>
        <w:rPr>
          <w:rFonts w:hint="eastAsia"/>
        </w:rPr>
        <w:t>沟两种</w:t>
      </w:r>
      <w:proofErr w:type="gramEnd"/>
      <w:r>
        <w:rPr>
          <w:rFonts w:hint="eastAsia"/>
        </w:rPr>
        <w:t>措施即可，预计未来采场水患影响较小。</w:t>
      </w:r>
    </w:p>
    <w:p w14:paraId="2FB7D94E" w14:textId="77777777" w:rsidR="006047BF" w:rsidRDefault="006047BF" w:rsidP="006047BF">
      <w:pPr>
        <w:rPr>
          <w:szCs w:val="24"/>
        </w:rPr>
      </w:pPr>
      <w:r>
        <w:rPr>
          <w:rFonts w:hint="eastAsia"/>
        </w:rPr>
        <w:t>综上所示，确定矿区水文地质条件属于简单类型。</w:t>
      </w:r>
    </w:p>
    <w:p w14:paraId="3B1847CC" w14:textId="19249E62" w:rsidR="006047BF" w:rsidRDefault="006047BF" w:rsidP="006047BF">
      <w:r>
        <w:t>3.5</w:t>
      </w:r>
      <w:r>
        <w:rPr>
          <w:rFonts w:hint="eastAsia"/>
        </w:rPr>
        <w:t>.3.2</w:t>
      </w:r>
      <w:r>
        <w:rPr>
          <w:rFonts w:hint="eastAsia"/>
        </w:rPr>
        <w:t>工程地质</w:t>
      </w:r>
    </w:p>
    <w:p w14:paraId="2D873B5F" w14:textId="77777777" w:rsidR="006047BF" w:rsidRDefault="006047BF" w:rsidP="006047BF">
      <w:r>
        <w:rPr>
          <w:rFonts w:hint="eastAsia"/>
        </w:rPr>
        <w:t>矿区范围大理岩直接出露地表，上部无第四系疏松层覆盖，岩体表面仅有</w:t>
      </w:r>
      <w:r>
        <w:rPr>
          <w:rFonts w:hint="eastAsia"/>
        </w:rPr>
        <w:t>0--1.6</w:t>
      </w:r>
      <w:r>
        <w:rPr>
          <w:rFonts w:hint="eastAsia"/>
        </w:rPr>
        <w:t>米</w:t>
      </w:r>
      <w:proofErr w:type="gramStart"/>
      <w:r>
        <w:rPr>
          <w:rFonts w:hint="eastAsia"/>
        </w:rPr>
        <w:t>厚左右</w:t>
      </w:r>
      <w:proofErr w:type="gramEnd"/>
      <w:r>
        <w:rPr>
          <w:rFonts w:hint="eastAsia"/>
        </w:rPr>
        <w:t>的多节理风化层。矿体及围岩内既无活动性构造，也无软弱夹层，稳定性好。</w:t>
      </w:r>
    </w:p>
    <w:p w14:paraId="37FD7252" w14:textId="77777777" w:rsidR="006047BF" w:rsidRDefault="006047BF" w:rsidP="006047BF">
      <w:r>
        <w:rPr>
          <w:rFonts w:hint="eastAsia"/>
        </w:rPr>
        <w:t>因此，构成采场的矿体和围岩，均系坚固的大理岩、石英岩及玄武岩，该种岩石物理学性能良好，按工程地质分类属坚硬至极坚硬的稳定岩层，对矿层开采的稳定性无明显影响。</w:t>
      </w:r>
    </w:p>
    <w:p w14:paraId="11178038" w14:textId="77777777" w:rsidR="006047BF" w:rsidRDefault="006047BF" w:rsidP="006047BF">
      <w:r>
        <w:rPr>
          <w:rFonts w:hint="eastAsia"/>
        </w:rPr>
        <w:t>现状条件下，无工程地质问题。</w:t>
      </w:r>
    </w:p>
    <w:p w14:paraId="4D9EA24F" w14:textId="77777777" w:rsidR="006047BF" w:rsidRDefault="006047BF" w:rsidP="006047BF">
      <w:r>
        <w:rPr>
          <w:rFonts w:hint="eastAsia"/>
        </w:rPr>
        <w:t>矿床未来采用露天开采方式，采用阶梯式开采，除每一台段应预留一定宽度的安全平台外，露天采场的最终边坡角不应大于</w:t>
      </w:r>
      <w:r>
        <w:rPr>
          <w:rFonts w:hint="eastAsia"/>
        </w:rPr>
        <w:t>60</w:t>
      </w:r>
      <w:r>
        <w:rPr>
          <w:rFonts w:hint="eastAsia"/>
        </w:rPr>
        <w:t>°，以避免产生边坡失稳等工程地质问题。</w:t>
      </w:r>
    </w:p>
    <w:p w14:paraId="59C592DB" w14:textId="77777777" w:rsidR="006047BF" w:rsidRDefault="006047BF" w:rsidP="006047BF">
      <w:r>
        <w:rPr>
          <w:rFonts w:hint="eastAsia"/>
        </w:rPr>
        <w:t>综上所示，确定矿区工程地质条件属于简单类型。</w:t>
      </w:r>
    </w:p>
    <w:p w14:paraId="0B9FB374" w14:textId="2D26556C" w:rsidR="006047BF" w:rsidRDefault="006047BF" w:rsidP="006047BF">
      <w:r>
        <w:rPr>
          <w:rFonts w:hint="eastAsia"/>
        </w:rPr>
        <w:t>3.5.3.3</w:t>
      </w:r>
      <w:r>
        <w:rPr>
          <w:rFonts w:hint="eastAsia"/>
        </w:rPr>
        <w:t>环境地质</w:t>
      </w:r>
    </w:p>
    <w:p w14:paraId="08B41F18" w14:textId="77777777" w:rsidR="006047BF" w:rsidRDefault="006047BF" w:rsidP="006047BF">
      <w:r>
        <w:rPr>
          <w:rFonts w:hint="eastAsia"/>
        </w:rPr>
        <w:t>区内新构造活动不强，断裂构造规模中等、近期内地震活动较弱，震级低，地震次数少。据《中国地震资料年表》（</w:t>
      </w:r>
      <w:r>
        <w:rPr>
          <w:rFonts w:hint="eastAsia"/>
        </w:rPr>
        <w:t>1956</w:t>
      </w:r>
      <w:r>
        <w:rPr>
          <w:rFonts w:hint="eastAsia"/>
        </w:rPr>
        <w:t>年版）</w:t>
      </w:r>
      <w:r>
        <w:rPr>
          <w:rFonts w:hint="eastAsia"/>
        </w:rPr>
        <w:t>451</w:t>
      </w:r>
      <w:r>
        <w:rPr>
          <w:rFonts w:hint="eastAsia"/>
        </w:rPr>
        <w:t>年（</w:t>
      </w:r>
      <w:r>
        <w:rPr>
          <w:rFonts w:hint="eastAsia"/>
        </w:rPr>
        <w:t>1470</w:t>
      </w:r>
      <w:r>
        <w:rPr>
          <w:rFonts w:hint="eastAsia"/>
        </w:rPr>
        <w:t>～</w:t>
      </w:r>
      <w:r>
        <w:rPr>
          <w:rFonts w:hint="eastAsia"/>
        </w:rPr>
        <w:t>1920</w:t>
      </w:r>
      <w:r>
        <w:rPr>
          <w:rFonts w:hint="eastAsia"/>
        </w:rPr>
        <w:t>）的历史记录，</w:t>
      </w:r>
      <w:r>
        <w:rPr>
          <w:rFonts w:hint="eastAsia"/>
        </w:rPr>
        <w:t>451</w:t>
      </w:r>
      <w:r>
        <w:rPr>
          <w:rFonts w:hint="eastAsia"/>
        </w:rPr>
        <w:t>年来本区周围各县共发生强弱不等的地震近</w:t>
      </w:r>
      <w:r>
        <w:rPr>
          <w:rFonts w:hint="eastAsia"/>
        </w:rPr>
        <w:t>30</w:t>
      </w:r>
      <w:r>
        <w:rPr>
          <w:rFonts w:hint="eastAsia"/>
        </w:rPr>
        <w:t>次，但均未达破坏性震级。</w:t>
      </w:r>
    </w:p>
    <w:p w14:paraId="011986CF" w14:textId="77777777" w:rsidR="006047BF" w:rsidRDefault="006047BF" w:rsidP="006047BF">
      <w:r>
        <w:rPr>
          <w:rFonts w:hint="eastAsia"/>
        </w:rPr>
        <w:lastRenderedPageBreak/>
        <w:t>据《中国地震动参数区划图》（</w:t>
      </w:r>
      <w:r>
        <w:rPr>
          <w:rFonts w:hint="eastAsia"/>
        </w:rPr>
        <w:t>GB18306-2015</w:t>
      </w:r>
      <w:r>
        <w:rPr>
          <w:rFonts w:hint="eastAsia"/>
        </w:rPr>
        <w:t>），调查区处于地震动峰值加速度</w:t>
      </w:r>
      <w:r>
        <w:rPr>
          <w:rFonts w:hint="eastAsia"/>
        </w:rPr>
        <w:t>0.05g</w:t>
      </w:r>
      <w:r>
        <w:rPr>
          <w:rFonts w:hint="eastAsia"/>
        </w:rPr>
        <w:t>区，地震基本烈度为Ⅵ度，区域地壳稳定性属稳定区。</w:t>
      </w:r>
    </w:p>
    <w:p w14:paraId="4B555152" w14:textId="77777777" w:rsidR="006047BF" w:rsidRDefault="006047BF" w:rsidP="006047BF">
      <w:r>
        <w:rPr>
          <w:rFonts w:hint="eastAsia"/>
        </w:rPr>
        <w:t>相对而言，本区处于一个比较稳定的区域。目前矿区内滑坡、泥石流、崩塌现象没有，未来预测对采矿危害不大。</w:t>
      </w:r>
    </w:p>
    <w:p w14:paraId="231D9161" w14:textId="77777777" w:rsidR="006047BF" w:rsidRDefault="006047BF" w:rsidP="006047BF">
      <w:r>
        <w:rPr>
          <w:rFonts w:hint="eastAsia"/>
        </w:rPr>
        <w:t>区内采矿使当地生态环境受到一定影响，采矿闭坑后可能会引起崩塌、滑坡，水土流失，矿渣、废石堆积可能会引发泥石流，破坏生态环境，对本区农林业造成一定影响，采矿废水可引发当地的水资源污染，对农村村民生活造成不利影响。</w:t>
      </w:r>
    </w:p>
    <w:p w14:paraId="1F054A1F" w14:textId="3C7EE181" w:rsidR="006047BF" w:rsidRPr="006047BF" w:rsidRDefault="006047BF" w:rsidP="006047BF">
      <w:r>
        <w:rPr>
          <w:rFonts w:hint="eastAsia"/>
        </w:rPr>
        <w:t>矿山未来建设应严格按照绿色矿山建设标准实施建设和开采，矿山要采取相应措施，加强治理，编制和实施矿山地质环境保护与恢复治理方案、土地复垦和绿色矿山建设方案，进行综合治理工作，确保本区采矿活动对农林</w:t>
      </w:r>
      <w:proofErr w:type="gramStart"/>
      <w:r>
        <w:rPr>
          <w:rFonts w:hint="eastAsia"/>
        </w:rPr>
        <w:t>业不会</w:t>
      </w:r>
      <w:proofErr w:type="gramEnd"/>
      <w:r>
        <w:rPr>
          <w:rFonts w:hint="eastAsia"/>
        </w:rPr>
        <w:t>造成较大影响。</w:t>
      </w:r>
    </w:p>
    <w:p w14:paraId="468F2278" w14:textId="6C4209CD" w:rsidR="00E579B9" w:rsidRDefault="006A1398" w:rsidP="006047BF">
      <w:pPr>
        <w:pStyle w:val="3"/>
        <w:ind w:firstLine="560"/>
      </w:pPr>
      <w:bookmarkStart w:id="141" w:name="_Toc304130053"/>
      <w:bookmarkStart w:id="142" w:name="_Toc23457"/>
      <w:bookmarkStart w:id="143" w:name="_Toc531939329"/>
      <w:bookmarkEnd w:id="121"/>
      <w:bookmarkEnd w:id="122"/>
      <w:r>
        <w:t>3.5</w:t>
      </w:r>
      <w:r w:rsidR="006047BF">
        <w:rPr>
          <w:rFonts w:hint="eastAsia"/>
        </w:rPr>
        <w:t>.4</w:t>
      </w:r>
      <w:r>
        <w:t>能源供应与消耗情况</w:t>
      </w:r>
    </w:p>
    <w:p w14:paraId="7C2A1EA5" w14:textId="4BA49CF6" w:rsidR="00E579B9" w:rsidRDefault="006A1398" w:rsidP="006047BF">
      <w:pPr>
        <w:pStyle w:val="Af8"/>
      </w:pPr>
      <w:r>
        <w:t>3.5.</w:t>
      </w:r>
      <w:r w:rsidR="006047BF">
        <w:rPr>
          <w:rFonts w:hint="eastAsia"/>
        </w:rPr>
        <w:t>4.</w:t>
      </w:r>
      <w:r>
        <w:t>1</w:t>
      </w:r>
      <w:r>
        <w:t>给、排水情况</w:t>
      </w:r>
    </w:p>
    <w:p w14:paraId="76E6A3F6" w14:textId="77777777" w:rsidR="00E579B9" w:rsidRDefault="006A1398">
      <w:r>
        <w:rPr>
          <w:rFonts w:ascii="宋体" w:hAnsi="宋体" w:hint="eastAsia"/>
        </w:rPr>
        <w:t>项目运营期用水主要是露天采场防尘洒水、破碎车间防尘洒水、厂区出入口车辆冲洗装置用水及职工生活用水。</w:t>
      </w:r>
    </w:p>
    <w:p w14:paraId="092D16AC" w14:textId="77777777" w:rsidR="00E579B9" w:rsidRDefault="006A1398">
      <w:pPr>
        <w:pStyle w:val="226"/>
        <w:numPr>
          <w:ilvl w:val="0"/>
          <w:numId w:val="5"/>
        </w:numPr>
        <w:spacing w:line="360" w:lineRule="auto"/>
        <w:ind w:firstLineChars="0"/>
      </w:pPr>
      <w:r>
        <w:rPr>
          <w:rFonts w:hint="eastAsia"/>
        </w:rPr>
        <w:t>露天采场防尘洒水</w:t>
      </w:r>
    </w:p>
    <w:p w14:paraId="21CB732B" w14:textId="77777777" w:rsidR="00E579B9" w:rsidRDefault="006A1398">
      <w:pPr>
        <w:pStyle w:val="226"/>
        <w:spacing w:line="360" w:lineRule="auto"/>
      </w:pPr>
      <w:r>
        <w:rPr>
          <w:rFonts w:ascii="宋体" w:hAnsi="宋体" w:hint="eastAsia"/>
        </w:rPr>
        <w:t>本项目运营期露天采场凿岩、爆破、运输、装卸等各个环节中均需洒水，这部分水均被物料吸收或自然蒸发，不会产生外排废水，无生产废水产生。</w:t>
      </w:r>
      <w:proofErr w:type="gramStart"/>
      <w:r>
        <w:rPr>
          <w:rFonts w:ascii="宋体" w:hAnsi="宋体" w:hint="eastAsia"/>
        </w:rPr>
        <w:t>道路抑尘洒水</w:t>
      </w:r>
      <w:proofErr w:type="gramEnd"/>
      <w:r>
        <w:rPr>
          <w:rFonts w:ascii="宋体" w:hAnsi="宋体" w:hint="eastAsia"/>
        </w:rPr>
        <w:t>按</w:t>
      </w:r>
      <w:r>
        <w:rPr>
          <w:rFonts w:hint="eastAsia"/>
        </w:rPr>
        <w:t>1.5</w:t>
      </w:r>
      <w:r>
        <w:t>L/m</w:t>
      </w:r>
      <w:r>
        <w:rPr>
          <w:vertAlign w:val="superscript"/>
        </w:rPr>
        <w:t>2</w:t>
      </w:r>
      <w:r>
        <w:rPr>
          <w:rFonts w:cs="Times New Roman"/>
        </w:rPr>
        <w:t>·</w:t>
      </w:r>
      <w:r>
        <w:t>d</w:t>
      </w:r>
      <w:r>
        <w:rPr>
          <w:rFonts w:ascii="宋体" w:hAnsi="宋体" w:hint="eastAsia"/>
        </w:rPr>
        <w:t>计，矿区运输道路长</w:t>
      </w:r>
      <w:r>
        <w:t>2.5</w:t>
      </w:r>
      <w:r>
        <w:rPr>
          <w:rFonts w:hint="eastAsia"/>
        </w:rPr>
        <w:t>km</w:t>
      </w:r>
      <w:r>
        <w:rPr>
          <w:rFonts w:ascii="宋体" w:hAnsi="宋体" w:hint="eastAsia"/>
        </w:rPr>
        <w:t>，</w:t>
      </w:r>
      <w:proofErr w:type="gramStart"/>
      <w:r>
        <w:rPr>
          <w:rFonts w:ascii="宋体" w:hAnsi="宋体" w:hint="eastAsia"/>
        </w:rPr>
        <w:t>则道路抑尘</w:t>
      </w:r>
      <w:proofErr w:type="gramEnd"/>
      <w:r>
        <w:rPr>
          <w:rFonts w:ascii="宋体" w:hAnsi="宋体" w:hint="eastAsia"/>
        </w:rPr>
        <w:t>洒水约</w:t>
      </w:r>
      <w:r>
        <w:t>3.75m</w:t>
      </w:r>
      <w:r>
        <w:rPr>
          <w:vertAlign w:val="superscript"/>
        </w:rPr>
        <w:t>3</w:t>
      </w:r>
      <w:r>
        <w:t>/d</w:t>
      </w:r>
      <w:r>
        <w:rPr>
          <w:rFonts w:ascii="宋体" w:hAnsi="宋体" w:hint="eastAsia"/>
        </w:rPr>
        <w:t>；露采后矿石装卸防尘洒水量按</w:t>
      </w:r>
      <w:r>
        <w:rPr>
          <w:rFonts w:hint="eastAsia"/>
        </w:rPr>
        <w:t>10L/t</w:t>
      </w:r>
      <w:r>
        <w:rPr>
          <w:rFonts w:cs="Times New Roman"/>
        </w:rPr>
        <w:t>·</w:t>
      </w:r>
      <w:r>
        <w:rPr>
          <w:rFonts w:ascii="宋体" w:hAnsi="宋体" w:hint="eastAsia"/>
        </w:rPr>
        <w:t>矿石算，则项目露天采场装卸防尘洒水量为</w:t>
      </w:r>
      <w:r>
        <w:t>82.14</w:t>
      </w:r>
      <w:r>
        <w:rPr>
          <w:rFonts w:hint="eastAsia"/>
        </w:rPr>
        <w:t>m</w:t>
      </w:r>
      <w:r>
        <w:rPr>
          <w:rFonts w:hint="eastAsia"/>
          <w:vertAlign w:val="superscript"/>
        </w:rPr>
        <w:t>3</w:t>
      </w:r>
      <w:r>
        <w:rPr>
          <w:rFonts w:hint="eastAsia"/>
        </w:rPr>
        <w:t>/d</w:t>
      </w:r>
      <w:r>
        <w:rPr>
          <w:rFonts w:ascii="宋体" w:hAnsi="宋体" w:hint="eastAsia"/>
        </w:rPr>
        <w:t>；矿区凿岩、爆破过程洒水量约为</w:t>
      </w:r>
      <w:r>
        <w:rPr>
          <w:rFonts w:cs="Times New Roman" w:hint="eastAsia"/>
        </w:rPr>
        <w:t>5m</w:t>
      </w:r>
      <w:r>
        <w:rPr>
          <w:rFonts w:hint="eastAsia"/>
          <w:vertAlign w:val="superscript"/>
        </w:rPr>
        <w:t>3</w:t>
      </w:r>
      <w:r>
        <w:rPr>
          <w:rFonts w:hint="eastAsia"/>
        </w:rPr>
        <w:t>/d</w:t>
      </w:r>
      <w:r>
        <w:rPr>
          <w:rFonts w:ascii="宋体" w:hAnsi="宋体" w:hint="eastAsia"/>
        </w:rPr>
        <w:t>，则项目露天采场防尘洒水总量为</w:t>
      </w:r>
      <w:r>
        <w:rPr>
          <w:rFonts w:cs="Times New Roman"/>
        </w:rPr>
        <w:t>90.89</w:t>
      </w:r>
      <w:r>
        <w:t>m</w:t>
      </w:r>
      <w:r>
        <w:rPr>
          <w:vertAlign w:val="superscript"/>
        </w:rPr>
        <w:t>3</w:t>
      </w:r>
      <w:r>
        <w:t>/d</w:t>
      </w:r>
      <w:r>
        <w:rPr>
          <w:rFonts w:ascii="宋体" w:hAnsi="宋体" w:hint="eastAsia"/>
        </w:rPr>
        <w:t>。矿区设置</w:t>
      </w:r>
      <w:r>
        <w:rPr>
          <w:rFonts w:hint="eastAsia"/>
        </w:rPr>
        <w:t>1</w:t>
      </w:r>
      <w:r>
        <w:rPr>
          <w:rFonts w:ascii="宋体" w:hAnsi="宋体" w:hint="eastAsia"/>
        </w:rPr>
        <w:t>台</w:t>
      </w:r>
      <w:r>
        <w:rPr>
          <w:rFonts w:cs="Times New Roman" w:hint="eastAsia"/>
        </w:rPr>
        <w:t>20m</w:t>
      </w:r>
      <w:r>
        <w:rPr>
          <w:rFonts w:hint="eastAsia"/>
          <w:vertAlign w:val="superscript"/>
        </w:rPr>
        <w:t>3</w:t>
      </w:r>
      <w:r>
        <w:rPr>
          <w:rFonts w:ascii="宋体" w:hAnsi="宋体" w:hint="eastAsia"/>
        </w:rPr>
        <w:t>的洒水车对露天采场各</w:t>
      </w:r>
      <w:proofErr w:type="gramStart"/>
      <w:r>
        <w:rPr>
          <w:rFonts w:ascii="宋体" w:hAnsi="宋体" w:hint="eastAsia"/>
        </w:rPr>
        <w:t>产尘点</w:t>
      </w:r>
      <w:proofErr w:type="gramEnd"/>
      <w:r>
        <w:rPr>
          <w:rFonts w:ascii="宋体" w:hAnsi="宋体" w:hint="eastAsia"/>
        </w:rPr>
        <w:t>进行防尘洒水。</w:t>
      </w:r>
    </w:p>
    <w:p w14:paraId="150DF252" w14:textId="77777777" w:rsidR="00E579B9" w:rsidRDefault="006A1398">
      <w:pPr>
        <w:pStyle w:val="226"/>
        <w:numPr>
          <w:ilvl w:val="0"/>
          <w:numId w:val="5"/>
        </w:numPr>
        <w:spacing w:line="360" w:lineRule="auto"/>
        <w:ind w:firstLineChars="0"/>
      </w:pPr>
      <w:r>
        <w:rPr>
          <w:rFonts w:hint="eastAsia"/>
        </w:rPr>
        <w:t>破碎车间防尘洒水</w:t>
      </w:r>
    </w:p>
    <w:p w14:paraId="5315E205" w14:textId="77777777" w:rsidR="00E579B9" w:rsidRDefault="006A1398">
      <w:pPr>
        <w:adjustRightInd w:val="0"/>
        <w:snapToGrid w:val="0"/>
        <w:rPr>
          <w:rFonts w:ascii="宋体" w:hAnsi="宋体" w:cs="Times New Roman"/>
          <w:szCs w:val="24"/>
        </w:rPr>
      </w:pPr>
      <w:r>
        <w:rPr>
          <w:rFonts w:ascii="宋体" w:hAnsi="宋体" w:hint="eastAsia"/>
        </w:rPr>
        <w:t>项目破碎车间进料口、产品仓库均设置喷雾洒水装置，</w:t>
      </w:r>
      <w:r>
        <w:rPr>
          <w:rFonts w:ascii="宋体" w:hAnsi="宋体" w:cs="Times New Roman"/>
          <w:szCs w:val="24"/>
        </w:rPr>
        <w:t>本项目料场面积为</w:t>
      </w:r>
      <w:r>
        <w:rPr>
          <w:rFonts w:cs="Times New Roman"/>
          <w:szCs w:val="24"/>
        </w:rPr>
        <w:t>26666.8m</w:t>
      </w:r>
      <w:r>
        <w:rPr>
          <w:rFonts w:cs="Times New Roman"/>
          <w:szCs w:val="24"/>
          <w:vertAlign w:val="superscript"/>
        </w:rPr>
        <w:t>2</w:t>
      </w:r>
      <w:r>
        <w:rPr>
          <w:rFonts w:ascii="宋体" w:hAnsi="宋体" w:cs="Times New Roman"/>
          <w:szCs w:val="24"/>
        </w:rPr>
        <w:t>，</w:t>
      </w:r>
      <w:proofErr w:type="gramStart"/>
      <w:r>
        <w:rPr>
          <w:rFonts w:ascii="宋体" w:hAnsi="宋体" w:cs="Times New Roman"/>
          <w:szCs w:val="24"/>
        </w:rPr>
        <w:t>洒水抑尘用水</w:t>
      </w:r>
      <w:proofErr w:type="gramEnd"/>
      <w:r>
        <w:rPr>
          <w:rFonts w:ascii="宋体" w:hAnsi="宋体" w:cs="Times New Roman"/>
          <w:szCs w:val="24"/>
        </w:rPr>
        <w:t>定额按照</w:t>
      </w:r>
      <w:r>
        <w:rPr>
          <w:rFonts w:cs="Times New Roman"/>
          <w:szCs w:val="24"/>
        </w:rPr>
        <w:t>1m</w:t>
      </w:r>
      <w:r>
        <w:rPr>
          <w:rFonts w:cs="Times New Roman"/>
          <w:szCs w:val="24"/>
          <w:vertAlign w:val="superscript"/>
        </w:rPr>
        <w:t>3</w:t>
      </w:r>
      <w:r>
        <w:rPr>
          <w:rFonts w:cs="Times New Roman"/>
          <w:szCs w:val="24"/>
        </w:rPr>
        <w:t>/</w:t>
      </w:r>
      <w:r>
        <w:rPr>
          <w:rFonts w:ascii="宋体" w:hAnsi="宋体" w:cs="Times New Roman"/>
          <w:szCs w:val="24"/>
        </w:rPr>
        <w:t>每</w:t>
      </w:r>
      <w:r>
        <w:rPr>
          <w:rFonts w:cs="Times New Roman"/>
          <w:szCs w:val="24"/>
        </w:rPr>
        <w:t>m</w:t>
      </w:r>
      <w:r>
        <w:rPr>
          <w:rFonts w:cs="Times New Roman"/>
          <w:szCs w:val="24"/>
          <w:vertAlign w:val="superscript"/>
        </w:rPr>
        <w:t>2</w:t>
      </w:r>
      <w:r>
        <w:rPr>
          <w:rFonts w:cs="Times New Roman"/>
          <w:szCs w:val="24"/>
        </w:rPr>
        <w:t>·</w:t>
      </w:r>
      <w:r>
        <w:rPr>
          <w:rFonts w:ascii="宋体" w:hAnsi="宋体" w:cs="Times New Roman"/>
          <w:szCs w:val="24"/>
        </w:rPr>
        <w:t>每年计算，</w:t>
      </w:r>
      <w:proofErr w:type="gramStart"/>
      <w:r>
        <w:rPr>
          <w:rFonts w:ascii="宋体" w:hAnsi="宋体" w:cs="Times New Roman"/>
          <w:szCs w:val="24"/>
        </w:rPr>
        <w:t>抑尘洒水</w:t>
      </w:r>
      <w:proofErr w:type="gramEnd"/>
      <w:r>
        <w:rPr>
          <w:rFonts w:ascii="宋体" w:hAnsi="宋体" w:cs="Times New Roman"/>
          <w:szCs w:val="24"/>
        </w:rPr>
        <w:t>用水量约</w:t>
      </w:r>
      <w:r>
        <w:rPr>
          <w:rFonts w:cs="Times New Roman"/>
          <w:szCs w:val="24"/>
        </w:rPr>
        <w:t>26666.8m</w:t>
      </w:r>
      <w:r>
        <w:rPr>
          <w:rFonts w:cs="Times New Roman"/>
          <w:szCs w:val="24"/>
          <w:vertAlign w:val="superscript"/>
        </w:rPr>
        <w:t>3</w:t>
      </w:r>
      <w:r>
        <w:rPr>
          <w:rFonts w:cs="Times New Roman"/>
          <w:szCs w:val="24"/>
        </w:rPr>
        <w:t>/a</w:t>
      </w:r>
      <w:r>
        <w:rPr>
          <w:rFonts w:ascii="宋体" w:hAnsi="宋体" w:cs="Times New Roman"/>
          <w:szCs w:val="24"/>
        </w:rPr>
        <w:t>（即</w:t>
      </w:r>
      <w:r>
        <w:rPr>
          <w:rFonts w:cs="Times New Roman"/>
          <w:szCs w:val="24"/>
        </w:rPr>
        <w:t>95.24m</w:t>
      </w:r>
      <w:r>
        <w:rPr>
          <w:rFonts w:cs="Times New Roman"/>
          <w:szCs w:val="24"/>
          <w:vertAlign w:val="superscript"/>
        </w:rPr>
        <w:t>3</w:t>
      </w:r>
      <w:r>
        <w:rPr>
          <w:rFonts w:cs="Times New Roman"/>
          <w:szCs w:val="24"/>
        </w:rPr>
        <w:t>/d</w:t>
      </w:r>
      <w:r>
        <w:rPr>
          <w:rFonts w:ascii="宋体" w:hAnsi="宋体" w:cs="Times New Roman"/>
          <w:szCs w:val="24"/>
        </w:rPr>
        <w:t>）。</w:t>
      </w:r>
      <w:proofErr w:type="gramStart"/>
      <w:r>
        <w:rPr>
          <w:rFonts w:ascii="宋体" w:hAnsi="宋体" w:cs="Times New Roman" w:hint="eastAsia"/>
          <w:szCs w:val="24"/>
        </w:rPr>
        <w:t>其中</w:t>
      </w:r>
      <w:r>
        <w:rPr>
          <w:rFonts w:ascii="宋体" w:hAnsi="宋体" w:cs="Times New Roman"/>
          <w:szCs w:val="24"/>
        </w:rPr>
        <w:t>回</w:t>
      </w:r>
      <w:proofErr w:type="gramEnd"/>
      <w:r>
        <w:rPr>
          <w:rFonts w:ascii="宋体" w:hAnsi="宋体" w:cs="Times New Roman"/>
          <w:szCs w:val="24"/>
        </w:rPr>
        <w:t>用水量</w:t>
      </w:r>
      <w:r>
        <w:rPr>
          <w:rFonts w:ascii="宋体" w:hAnsi="宋体" w:cs="Times New Roman" w:hint="eastAsia"/>
          <w:szCs w:val="24"/>
        </w:rPr>
        <w:t>用量</w:t>
      </w:r>
      <w:r>
        <w:rPr>
          <w:rFonts w:ascii="宋体" w:hAnsi="宋体" w:cs="Times New Roman"/>
          <w:szCs w:val="24"/>
        </w:rPr>
        <w:t>为</w:t>
      </w:r>
      <w:r>
        <w:rPr>
          <w:rFonts w:ascii="宋体" w:hAnsi="宋体" w:cs="Times New Roman" w:hint="eastAsia"/>
          <w:szCs w:val="24"/>
        </w:rPr>
        <w:t>7.632</w:t>
      </w:r>
      <w:r>
        <w:rPr>
          <w:rFonts w:cs="Times New Roman"/>
          <w:szCs w:val="24"/>
        </w:rPr>
        <w:t>m</w:t>
      </w:r>
      <w:r>
        <w:rPr>
          <w:rFonts w:cs="Times New Roman"/>
          <w:szCs w:val="24"/>
          <w:vertAlign w:val="superscript"/>
        </w:rPr>
        <w:t>3</w:t>
      </w:r>
      <w:r>
        <w:rPr>
          <w:rFonts w:cs="Times New Roman"/>
          <w:szCs w:val="24"/>
        </w:rPr>
        <w:t>/d</w:t>
      </w:r>
      <w:r>
        <w:rPr>
          <w:rFonts w:cs="Times New Roman" w:hint="eastAsia"/>
          <w:szCs w:val="24"/>
        </w:rPr>
        <w:t>（</w:t>
      </w:r>
      <w:r>
        <w:rPr>
          <w:rFonts w:cs="Times New Roman" w:hint="eastAsia"/>
          <w:szCs w:val="24"/>
        </w:rPr>
        <w:t>1831.68</w:t>
      </w:r>
      <w:r>
        <w:rPr>
          <w:rFonts w:cs="Times New Roman"/>
          <w:szCs w:val="24"/>
        </w:rPr>
        <w:t>m</w:t>
      </w:r>
      <w:r>
        <w:rPr>
          <w:rFonts w:cs="Times New Roman"/>
          <w:szCs w:val="24"/>
          <w:vertAlign w:val="superscript"/>
        </w:rPr>
        <w:t>3</w:t>
      </w:r>
      <w:r>
        <w:rPr>
          <w:rFonts w:cs="Times New Roman"/>
          <w:szCs w:val="24"/>
        </w:rPr>
        <w:t>/a</w:t>
      </w:r>
      <w:r>
        <w:rPr>
          <w:rFonts w:cs="Times New Roman" w:hint="eastAsia"/>
          <w:szCs w:val="24"/>
        </w:rPr>
        <w:t>），</w:t>
      </w:r>
      <w:r>
        <w:rPr>
          <w:rFonts w:cs="Times New Roman"/>
          <w:szCs w:val="24"/>
        </w:rPr>
        <w:t>新鲜水用量为</w:t>
      </w:r>
      <w:r>
        <w:rPr>
          <w:rFonts w:cs="Times New Roman" w:hint="eastAsia"/>
          <w:szCs w:val="24"/>
        </w:rPr>
        <w:t>87.608</w:t>
      </w:r>
      <w:r>
        <w:rPr>
          <w:rFonts w:cs="Times New Roman"/>
          <w:szCs w:val="24"/>
        </w:rPr>
        <w:t>m</w:t>
      </w:r>
      <w:r>
        <w:rPr>
          <w:rFonts w:cs="Times New Roman"/>
          <w:szCs w:val="24"/>
          <w:vertAlign w:val="superscript"/>
        </w:rPr>
        <w:t>3</w:t>
      </w:r>
      <w:r>
        <w:rPr>
          <w:rFonts w:cs="Times New Roman"/>
          <w:szCs w:val="24"/>
        </w:rPr>
        <w:t>/d</w:t>
      </w:r>
      <w:r>
        <w:rPr>
          <w:rFonts w:cs="Times New Roman" w:hint="eastAsia"/>
          <w:szCs w:val="24"/>
        </w:rPr>
        <w:t>（</w:t>
      </w:r>
      <w:r>
        <w:rPr>
          <w:rFonts w:cs="Times New Roman"/>
          <w:szCs w:val="24"/>
        </w:rPr>
        <w:t>24530.24m</w:t>
      </w:r>
      <w:r>
        <w:rPr>
          <w:rFonts w:cs="Times New Roman"/>
          <w:szCs w:val="24"/>
          <w:vertAlign w:val="superscript"/>
        </w:rPr>
        <w:t>3</w:t>
      </w:r>
      <w:r>
        <w:rPr>
          <w:rFonts w:cs="Times New Roman"/>
          <w:szCs w:val="24"/>
        </w:rPr>
        <w:t>/a</w:t>
      </w:r>
      <w:r>
        <w:rPr>
          <w:rFonts w:cs="Times New Roman" w:hint="eastAsia"/>
          <w:szCs w:val="24"/>
        </w:rPr>
        <w:t>）。</w:t>
      </w:r>
      <w:r>
        <w:rPr>
          <w:rFonts w:ascii="宋体" w:hAnsi="宋体" w:hint="eastAsia"/>
        </w:rPr>
        <w:t>该部分用水全部被物料吸收或自然蒸发，无废水产生。</w:t>
      </w:r>
    </w:p>
    <w:p w14:paraId="098CB66E" w14:textId="77777777" w:rsidR="00E579B9" w:rsidRDefault="006A1398">
      <w:pPr>
        <w:pStyle w:val="226"/>
        <w:numPr>
          <w:ilvl w:val="0"/>
          <w:numId w:val="5"/>
        </w:numPr>
        <w:spacing w:line="360" w:lineRule="auto"/>
        <w:ind w:firstLineChars="0"/>
      </w:pPr>
      <w:r>
        <w:rPr>
          <w:rFonts w:hint="eastAsia"/>
        </w:rPr>
        <w:lastRenderedPageBreak/>
        <w:t>车辆冲洗装置废水</w:t>
      </w:r>
    </w:p>
    <w:p w14:paraId="763F60EA" w14:textId="77777777" w:rsidR="00E579B9" w:rsidRDefault="006A1398">
      <w:pPr>
        <w:pStyle w:val="226"/>
        <w:spacing w:line="360" w:lineRule="auto"/>
      </w:pPr>
      <w:r>
        <w:rPr>
          <w:rFonts w:ascii="宋体" w:hAnsi="宋体" w:hint="eastAsia"/>
        </w:rPr>
        <w:t>为降低运输过程中的扬尘产生，评价要求在矿区进出口处设置轮胎清洗装置，并利用利用施工期在矿区进出口设立</w:t>
      </w:r>
      <w:r>
        <w:t>6×8m</w:t>
      </w:r>
      <w:r>
        <w:rPr>
          <w:rFonts w:ascii="宋体" w:hAnsi="宋体" w:hint="eastAsia"/>
        </w:rPr>
        <w:t>的洗车台，并设置</w:t>
      </w:r>
      <w:r>
        <w:rPr>
          <w:rFonts w:hint="eastAsia"/>
        </w:rPr>
        <w:t>5</w:t>
      </w:r>
      <w:r>
        <w:t>m</w:t>
      </w:r>
      <w:r>
        <w:rPr>
          <w:vertAlign w:val="superscript"/>
        </w:rPr>
        <w:t>3</w:t>
      </w:r>
      <w:r>
        <w:rPr>
          <w:rFonts w:ascii="宋体" w:hAnsi="宋体" w:hint="eastAsia"/>
        </w:rPr>
        <w:t>的沉淀池</w:t>
      </w:r>
      <w:r>
        <w:t>1</w:t>
      </w:r>
      <w:r>
        <w:rPr>
          <w:rFonts w:ascii="宋体" w:hAnsi="宋体" w:hint="eastAsia"/>
        </w:rPr>
        <w:t>座，将轮胎</w:t>
      </w:r>
      <w:proofErr w:type="gramStart"/>
      <w:r>
        <w:rPr>
          <w:rFonts w:ascii="宋体" w:hAnsi="宋体" w:hint="eastAsia"/>
        </w:rPr>
        <w:t>清洗水</w:t>
      </w:r>
      <w:proofErr w:type="gramEnd"/>
      <w:r>
        <w:rPr>
          <w:rFonts w:ascii="宋体" w:hAnsi="宋体" w:hint="eastAsia"/>
        </w:rPr>
        <w:t>进行沉淀处理后重复利用，不外排。项目产品运输车辆进出厂区约</w:t>
      </w:r>
      <w:r>
        <w:t>330</w:t>
      </w:r>
      <w:r>
        <w:rPr>
          <w:rFonts w:ascii="宋体" w:hAnsi="宋体" w:hint="eastAsia"/>
        </w:rPr>
        <w:t>次</w:t>
      </w:r>
      <w:r>
        <w:t>/d</w:t>
      </w:r>
      <w:r>
        <w:rPr>
          <w:rFonts w:ascii="宋体" w:hAnsi="宋体" w:hint="eastAsia"/>
        </w:rPr>
        <w:t>，车辆</w:t>
      </w:r>
      <w:proofErr w:type="gramStart"/>
      <w:r>
        <w:rPr>
          <w:rFonts w:ascii="宋体" w:hAnsi="宋体" w:hint="eastAsia"/>
        </w:rPr>
        <w:t>冲洗按</w:t>
      </w:r>
      <w:proofErr w:type="gramEnd"/>
      <w:r>
        <w:t>10L/</w:t>
      </w:r>
      <w:r>
        <w:rPr>
          <w:rFonts w:ascii="宋体" w:hAnsi="宋体" w:hint="eastAsia"/>
        </w:rPr>
        <w:t>车计算，需要水</w:t>
      </w:r>
      <w:r>
        <w:t>3.3m</w:t>
      </w:r>
      <w:r>
        <w:rPr>
          <w:vertAlign w:val="superscript"/>
        </w:rPr>
        <w:t>3</w:t>
      </w:r>
      <w:r>
        <w:t>/d</w:t>
      </w:r>
      <w:r>
        <w:rPr>
          <w:rFonts w:ascii="宋体" w:hAnsi="宋体" w:hint="eastAsia"/>
        </w:rPr>
        <w:t>，冲洗后的废水流入循环水池沉淀后回用于洗车作业，补充水量约为用水量的</w:t>
      </w:r>
      <w:r>
        <w:rPr>
          <w:rFonts w:hint="eastAsia"/>
        </w:rPr>
        <w:t>20%</w:t>
      </w:r>
      <w:r>
        <w:rPr>
          <w:rFonts w:ascii="宋体" w:hAnsi="宋体" w:hint="eastAsia"/>
        </w:rPr>
        <w:t>，补充水量约为</w:t>
      </w:r>
      <w:r>
        <w:rPr>
          <w:rFonts w:cs="Times New Roman"/>
        </w:rPr>
        <w:t>0.66</w:t>
      </w:r>
      <w:r>
        <w:rPr>
          <w:rFonts w:cs="Times New Roman" w:hint="eastAsia"/>
        </w:rPr>
        <w:t>m</w:t>
      </w:r>
      <w:r>
        <w:rPr>
          <w:rFonts w:hint="eastAsia"/>
          <w:vertAlign w:val="superscript"/>
        </w:rPr>
        <w:t>3</w:t>
      </w:r>
      <w:r>
        <w:rPr>
          <w:rFonts w:hint="eastAsia"/>
        </w:rPr>
        <w:t>/d</w:t>
      </w:r>
      <w:r>
        <w:rPr>
          <w:rFonts w:ascii="宋体" w:hAnsi="宋体" w:hint="eastAsia"/>
        </w:rPr>
        <w:t>。</w:t>
      </w:r>
    </w:p>
    <w:p w14:paraId="7875F1BB" w14:textId="77777777" w:rsidR="00E579B9" w:rsidRDefault="006A1398">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t>生活污水</w:t>
      </w:r>
    </w:p>
    <w:p w14:paraId="5FC79588" w14:textId="77777777" w:rsidR="00E579B9" w:rsidRDefault="006A1398">
      <w:r>
        <w:t>项目劳动定员为</w:t>
      </w:r>
      <w:r>
        <w:rPr>
          <w:rFonts w:hint="eastAsia"/>
        </w:rPr>
        <w:t>159</w:t>
      </w:r>
      <w:r>
        <w:t>人，</w:t>
      </w:r>
      <w:r>
        <w:rPr>
          <w:rFonts w:hint="eastAsia"/>
        </w:rPr>
        <w:t>大部分</w:t>
      </w:r>
      <w:r>
        <w:t>为附近村民不在厂内食宿，</w:t>
      </w:r>
      <w:r>
        <w:rPr>
          <w:rFonts w:hint="eastAsia"/>
        </w:rPr>
        <w:t>矿区设置旱厕</w:t>
      </w:r>
      <w:r>
        <w:t>，因此</w:t>
      </w:r>
      <w:r>
        <w:rPr>
          <w:rFonts w:hint="eastAsia"/>
        </w:rPr>
        <w:t>矿区工人</w:t>
      </w:r>
      <w:r>
        <w:t>按</w:t>
      </w:r>
      <w:r>
        <w:t>60L/d•</w:t>
      </w:r>
      <w:r>
        <w:t>人计，则生活用水量为</w:t>
      </w:r>
      <w:r>
        <w:t>9.54m</w:t>
      </w:r>
      <w:r>
        <w:rPr>
          <w:vertAlign w:val="superscript"/>
        </w:rPr>
        <w:t>3</w:t>
      </w:r>
      <w:r>
        <w:t>/d</w:t>
      </w:r>
      <w:r>
        <w:t>（</w:t>
      </w:r>
      <w:r>
        <w:t>2671.2m</w:t>
      </w:r>
      <w:r>
        <w:rPr>
          <w:vertAlign w:val="superscript"/>
        </w:rPr>
        <w:t>3</w:t>
      </w:r>
      <w:r>
        <w:t>/a</w:t>
      </w:r>
      <w:r>
        <w:t>），</w:t>
      </w:r>
      <w:r>
        <w:rPr>
          <w:rFonts w:hint="eastAsia"/>
        </w:rPr>
        <w:t>采矿区</w:t>
      </w:r>
      <w:r>
        <w:t>生活污水产生量为</w:t>
      </w:r>
      <w:r>
        <w:t>7.632m</w:t>
      </w:r>
      <w:r>
        <w:rPr>
          <w:vertAlign w:val="superscript"/>
        </w:rPr>
        <w:t>3</w:t>
      </w:r>
      <w:r>
        <w:t>/d</w:t>
      </w:r>
      <w:r>
        <w:t>（</w:t>
      </w:r>
      <w:r>
        <w:t>2136.93m</w:t>
      </w:r>
      <w:r>
        <w:rPr>
          <w:vertAlign w:val="superscript"/>
        </w:rPr>
        <w:t>3</w:t>
      </w:r>
      <w:r>
        <w:t>/a</w:t>
      </w:r>
      <w:r>
        <w:t>），主要为职工日常</w:t>
      </w:r>
      <w:r>
        <w:rPr>
          <w:rFonts w:hint="eastAsia"/>
        </w:rPr>
        <w:t>盥洗</w:t>
      </w:r>
      <w:r>
        <w:t>废水和粪污水，</w:t>
      </w:r>
      <w:r>
        <w:rPr>
          <w:rFonts w:hint="eastAsia"/>
        </w:rPr>
        <w:t>盥洗</w:t>
      </w:r>
      <w:r>
        <w:t>废水经</w:t>
      </w:r>
      <w:r>
        <w:t>10m</w:t>
      </w:r>
      <w:r>
        <w:rPr>
          <w:vertAlign w:val="superscript"/>
        </w:rPr>
        <w:t>3</w:t>
      </w:r>
      <w:r>
        <w:rPr>
          <w:rFonts w:hint="eastAsia"/>
        </w:rPr>
        <w:t>一体化处理</w:t>
      </w:r>
      <w:r>
        <w:t>后用于厂区洒水降尘</w:t>
      </w:r>
      <w:r>
        <w:rPr>
          <w:rFonts w:hint="eastAsia"/>
        </w:rPr>
        <w:t>，不外排。</w:t>
      </w:r>
      <w:r>
        <w:t>旱厕</w:t>
      </w:r>
      <w:proofErr w:type="gramStart"/>
      <w:r>
        <w:t>粪污由附近</w:t>
      </w:r>
      <w:proofErr w:type="gramEnd"/>
      <w:r>
        <w:t>村民拉走用于</w:t>
      </w:r>
      <w:r>
        <w:rPr>
          <w:rFonts w:hint="eastAsia"/>
        </w:rPr>
        <w:t>肥田。</w:t>
      </w:r>
    </w:p>
    <w:p w14:paraId="06C07354" w14:textId="77777777" w:rsidR="00E579B9" w:rsidRDefault="006A1398">
      <w:pPr>
        <w:jc w:val="center"/>
        <w:rPr>
          <w:rFonts w:cs="Times New Roman"/>
          <w:szCs w:val="24"/>
        </w:rPr>
      </w:pPr>
      <w:r>
        <w:rPr>
          <w:rStyle w:val="a4"/>
          <w:rFonts w:ascii="黑体" w:eastAsia="黑体" w:hAnsi="黑体"/>
        </w:rPr>
        <w:t>表3.</w:t>
      </w:r>
      <w:r>
        <w:rPr>
          <w:rStyle w:val="a4"/>
          <w:rFonts w:ascii="黑体" w:eastAsia="黑体" w:hAnsi="黑体" w:hint="eastAsia"/>
        </w:rPr>
        <w:t>5-1</w:t>
      </w:r>
      <w:r>
        <w:rPr>
          <w:rStyle w:val="a4"/>
          <w:rFonts w:ascii="黑体" w:eastAsia="黑体" w:hAnsi="黑体"/>
        </w:rPr>
        <w:t>本项目营运期用水情况表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351"/>
        <w:gridCol w:w="1078"/>
        <w:gridCol w:w="1250"/>
        <w:gridCol w:w="794"/>
        <w:gridCol w:w="899"/>
        <w:gridCol w:w="1006"/>
        <w:gridCol w:w="931"/>
        <w:gridCol w:w="985"/>
      </w:tblGrid>
      <w:tr w:rsidR="00E579B9" w14:paraId="7D8569C6" w14:textId="77777777">
        <w:trPr>
          <w:trHeight w:val="272"/>
          <w:jc w:val="center"/>
        </w:trPr>
        <w:tc>
          <w:tcPr>
            <w:tcW w:w="426" w:type="dxa"/>
            <w:vMerge w:val="restart"/>
            <w:vAlign w:val="center"/>
          </w:tcPr>
          <w:p w14:paraId="201506BA"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序号</w:t>
            </w:r>
          </w:p>
        </w:tc>
        <w:tc>
          <w:tcPr>
            <w:tcW w:w="1351" w:type="dxa"/>
            <w:vMerge w:val="restart"/>
            <w:vAlign w:val="center"/>
          </w:tcPr>
          <w:p w14:paraId="61AFE3A9"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类别</w:t>
            </w:r>
          </w:p>
        </w:tc>
        <w:tc>
          <w:tcPr>
            <w:tcW w:w="1078" w:type="dxa"/>
            <w:vMerge w:val="restart"/>
            <w:vAlign w:val="center"/>
          </w:tcPr>
          <w:p w14:paraId="33BDBF49"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指标</w:t>
            </w:r>
          </w:p>
        </w:tc>
        <w:tc>
          <w:tcPr>
            <w:tcW w:w="1250" w:type="dxa"/>
            <w:vMerge w:val="restart"/>
            <w:vAlign w:val="center"/>
          </w:tcPr>
          <w:p w14:paraId="116014C9"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数量</w:t>
            </w:r>
          </w:p>
        </w:tc>
        <w:tc>
          <w:tcPr>
            <w:tcW w:w="794" w:type="dxa"/>
          </w:tcPr>
          <w:p w14:paraId="2E0A1E84"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回用水量</w:t>
            </w:r>
          </w:p>
        </w:tc>
        <w:tc>
          <w:tcPr>
            <w:tcW w:w="1905" w:type="dxa"/>
            <w:gridSpan w:val="2"/>
          </w:tcPr>
          <w:p w14:paraId="554169F8"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新鲜水用水量</w:t>
            </w:r>
          </w:p>
        </w:tc>
        <w:tc>
          <w:tcPr>
            <w:tcW w:w="1916" w:type="dxa"/>
            <w:gridSpan w:val="2"/>
          </w:tcPr>
          <w:p w14:paraId="498B3BE4"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排水量</w:t>
            </w:r>
          </w:p>
        </w:tc>
      </w:tr>
      <w:tr w:rsidR="00E579B9" w14:paraId="03D5632E" w14:textId="77777777">
        <w:trPr>
          <w:trHeight w:val="153"/>
          <w:jc w:val="center"/>
        </w:trPr>
        <w:tc>
          <w:tcPr>
            <w:tcW w:w="426" w:type="dxa"/>
            <w:vMerge/>
            <w:vAlign w:val="center"/>
          </w:tcPr>
          <w:p w14:paraId="0237C9DE" w14:textId="77777777" w:rsidR="00E579B9" w:rsidRDefault="00E579B9">
            <w:pPr>
              <w:spacing w:line="240" w:lineRule="auto"/>
              <w:ind w:firstLineChars="0" w:firstLine="0"/>
              <w:jc w:val="center"/>
              <w:rPr>
                <w:rFonts w:cs="Times New Roman"/>
                <w:sz w:val="21"/>
                <w:szCs w:val="21"/>
              </w:rPr>
            </w:pPr>
          </w:p>
        </w:tc>
        <w:tc>
          <w:tcPr>
            <w:tcW w:w="1351" w:type="dxa"/>
            <w:vMerge/>
            <w:vAlign w:val="center"/>
          </w:tcPr>
          <w:p w14:paraId="314803B8" w14:textId="77777777" w:rsidR="00E579B9" w:rsidRDefault="00E579B9">
            <w:pPr>
              <w:spacing w:line="240" w:lineRule="auto"/>
              <w:ind w:firstLineChars="0" w:firstLine="0"/>
              <w:jc w:val="center"/>
              <w:rPr>
                <w:rFonts w:cs="Times New Roman"/>
                <w:sz w:val="21"/>
                <w:szCs w:val="21"/>
              </w:rPr>
            </w:pPr>
          </w:p>
        </w:tc>
        <w:tc>
          <w:tcPr>
            <w:tcW w:w="1078" w:type="dxa"/>
            <w:vMerge/>
            <w:vAlign w:val="center"/>
          </w:tcPr>
          <w:p w14:paraId="32C37AEB" w14:textId="77777777" w:rsidR="00E579B9" w:rsidRDefault="00E579B9">
            <w:pPr>
              <w:spacing w:line="240" w:lineRule="auto"/>
              <w:ind w:firstLineChars="0" w:firstLine="0"/>
              <w:jc w:val="center"/>
              <w:rPr>
                <w:rFonts w:cs="Times New Roman"/>
                <w:sz w:val="21"/>
                <w:szCs w:val="21"/>
              </w:rPr>
            </w:pPr>
          </w:p>
        </w:tc>
        <w:tc>
          <w:tcPr>
            <w:tcW w:w="1250" w:type="dxa"/>
            <w:vMerge/>
            <w:vAlign w:val="center"/>
          </w:tcPr>
          <w:p w14:paraId="104F6862" w14:textId="77777777" w:rsidR="00E579B9" w:rsidRDefault="00E579B9">
            <w:pPr>
              <w:spacing w:line="240" w:lineRule="auto"/>
              <w:ind w:firstLineChars="0" w:firstLine="0"/>
              <w:jc w:val="center"/>
              <w:rPr>
                <w:rFonts w:cs="Times New Roman"/>
                <w:sz w:val="21"/>
                <w:szCs w:val="21"/>
              </w:rPr>
            </w:pPr>
          </w:p>
        </w:tc>
        <w:tc>
          <w:tcPr>
            <w:tcW w:w="794" w:type="dxa"/>
          </w:tcPr>
          <w:p w14:paraId="5164375D"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m</w:t>
            </w:r>
            <w:r>
              <w:rPr>
                <w:rFonts w:cs="Times New Roman"/>
                <w:sz w:val="21"/>
                <w:szCs w:val="21"/>
                <w:vertAlign w:val="superscript"/>
              </w:rPr>
              <w:t>3</w:t>
            </w:r>
            <w:r>
              <w:rPr>
                <w:rFonts w:cs="Times New Roman"/>
                <w:sz w:val="21"/>
                <w:szCs w:val="21"/>
              </w:rPr>
              <w:t>/d</w:t>
            </w:r>
          </w:p>
        </w:tc>
        <w:tc>
          <w:tcPr>
            <w:tcW w:w="899" w:type="dxa"/>
            <w:vAlign w:val="center"/>
          </w:tcPr>
          <w:p w14:paraId="0CACDABB"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m</w:t>
            </w:r>
            <w:r>
              <w:rPr>
                <w:rFonts w:cs="Times New Roman"/>
                <w:sz w:val="21"/>
                <w:szCs w:val="21"/>
                <w:vertAlign w:val="superscript"/>
              </w:rPr>
              <w:t>3</w:t>
            </w:r>
            <w:r>
              <w:rPr>
                <w:rFonts w:cs="Times New Roman"/>
                <w:sz w:val="21"/>
                <w:szCs w:val="21"/>
              </w:rPr>
              <w:t>/d</w:t>
            </w:r>
          </w:p>
        </w:tc>
        <w:tc>
          <w:tcPr>
            <w:tcW w:w="1006" w:type="dxa"/>
            <w:vAlign w:val="center"/>
          </w:tcPr>
          <w:p w14:paraId="5E4FF9A5"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m</w:t>
            </w:r>
            <w:r>
              <w:rPr>
                <w:rFonts w:cs="Times New Roman"/>
                <w:sz w:val="21"/>
                <w:szCs w:val="21"/>
                <w:vertAlign w:val="superscript"/>
              </w:rPr>
              <w:t>3</w:t>
            </w:r>
            <w:r>
              <w:rPr>
                <w:rFonts w:cs="Times New Roman"/>
                <w:sz w:val="21"/>
                <w:szCs w:val="21"/>
              </w:rPr>
              <w:t>/a</w:t>
            </w:r>
          </w:p>
        </w:tc>
        <w:tc>
          <w:tcPr>
            <w:tcW w:w="931" w:type="dxa"/>
          </w:tcPr>
          <w:p w14:paraId="3D29143F"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m</w:t>
            </w:r>
            <w:r>
              <w:rPr>
                <w:rFonts w:cs="Times New Roman"/>
                <w:sz w:val="21"/>
                <w:szCs w:val="21"/>
                <w:vertAlign w:val="superscript"/>
              </w:rPr>
              <w:t>3</w:t>
            </w:r>
            <w:r>
              <w:rPr>
                <w:rFonts w:cs="Times New Roman"/>
                <w:sz w:val="21"/>
                <w:szCs w:val="21"/>
              </w:rPr>
              <w:t>/d</w:t>
            </w:r>
          </w:p>
        </w:tc>
        <w:tc>
          <w:tcPr>
            <w:tcW w:w="985" w:type="dxa"/>
          </w:tcPr>
          <w:p w14:paraId="6BFA7E8A"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m</w:t>
            </w:r>
            <w:r>
              <w:rPr>
                <w:rFonts w:cs="Times New Roman"/>
                <w:sz w:val="21"/>
                <w:szCs w:val="21"/>
                <w:vertAlign w:val="superscript"/>
              </w:rPr>
              <w:t>3</w:t>
            </w:r>
            <w:r>
              <w:rPr>
                <w:rFonts w:cs="Times New Roman"/>
                <w:sz w:val="21"/>
                <w:szCs w:val="21"/>
              </w:rPr>
              <w:t>/a</w:t>
            </w:r>
          </w:p>
        </w:tc>
      </w:tr>
      <w:tr w:rsidR="00E579B9" w14:paraId="02833E42" w14:textId="77777777">
        <w:trPr>
          <w:trHeight w:val="289"/>
          <w:jc w:val="center"/>
        </w:trPr>
        <w:tc>
          <w:tcPr>
            <w:tcW w:w="426" w:type="dxa"/>
            <w:vAlign w:val="center"/>
          </w:tcPr>
          <w:p w14:paraId="2C4A96AE" w14:textId="77777777" w:rsidR="00E579B9" w:rsidRDefault="00E579B9">
            <w:pPr>
              <w:widowControl w:val="0"/>
              <w:numPr>
                <w:ilvl w:val="0"/>
                <w:numId w:val="6"/>
              </w:numPr>
              <w:spacing w:line="360" w:lineRule="exact"/>
              <w:ind w:firstLineChars="0"/>
              <w:contextualSpacing/>
              <w:jc w:val="center"/>
              <w:rPr>
                <w:rFonts w:cs="Times New Roman"/>
                <w:sz w:val="21"/>
                <w:szCs w:val="21"/>
              </w:rPr>
            </w:pPr>
          </w:p>
        </w:tc>
        <w:tc>
          <w:tcPr>
            <w:tcW w:w="1351" w:type="dxa"/>
            <w:vAlign w:val="center"/>
          </w:tcPr>
          <w:p w14:paraId="4483692D" w14:textId="77777777" w:rsidR="00E579B9" w:rsidRDefault="006A1398">
            <w:pPr>
              <w:widowControl w:val="0"/>
              <w:spacing w:line="360" w:lineRule="exact"/>
              <w:ind w:firstLineChars="0" w:firstLine="0"/>
              <w:contextualSpacing/>
              <w:jc w:val="center"/>
              <w:rPr>
                <w:rFonts w:cs="Times New Roman"/>
                <w:sz w:val="21"/>
                <w:szCs w:val="21"/>
              </w:rPr>
            </w:pPr>
            <w:proofErr w:type="gramStart"/>
            <w:r>
              <w:rPr>
                <w:rFonts w:cs="Times New Roman" w:hint="eastAsia"/>
                <w:sz w:val="21"/>
                <w:szCs w:val="21"/>
              </w:rPr>
              <w:t>道路</w:t>
            </w:r>
            <w:r>
              <w:rPr>
                <w:rFonts w:cs="Times New Roman"/>
                <w:sz w:val="21"/>
                <w:szCs w:val="21"/>
              </w:rPr>
              <w:t>抑尘洒水</w:t>
            </w:r>
            <w:proofErr w:type="gramEnd"/>
          </w:p>
        </w:tc>
        <w:tc>
          <w:tcPr>
            <w:tcW w:w="1078" w:type="dxa"/>
            <w:vAlign w:val="center"/>
          </w:tcPr>
          <w:p w14:paraId="0066C6A2" w14:textId="77777777" w:rsidR="00E579B9" w:rsidRDefault="006A1398">
            <w:pPr>
              <w:widowControl w:val="0"/>
              <w:spacing w:line="360" w:lineRule="exact"/>
              <w:ind w:firstLineChars="0" w:firstLine="0"/>
              <w:contextualSpacing/>
              <w:jc w:val="center"/>
              <w:rPr>
                <w:rFonts w:cs="Times New Roman"/>
                <w:sz w:val="21"/>
                <w:szCs w:val="21"/>
              </w:rPr>
            </w:pPr>
            <w:r>
              <w:rPr>
                <w:rFonts w:hint="eastAsia"/>
                <w:sz w:val="21"/>
                <w:szCs w:val="21"/>
              </w:rPr>
              <w:t>1.5</w:t>
            </w:r>
            <w:r>
              <w:rPr>
                <w:sz w:val="21"/>
                <w:szCs w:val="21"/>
              </w:rPr>
              <w:t>L/m</w:t>
            </w:r>
            <w:r>
              <w:rPr>
                <w:sz w:val="21"/>
                <w:szCs w:val="21"/>
                <w:vertAlign w:val="superscript"/>
              </w:rPr>
              <w:t>2</w:t>
            </w:r>
            <w:r>
              <w:rPr>
                <w:rFonts w:cs="Times New Roman"/>
                <w:sz w:val="21"/>
                <w:szCs w:val="21"/>
              </w:rPr>
              <w:t>·</w:t>
            </w:r>
            <w:r>
              <w:rPr>
                <w:sz w:val="21"/>
                <w:szCs w:val="21"/>
              </w:rPr>
              <w:t>d</w:t>
            </w:r>
          </w:p>
        </w:tc>
        <w:tc>
          <w:tcPr>
            <w:tcW w:w="1250" w:type="dxa"/>
            <w:vAlign w:val="center"/>
          </w:tcPr>
          <w:p w14:paraId="01DEDBD2"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2.5km</w:t>
            </w:r>
          </w:p>
        </w:tc>
        <w:tc>
          <w:tcPr>
            <w:tcW w:w="794" w:type="dxa"/>
            <w:vAlign w:val="center"/>
          </w:tcPr>
          <w:p w14:paraId="5DA3A5C9"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c>
          <w:tcPr>
            <w:tcW w:w="899" w:type="dxa"/>
            <w:vAlign w:val="center"/>
          </w:tcPr>
          <w:p w14:paraId="6A1BF575"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3.75</w:t>
            </w:r>
          </w:p>
        </w:tc>
        <w:tc>
          <w:tcPr>
            <w:tcW w:w="1006" w:type="dxa"/>
            <w:vAlign w:val="center"/>
          </w:tcPr>
          <w:p w14:paraId="4DA48788"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1050</w:t>
            </w:r>
          </w:p>
        </w:tc>
        <w:tc>
          <w:tcPr>
            <w:tcW w:w="931" w:type="dxa"/>
            <w:vAlign w:val="center"/>
          </w:tcPr>
          <w:p w14:paraId="3BF05A2D"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c>
          <w:tcPr>
            <w:tcW w:w="985" w:type="dxa"/>
            <w:vAlign w:val="center"/>
          </w:tcPr>
          <w:p w14:paraId="0EC04E29"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r>
      <w:tr w:rsidR="00E579B9" w14:paraId="504451A6" w14:textId="77777777">
        <w:trPr>
          <w:trHeight w:val="289"/>
          <w:jc w:val="center"/>
        </w:trPr>
        <w:tc>
          <w:tcPr>
            <w:tcW w:w="426" w:type="dxa"/>
            <w:vAlign w:val="center"/>
          </w:tcPr>
          <w:p w14:paraId="7FF828C3" w14:textId="77777777" w:rsidR="00E579B9" w:rsidRDefault="00E579B9">
            <w:pPr>
              <w:widowControl w:val="0"/>
              <w:numPr>
                <w:ilvl w:val="0"/>
                <w:numId w:val="6"/>
              </w:numPr>
              <w:spacing w:line="360" w:lineRule="exact"/>
              <w:ind w:firstLineChars="0"/>
              <w:contextualSpacing/>
              <w:jc w:val="center"/>
              <w:rPr>
                <w:rFonts w:cs="Times New Roman"/>
                <w:sz w:val="21"/>
                <w:szCs w:val="21"/>
              </w:rPr>
            </w:pPr>
          </w:p>
        </w:tc>
        <w:tc>
          <w:tcPr>
            <w:tcW w:w="1351" w:type="dxa"/>
            <w:vAlign w:val="center"/>
          </w:tcPr>
          <w:p w14:paraId="6E40C949"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矿石装卸</w:t>
            </w:r>
          </w:p>
        </w:tc>
        <w:tc>
          <w:tcPr>
            <w:tcW w:w="1078" w:type="dxa"/>
            <w:vAlign w:val="center"/>
          </w:tcPr>
          <w:p w14:paraId="4676DD72" w14:textId="77777777" w:rsidR="00E579B9" w:rsidRDefault="006A1398">
            <w:pPr>
              <w:widowControl w:val="0"/>
              <w:spacing w:line="360" w:lineRule="exact"/>
              <w:ind w:firstLineChars="0" w:firstLine="0"/>
              <w:contextualSpacing/>
              <w:jc w:val="center"/>
              <w:rPr>
                <w:rFonts w:cs="Times New Roman"/>
                <w:sz w:val="21"/>
                <w:szCs w:val="21"/>
              </w:rPr>
            </w:pPr>
            <w:r>
              <w:rPr>
                <w:rFonts w:hint="eastAsia"/>
                <w:sz w:val="21"/>
                <w:szCs w:val="21"/>
              </w:rPr>
              <w:t>10L/t</w:t>
            </w:r>
            <w:r>
              <w:rPr>
                <w:rFonts w:cs="Times New Roman"/>
                <w:sz w:val="21"/>
                <w:szCs w:val="21"/>
              </w:rPr>
              <w:t>·</w:t>
            </w:r>
            <w:r>
              <w:rPr>
                <w:rFonts w:ascii="宋体" w:hAnsi="宋体" w:hint="eastAsia"/>
                <w:sz w:val="21"/>
                <w:szCs w:val="21"/>
              </w:rPr>
              <w:t>矿石</w:t>
            </w:r>
          </w:p>
        </w:tc>
        <w:tc>
          <w:tcPr>
            <w:tcW w:w="1250" w:type="dxa"/>
            <w:vAlign w:val="center"/>
          </w:tcPr>
          <w:p w14:paraId="591A35DB"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8214t</w:t>
            </w:r>
          </w:p>
        </w:tc>
        <w:tc>
          <w:tcPr>
            <w:tcW w:w="794" w:type="dxa"/>
            <w:vAlign w:val="center"/>
          </w:tcPr>
          <w:p w14:paraId="5D90EB6C"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c>
          <w:tcPr>
            <w:tcW w:w="899" w:type="dxa"/>
            <w:vAlign w:val="center"/>
          </w:tcPr>
          <w:p w14:paraId="1BA47869"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82.14</w:t>
            </w:r>
          </w:p>
        </w:tc>
        <w:tc>
          <w:tcPr>
            <w:tcW w:w="1006" w:type="dxa"/>
            <w:vAlign w:val="center"/>
          </w:tcPr>
          <w:p w14:paraId="0FAC1662"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23000</w:t>
            </w:r>
          </w:p>
        </w:tc>
        <w:tc>
          <w:tcPr>
            <w:tcW w:w="931" w:type="dxa"/>
            <w:vAlign w:val="center"/>
          </w:tcPr>
          <w:p w14:paraId="57E376F5"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c>
          <w:tcPr>
            <w:tcW w:w="985" w:type="dxa"/>
            <w:vAlign w:val="center"/>
          </w:tcPr>
          <w:p w14:paraId="4C57682D"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r>
      <w:tr w:rsidR="00E579B9" w14:paraId="5DBF3B96" w14:textId="77777777">
        <w:trPr>
          <w:trHeight w:val="289"/>
          <w:jc w:val="center"/>
        </w:trPr>
        <w:tc>
          <w:tcPr>
            <w:tcW w:w="426" w:type="dxa"/>
            <w:vAlign w:val="center"/>
          </w:tcPr>
          <w:p w14:paraId="67FD3C32" w14:textId="77777777" w:rsidR="00E579B9" w:rsidRDefault="00E579B9">
            <w:pPr>
              <w:widowControl w:val="0"/>
              <w:numPr>
                <w:ilvl w:val="0"/>
                <w:numId w:val="6"/>
              </w:numPr>
              <w:spacing w:line="360" w:lineRule="exact"/>
              <w:ind w:firstLineChars="0"/>
              <w:contextualSpacing/>
              <w:jc w:val="center"/>
              <w:rPr>
                <w:rFonts w:cs="Times New Roman"/>
                <w:sz w:val="21"/>
                <w:szCs w:val="21"/>
              </w:rPr>
            </w:pPr>
          </w:p>
        </w:tc>
        <w:tc>
          <w:tcPr>
            <w:tcW w:w="1351" w:type="dxa"/>
            <w:vAlign w:val="center"/>
          </w:tcPr>
          <w:p w14:paraId="78FB43C5"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凿岩、</w:t>
            </w:r>
            <w:proofErr w:type="gramStart"/>
            <w:r>
              <w:rPr>
                <w:rFonts w:cs="Times New Roman" w:hint="eastAsia"/>
                <w:sz w:val="21"/>
                <w:szCs w:val="21"/>
              </w:rPr>
              <w:t>爆破</w:t>
            </w:r>
            <w:r>
              <w:rPr>
                <w:rFonts w:cs="Times New Roman"/>
                <w:sz w:val="21"/>
                <w:szCs w:val="21"/>
              </w:rPr>
              <w:t>抑尘洒水</w:t>
            </w:r>
            <w:proofErr w:type="gramEnd"/>
          </w:p>
        </w:tc>
        <w:tc>
          <w:tcPr>
            <w:tcW w:w="1078" w:type="dxa"/>
            <w:vAlign w:val="center"/>
          </w:tcPr>
          <w:p w14:paraId="5A63D533"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w:t>
            </w:r>
          </w:p>
        </w:tc>
        <w:tc>
          <w:tcPr>
            <w:tcW w:w="1250" w:type="dxa"/>
            <w:vAlign w:val="center"/>
          </w:tcPr>
          <w:p w14:paraId="42F6F073"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w:t>
            </w:r>
          </w:p>
        </w:tc>
        <w:tc>
          <w:tcPr>
            <w:tcW w:w="794" w:type="dxa"/>
            <w:vAlign w:val="center"/>
          </w:tcPr>
          <w:p w14:paraId="16734D56"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c>
          <w:tcPr>
            <w:tcW w:w="899" w:type="dxa"/>
            <w:vAlign w:val="center"/>
          </w:tcPr>
          <w:p w14:paraId="606AA2C0"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5</w:t>
            </w:r>
          </w:p>
        </w:tc>
        <w:tc>
          <w:tcPr>
            <w:tcW w:w="1006" w:type="dxa"/>
            <w:vAlign w:val="center"/>
          </w:tcPr>
          <w:p w14:paraId="75F276AA"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1400</w:t>
            </w:r>
          </w:p>
        </w:tc>
        <w:tc>
          <w:tcPr>
            <w:tcW w:w="931" w:type="dxa"/>
            <w:vAlign w:val="center"/>
          </w:tcPr>
          <w:p w14:paraId="71BF4C91"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c>
          <w:tcPr>
            <w:tcW w:w="985" w:type="dxa"/>
            <w:vAlign w:val="center"/>
          </w:tcPr>
          <w:p w14:paraId="52E95DC5"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r>
      <w:tr w:rsidR="00E579B9" w14:paraId="14E4D9F9" w14:textId="77777777">
        <w:trPr>
          <w:trHeight w:val="289"/>
          <w:jc w:val="center"/>
        </w:trPr>
        <w:tc>
          <w:tcPr>
            <w:tcW w:w="426" w:type="dxa"/>
            <w:vAlign w:val="center"/>
          </w:tcPr>
          <w:p w14:paraId="0C5DCE59" w14:textId="77777777" w:rsidR="00E579B9" w:rsidRDefault="00E579B9">
            <w:pPr>
              <w:widowControl w:val="0"/>
              <w:numPr>
                <w:ilvl w:val="0"/>
                <w:numId w:val="6"/>
              </w:numPr>
              <w:spacing w:line="360" w:lineRule="exact"/>
              <w:ind w:firstLineChars="0"/>
              <w:contextualSpacing/>
              <w:jc w:val="both"/>
              <w:rPr>
                <w:rFonts w:cs="Times New Roman"/>
                <w:sz w:val="21"/>
                <w:szCs w:val="21"/>
              </w:rPr>
            </w:pPr>
          </w:p>
        </w:tc>
        <w:tc>
          <w:tcPr>
            <w:tcW w:w="1351" w:type="dxa"/>
            <w:vAlign w:val="center"/>
          </w:tcPr>
          <w:p w14:paraId="05C1F28B"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破碎</w:t>
            </w:r>
            <w:proofErr w:type="gramStart"/>
            <w:r>
              <w:rPr>
                <w:rFonts w:cs="Times New Roman" w:hint="eastAsia"/>
                <w:sz w:val="21"/>
                <w:szCs w:val="21"/>
              </w:rPr>
              <w:t>车间抑尘洒水</w:t>
            </w:r>
            <w:proofErr w:type="gramEnd"/>
          </w:p>
        </w:tc>
        <w:tc>
          <w:tcPr>
            <w:tcW w:w="1078" w:type="dxa"/>
            <w:vAlign w:val="center"/>
          </w:tcPr>
          <w:p w14:paraId="7C827989"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1m</w:t>
            </w:r>
            <w:r>
              <w:rPr>
                <w:rFonts w:cs="Times New Roman"/>
                <w:sz w:val="21"/>
                <w:szCs w:val="21"/>
                <w:vertAlign w:val="superscript"/>
              </w:rPr>
              <w:t>3</w:t>
            </w:r>
            <w:r>
              <w:rPr>
                <w:rFonts w:cs="Times New Roman"/>
                <w:sz w:val="21"/>
                <w:szCs w:val="21"/>
              </w:rPr>
              <w:t>/</w:t>
            </w:r>
            <w:r>
              <w:rPr>
                <w:rFonts w:ascii="宋体" w:hAnsi="宋体" w:cs="Times New Roman"/>
                <w:sz w:val="21"/>
                <w:szCs w:val="21"/>
              </w:rPr>
              <w:t>每</w:t>
            </w:r>
            <w:r>
              <w:rPr>
                <w:rFonts w:cs="Times New Roman"/>
                <w:sz w:val="21"/>
                <w:szCs w:val="21"/>
              </w:rPr>
              <w:t>m</w:t>
            </w:r>
            <w:r>
              <w:rPr>
                <w:rFonts w:cs="Times New Roman"/>
                <w:sz w:val="21"/>
                <w:szCs w:val="21"/>
                <w:vertAlign w:val="superscript"/>
              </w:rPr>
              <w:t>2</w:t>
            </w:r>
            <w:r>
              <w:rPr>
                <w:rFonts w:cs="Times New Roman"/>
                <w:sz w:val="21"/>
                <w:szCs w:val="21"/>
              </w:rPr>
              <w:t>·</w:t>
            </w:r>
            <w:r>
              <w:rPr>
                <w:rFonts w:ascii="宋体" w:hAnsi="宋体" w:cs="Times New Roman"/>
                <w:sz w:val="21"/>
                <w:szCs w:val="21"/>
              </w:rPr>
              <w:t>每年</w:t>
            </w:r>
          </w:p>
        </w:tc>
        <w:tc>
          <w:tcPr>
            <w:tcW w:w="1250" w:type="dxa"/>
            <w:vAlign w:val="center"/>
          </w:tcPr>
          <w:p w14:paraId="347D8211"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26666.8m</w:t>
            </w:r>
            <w:r>
              <w:rPr>
                <w:rFonts w:cs="Times New Roman"/>
                <w:sz w:val="21"/>
                <w:szCs w:val="21"/>
                <w:vertAlign w:val="superscript"/>
              </w:rPr>
              <w:t>2</w:t>
            </w:r>
          </w:p>
        </w:tc>
        <w:tc>
          <w:tcPr>
            <w:tcW w:w="794" w:type="dxa"/>
            <w:vAlign w:val="center"/>
          </w:tcPr>
          <w:p w14:paraId="4DF3A569"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7.632</w:t>
            </w:r>
          </w:p>
        </w:tc>
        <w:tc>
          <w:tcPr>
            <w:tcW w:w="899" w:type="dxa"/>
            <w:vAlign w:val="center"/>
          </w:tcPr>
          <w:p w14:paraId="171D81D1"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87.608</w:t>
            </w:r>
          </w:p>
        </w:tc>
        <w:tc>
          <w:tcPr>
            <w:tcW w:w="1006" w:type="dxa"/>
            <w:vAlign w:val="center"/>
          </w:tcPr>
          <w:p w14:paraId="6209EC24"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24530.24</w:t>
            </w:r>
          </w:p>
        </w:tc>
        <w:tc>
          <w:tcPr>
            <w:tcW w:w="931" w:type="dxa"/>
            <w:vAlign w:val="center"/>
          </w:tcPr>
          <w:p w14:paraId="31B50A4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0</w:t>
            </w:r>
          </w:p>
        </w:tc>
        <w:tc>
          <w:tcPr>
            <w:tcW w:w="985" w:type="dxa"/>
            <w:vAlign w:val="center"/>
          </w:tcPr>
          <w:p w14:paraId="09582089"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0</w:t>
            </w:r>
          </w:p>
        </w:tc>
      </w:tr>
      <w:tr w:rsidR="00E579B9" w14:paraId="5E0241DD" w14:textId="77777777">
        <w:trPr>
          <w:trHeight w:val="289"/>
          <w:jc w:val="center"/>
        </w:trPr>
        <w:tc>
          <w:tcPr>
            <w:tcW w:w="426" w:type="dxa"/>
            <w:vAlign w:val="center"/>
          </w:tcPr>
          <w:p w14:paraId="2A8AF3C2" w14:textId="77777777" w:rsidR="00E579B9" w:rsidRDefault="00E579B9">
            <w:pPr>
              <w:widowControl w:val="0"/>
              <w:numPr>
                <w:ilvl w:val="0"/>
                <w:numId w:val="6"/>
              </w:numPr>
              <w:spacing w:line="360" w:lineRule="exact"/>
              <w:ind w:firstLineChars="0"/>
              <w:contextualSpacing/>
              <w:jc w:val="both"/>
              <w:rPr>
                <w:rFonts w:cs="Times New Roman"/>
                <w:sz w:val="21"/>
                <w:szCs w:val="21"/>
              </w:rPr>
            </w:pPr>
          </w:p>
        </w:tc>
        <w:tc>
          <w:tcPr>
            <w:tcW w:w="1351" w:type="dxa"/>
            <w:vAlign w:val="center"/>
          </w:tcPr>
          <w:p w14:paraId="2FB62C33"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车辆</w:t>
            </w:r>
            <w:proofErr w:type="gramStart"/>
            <w:r>
              <w:rPr>
                <w:rFonts w:cs="Times New Roman"/>
                <w:sz w:val="21"/>
                <w:szCs w:val="21"/>
              </w:rPr>
              <w:t>清洗水</w:t>
            </w:r>
            <w:proofErr w:type="gramEnd"/>
          </w:p>
        </w:tc>
        <w:tc>
          <w:tcPr>
            <w:tcW w:w="1078" w:type="dxa"/>
            <w:vAlign w:val="center"/>
          </w:tcPr>
          <w:p w14:paraId="7ACA6861"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0.01m</w:t>
            </w:r>
            <w:r>
              <w:rPr>
                <w:rFonts w:cs="Times New Roman"/>
                <w:sz w:val="21"/>
                <w:szCs w:val="21"/>
                <w:vertAlign w:val="superscript"/>
              </w:rPr>
              <w:t>3</w:t>
            </w:r>
            <w:r>
              <w:rPr>
                <w:rFonts w:cs="Times New Roman"/>
                <w:sz w:val="21"/>
                <w:szCs w:val="21"/>
              </w:rPr>
              <w:t>/</w:t>
            </w:r>
            <w:r>
              <w:rPr>
                <w:rFonts w:ascii="宋体" w:hAnsi="宋体" w:cs="Times New Roman"/>
                <w:sz w:val="21"/>
                <w:szCs w:val="21"/>
              </w:rPr>
              <w:t>辆</w:t>
            </w:r>
            <w:r>
              <w:rPr>
                <w:rFonts w:cs="Times New Roman"/>
                <w:sz w:val="21"/>
                <w:szCs w:val="21"/>
              </w:rPr>
              <w:t>·</w:t>
            </w:r>
            <w:r>
              <w:rPr>
                <w:rFonts w:ascii="宋体" w:hAnsi="宋体" w:cs="Times New Roman"/>
                <w:sz w:val="21"/>
                <w:szCs w:val="21"/>
              </w:rPr>
              <w:t>次</w:t>
            </w:r>
          </w:p>
        </w:tc>
        <w:tc>
          <w:tcPr>
            <w:tcW w:w="1250" w:type="dxa"/>
            <w:vAlign w:val="center"/>
          </w:tcPr>
          <w:p w14:paraId="421358DC"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330</w:t>
            </w:r>
            <w:r>
              <w:rPr>
                <w:rFonts w:cs="Times New Roman" w:hint="eastAsia"/>
                <w:sz w:val="21"/>
                <w:szCs w:val="21"/>
              </w:rPr>
              <w:t>次</w:t>
            </w:r>
          </w:p>
        </w:tc>
        <w:tc>
          <w:tcPr>
            <w:tcW w:w="794" w:type="dxa"/>
            <w:vAlign w:val="center"/>
          </w:tcPr>
          <w:p w14:paraId="7B44C111"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c>
          <w:tcPr>
            <w:tcW w:w="899" w:type="dxa"/>
            <w:vAlign w:val="center"/>
          </w:tcPr>
          <w:p w14:paraId="17AF9E84"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0.66</w:t>
            </w:r>
          </w:p>
        </w:tc>
        <w:tc>
          <w:tcPr>
            <w:tcW w:w="1006" w:type="dxa"/>
            <w:vAlign w:val="center"/>
          </w:tcPr>
          <w:p w14:paraId="4760F2D0"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184.8</w:t>
            </w:r>
          </w:p>
        </w:tc>
        <w:tc>
          <w:tcPr>
            <w:tcW w:w="931" w:type="dxa"/>
            <w:vAlign w:val="center"/>
          </w:tcPr>
          <w:p w14:paraId="6D4FECA0"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0</w:t>
            </w:r>
          </w:p>
        </w:tc>
        <w:tc>
          <w:tcPr>
            <w:tcW w:w="985" w:type="dxa"/>
            <w:vAlign w:val="center"/>
          </w:tcPr>
          <w:p w14:paraId="2E35B8E0"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0</w:t>
            </w:r>
          </w:p>
        </w:tc>
      </w:tr>
      <w:tr w:rsidR="00E579B9" w14:paraId="0969CF4A" w14:textId="77777777">
        <w:trPr>
          <w:trHeight w:val="289"/>
          <w:jc w:val="center"/>
        </w:trPr>
        <w:tc>
          <w:tcPr>
            <w:tcW w:w="426" w:type="dxa"/>
            <w:vAlign w:val="center"/>
          </w:tcPr>
          <w:p w14:paraId="17A5A8FC" w14:textId="77777777" w:rsidR="00E579B9" w:rsidRDefault="00E579B9">
            <w:pPr>
              <w:widowControl w:val="0"/>
              <w:numPr>
                <w:ilvl w:val="0"/>
                <w:numId w:val="6"/>
              </w:numPr>
              <w:spacing w:line="360" w:lineRule="exact"/>
              <w:ind w:firstLineChars="0"/>
              <w:contextualSpacing/>
              <w:jc w:val="both"/>
              <w:rPr>
                <w:rFonts w:cs="Times New Roman"/>
                <w:sz w:val="21"/>
                <w:szCs w:val="21"/>
              </w:rPr>
            </w:pPr>
          </w:p>
        </w:tc>
        <w:tc>
          <w:tcPr>
            <w:tcW w:w="1351" w:type="dxa"/>
            <w:vAlign w:val="center"/>
          </w:tcPr>
          <w:p w14:paraId="49507C06"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生活用水</w:t>
            </w:r>
          </w:p>
        </w:tc>
        <w:tc>
          <w:tcPr>
            <w:tcW w:w="1078" w:type="dxa"/>
            <w:vAlign w:val="center"/>
          </w:tcPr>
          <w:p w14:paraId="2FB2E007"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60L/d·</w:t>
            </w:r>
            <w:r>
              <w:rPr>
                <w:rFonts w:ascii="宋体" w:hAnsi="宋体" w:cs="Times New Roman"/>
                <w:sz w:val="21"/>
                <w:szCs w:val="21"/>
              </w:rPr>
              <w:t>人</w:t>
            </w:r>
          </w:p>
        </w:tc>
        <w:tc>
          <w:tcPr>
            <w:tcW w:w="1250" w:type="dxa"/>
            <w:vAlign w:val="center"/>
          </w:tcPr>
          <w:p w14:paraId="7C492AF4"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159</w:t>
            </w:r>
            <w:r>
              <w:rPr>
                <w:rFonts w:cs="Times New Roman" w:hint="eastAsia"/>
                <w:sz w:val="21"/>
                <w:szCs w:val="21"/>
              </w:rPr>
              <w:t>人</w:t>
            </w:r>
          </w:p>
        </w:tc>
        <w:tc>
          <w:tcPr>
            <w:tcW w:w="794" w:type="dxa"/>
            <w:vAlign w:val="center"/>
          </w:tcPr>
          <w:p w14:paraId="1E01DE9C"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c>
          <w:tcPr>
            <w:tcW w:w="899" w:type="dxa"/>
            <w:vAlign w:val="center"/>
          </w:tcPr>
          <w:p w14:paraId="48C5C5D6"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9.54</w:t>
            </w:r>
          </w:p>
        </w:tc>
        <w:tc>
          <w:tcPr>
            <w:tcW w:w="1006" w:type="dxa"/>
            <w:vAlign w:val="center"/>
          </w:tcPr>
          <w:p w14:paraId="6643814D"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2671.2</w:t>
            </w:r>
          </w:p>
        </w:tc>
        <w:tc>
          <w:tcPr>
            <w:tcW w:w="931" w:type="dxa"/>
            <w:vAlign w:val="center"/>
          </w:tcPr>
          <w:p w14:paraId="46C449A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7.632</w:t>
            </w:r>
            <w:r>
              <w:rPr>
                <w:rFonts w:cs="Times New Roman" w:hint="eastAsia"/>
                <w:sz w:val="21"/>
                <w:szCs w:val="21"/>
              </w:rPr>
              <w:t>（回用</w:t>
            </w:r>
            <w:r>
              <w:rPr>
                <w:rFonts w:cs="Times New Roman"/>
                <w:sz w:val="21"/>
                <w:szCs w:val="21"/>
              </w:rPr>
              <w:t>，不外排</w:t>
            </w:r>
            <w:r>
              <w:rPr>
                <w:rFonts w:cs="Times New Roman" w:hint="eastAsia"/>
                <w:sz w:val="21"/>
                <w:szCs w:val="21"/>
              </w:rPr>
              <w:t>）</w:t>
            </w:r>
          </w:p>
        </w:tc>
        <w:tc>
          <w:tcPr>
            <w:tcW w:w="985" w:type="dxa"/>
            <w:vAlign w:val="center"/>
          </w:tcPr>
          <w:p w14:paraId="734A6DF9"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2136.93</w:t>
            </w:r>
            <w:r>
              <w:rPr>
                <w:rFonts w:cs="Times New Roman" w:hint="eastAsia"/>
                <w:sz w:val="21"/>
                <w:szCs w:val="21"/>
              </w:rPr>
              <w:t>（回用</w:t>
            </w:r>
            <w:r>
              <w:rPr>
                <w:rFonts w:cs="Times New Roman"/>
                <w:sz w:val="21"/>
                <w:szCs w:val="21"/>
              </w:rPr>
              <w:t>，不外排</w:t>
            </w:r>
            <w:r>
              <w:rPr>
                <w:rFonts w:cs="Times New Roman" w:hint="eastAsia"/>
                <w:sz w:val="21"/>
                <w:szCs w:val="21"/>
              </w:rPr>
              <w:t>）</w:t>
            </w:r>
          </w:p>
        </w:tc>
      </w:tr>
      <w:tr w:rsidR="00E579B9" w14:paraId="0590967F" w14:textId="77777777">
        <w:trPr>
          <w:trHeight w:val="335"/>
          <w:jc w:val="center"/>
        </w:trPr>
        <w:tc>
          <w:tcPr>
            <w:tcW w:w="426" w:type="dxa"/>
            <w:vAlign w:val="center"/>
          </w:tcPr>
          <w:p w14:paraId="3B41F7AA" w14:textId="77777777" w:rsidR="00E579B9" w:rsidRDefault="00E579B9">
            <w:pPr>
              <w:widowControl w:val="0"/>
              <w:numPr>
                <w:ilvl w:val="0"/>
                <w:numId w:val="6"/>
              </w:numPr>
              <w:spacing w:line="360" w:lineRule="exact"/>
              <w:ind w:firstLineChars="0"/>
              <w:contextualSpacing/>
              <w:jc w:val="both"/>
              <w:rPr>
                <w:rFonts w:cs="Times New Roman"/>
                <w:sz w:val="21"/>
                <w:szCs w:val="21"/>
              </w:rPr>
            </w:pPr>
          </w:p>
        </w:tc>
        <w:tc>
          <w:tcPr>
            <w:tcW w:w="1351" w:type="dxa"/>
            <w:vAlign w:val="center"/>
          </w:tcPr>
          <w:p w14:paraId="6CC70DEC"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合计</w:t>
            </w:r>
          </w:p>
        </w:tc>
        <w:tc>
          <w:tcPr>
            <w:tcW w:w="1078" w:type="dxa"/>
            <w:vAlign w:val="center"/>
          </w:tcPr>
          <w:p w14:paraId="2B6DF66B"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sz w:val="21"/>
                <w:szCs w:val="21"/>
              </w:rPr>
              <w:t>/</w:t>
            </w:r>
          </w:p>
        </w:tc>
        <w:tc>
          <w:tcPr>
            <w:tcW w:w="1250" w:type="dxa"/>
          </w:tcPr>
          <w:p w14:paraId="34933F10"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w:t>
            </w:r>
          </w:p>
        </w:tc>
        <w:tc>
          <w:tcPr>
            <w:tcW w:w="794" w:type="dxa"/>
            <w:vAlign w:val="center"/>
          </w:tcPr>
          <w:p w14:paraId="0FE71AA3"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7.632</w:t>
            </w:r>
          </w:p>
        </w:tc>
        <w:tc>
          <w:tcPr>
            <w:tcW w:w="899" w:type="dxa"/>
            <w:vAlign w:val="center"/>
          </w:tcPr>
          <w:p w14:paraId="2FF5A02E"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188.698</w:t>
            </w:r>
          </w:p>
        </w:tc>
        <w:tc>
          <w:tcPr>
            <w:tcW w:w="1006" w:type="dxa"/>
            <w:vAlign w:val="center"/>
          </w:tcPr>
          <w:p w14:paraId="7D0ECAB1"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52836.24</w:t>
            </w:r>
          </w:p>
        </w:tc>
        <w:tc>
          <w:tcPr>
            <w:tcW w:w="931" w:type="dxa"/>
            <w:vAlign w:val="center"/>
          </w:tcPr>
          <w:p w14:paraId="3B82DB2B"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c>
          <w:tcPr>
            <w:tcW w:w="985" w:type="dxa"/>
            <w:vAlign w:val="center"/>
          </w:tcPr>
          <w:p w14:paraId="261EC5A2" w14:textId="77777777" w:rsidR="00E579B9" w:rsidRDefault="006A1398">
            <w:pPr>
              <w:widowControl w:val="0"/>
              <w:spacing w:line="360" w:lineRule="exact"/>
              <w:ind w:firstLineChars="0" w:firstLine="0"/>
              <w:contextualSpacing/>
              <w:jc w:val="center"/>
              <w:rPr>
                <w:rFonts w:cs="Times New Roman"/>
                <w:sz w:val="21"/>
                <w:szCs w:val="21"/>
              </w:rPr>
            </w:pPr>
            <w:r>
              <w:rPr>
                <w:rFonts w:cs="Times New Roman" w:hint="eastAsia"/>
                <w:sz w:val="21"/>
                <w:szCs w:val="21"/>
              </w:rPr>
              <w:t>0</w:t>
            </w:r>
          </w:p>
        </w:tc>
      </w:tr>
    </w:tbl>
    <w:p w14:paraId="16EA33EC" w14:textId="77777777" w:rsidR="00E579B9" w:rsidRDefault="00E579B9"/>
    <w:p w14:paraId="31D69789" w14:textId="77777777" w:rsidR="00E579B9" w:rsidRDefault="006A1398">
      <w:r>
        <w:object w:dxaOrig="8719" w:dyaOrig="6825" w14:anchorId="37EA2CD7">
          <v:shape id="_x0000_i1031" type="#_x0000_t75" style="width:436.55pt;height:341.3pt" o:ole="">
            <v:imagedata r:id="rId31" o:title=""/>
          </v:shape>
          <o:OLEObject Type="Embed" ProgID="Visio.Drawing.11" ShapeID="_x0000_i1031" DrawAspect="Content" ObjectID="_1644327285" r:id="rId32"/>
        </w:object>
      </w:r>
    </w:p>
    <w:p w14:paraId="46F63F87" w14:textId="77777777" w:rsidR="00E579B9" w:rsidRDefault="006A1398">
      <w:pPr>
        <w:snapToGrid w:val="0"/>
        <w:spacing w:line="240" w:lineRule="auto"/>
        <w:jc w:val="center"/>
        <w:rPr>
          <w:rFonts w:ascii="黑体" w:eastAsia="黑体" w:hAnsi="黑体"/>
        </w:rPr>
      </w:pPr>
      <w:r>
        <w:rPr>
          <w:rFonts w:ascii="黑体" w:eastAsia="黑体" w:hAnsi="黑体" w:hint="eastAsia"/>
        </w:rPr>
        <w:t>图3.5-1本项目</w:t>
      </w:r>
      <w:r>
        <w:rPr>
          <w:rFonts w:ascii="黑体" w:eastAsia="黑体" w:hAnsi="黑体"/>
        </w:rPr>
        <w:t>水平衡图</w:t>
      </w:r>
      <w:r>
        <w:rPr>
          <w:rFonts w:ascii="黑体" w:eastAsia="黑体" w:hAnsi="黑体" w:hint="eastAsia"/>
        </w:rPr>
        <w:t>（m</w:t>
      </w:r>
      <w:r>
        <w:rPr>
          <w:rFonts w:ascii="黑体" w:eastAsia="黑体" w:hAnsi="黑体"/>
          <w:vertAlign w:val="superscript"/>
        </w:rPr>
        <w:t>3</w:t>
      </w:r>
      <w:r>
        <w:rPr>
          <w:rFonts w:ascii="黑体" w:eastAsia="黑体" w:hAnsi="黑体"/>
        </w:rPr>
        <w:t>/d</w:t>
      </w:r>
      <w:r>
        <w:rPr>
          <w:rFonts w:ascii="黑体" w:eastAsia="黑体" w:hAnsi="黑体" w:hint="eastAsia"/>
        </w:rPr>
        <w:t>）</w:t>
      </w:r>
    </w:p>
    <w:p w14:paraId="6FEFFA34" w14:textId="2DFAAB71" w:rsidR="00E579B9" w:rsidRDefault="006A1398" w:rsidP="006047BF">
      <w:pPr>
        <w:pStyle w:val="Af8"/>
      </w:pPr>
      <w:r>
        <w:t>3.5.</w:t>
      </w:r>
      <w:r w:rsidR="006047BF">
        <w:rPr>
          <w:rFonts w:hint="eastAsia"/>
        </w:rPr>
        <w:t>4.</w:t>
      </w:r>
      <w:r>
        <w:t>2</w:t>
      </w:r>
      <w:r>
        <w:t>供热</w:t>
      </w:r>
    </w:p>
    <w:p w14:paraId="645E86C3" w14:textId="77777777" w:rsidR="00E579B9" w:rsidRDefault="006A1398">
      <w:r>
        <w:t>本项目不设集中供热设施。</w:t>
      </w:r>
    </w:p>
    <w:p w14:paraId="1964DA02" w14:textId="1F80AA59" w:rsidR="00E579B9" w:rsidRDefault="006A1398" w:rsidP="006047BF">
      <w:pPr>
        <w:pStyle w:val="Af8"/>
      </w:pPr>
      <w:r>
        <w:rPr>
          <w:rFonts w:hint="eastAsia"/>
        </w:rPr>
        <w:t>3</w:t>
      </w:r>
      <w:r>
        <w:t>.5.</w:t>
      </w:r>
      <w:r w:rsidR="006047BF">
        <w:rPr>
          <w:rFonts w:hint="eastAsia"/>
        </w:rPr>
        <w:t>4.</w:t>
      </w:r>
      <w:r>
        <w:t>3</w:t>
      </w:r>
      <w:r>
        <w:rPr>
          <w:rFonts w:hint="eastAsia"/>
        </w:rPr>
        <w:t>供电</w:t>
      </w:r>
    </w:p>
    <w:p w14:paraId="4D0C392C" w14:textId="77777777" w:rsidR="00E579B9" w:rsidRDefault="006A1398">
      <w:r>
        <w:rPr>
          <w:rFonts w:hint="eastAsia"/>
        </w:rPr>
        <w:t>矿权区内电力有高压输电线路与省内电网连通，</w:t>
      </w:r>
      <w:r>
        <w:rPr>
          <w:rFonts w:hint="eastAsia"/>
        </w:rPr>
        <w:t>220V</w:t>
      </w:r>
      <w:r>
        <w:rPr>
          <w:rFonts w:hint="eastAsia"/>
        </w:rPr>
        <w:t>电力直通矿区，引一趟</w:t>
      </w:r>
      <w:r>
        <w:rPr>
          <w:rFonts w:hint="eastAsia"/>
        </w:rPr>
        <w:t>10kV</w:t>
      </w:r>
      <w:r>
        <w:rPr>
          <w:rFonts w:hint="eastAsia"/>
        </w:rPr>
        <w:t>架空供电线路，至破碎站。</w:t>
      </w:r>
    </w:p>
    <w:p w14:paraId="68FA1A88" w14:textId="77777777" w:rsidR="00E579B9" w:rsidRDefault="006A1398">
      <w:pPr>
        <w:pStyle w:val="2"/>
        <w:ind w:firstLine="560"/>
      </w:pPr>
      <w:bookmarkStart w:id="144" w:name="_Toc33021796"/>
      <w:r>
        <w:t>3</w:t>
      </w:r>
      <w:r>
        <w:rPr>
          <w:rFonts w:hint="eastAsia"/>
        </w:rPr>
        <w:t>.</w:t>
      </w:r>
      <w:r>
        <w:t>6</w:t>
      </w:r>
      <w:r>
        <w:rPr>
          <w:rFonts w:hint="eastAsia"/>
        </w:rPr>
        <w:t>露采区开采工艺</w:t>
      </w:r>
      <w:bookmarkEnd w:id="141"/>
      <w:bookmarkEnd w:id="142"/>
      <w:bookmarkEnd w:id="143"/>
      <w:bookmarkEnd w:id="144"/>
    </w:p>
    <w:p w14:paraId="5DD8D388" w14:textId="77777777" w:rsidR="00E579B9" w:rsidRDefault="006A1398">
      <w:pPr>
        <w:pStyle w:val="3"/>
        <w:ind w:firstLine="560"/>
      </w:pPr>
      <w:bookmarkStart w:id="145" w:name="_Toc27749"/>
      <w:bookmarkStart w:id="146" w:name="_Toc531939330"/>
      <w:r>
        <w:t>3.6.1</w:t>
      </w:r>
      <w:r>
        <w:t>采矿方法</w:t>
      </w:r>
      <w:bookmarkEnd w:id="145"/>
      <w:bookmarkEnd w:id="146"/>
    </w:p>
    <w:p w14:paraId="6237F979" w14:textId="77777777" w:rsidR="00E579B9" w:rsidRDefault="006A1398">
      <w:pPr>
        <w:rPr>
          <w:highlight w:val="yellow"/>
        </w:rPr>
      </w:pPr>
      <w:bookmarkStart w:id="147" w:name="_Hlk535412474"/>
      <w:r>
        <w:rPr>
          <w:rFonts w:hint="eastAsia"/>
        </w:rPr>
        <w:t>本项目</w:t>
      </w:r>
      <w:r>
        <w:t>生产工艺包括以下几个环节：</w:t>
      </w:r>
      <w:r>
        <w:rPr>
          <w:rFonts w:hint="eastAsia"/>
        </w:rPr>
        <w:t>表土剥离</w:t>
      </w:r>
      <w:r>
        <w:t>→</w:t>
      </w:r>
      <w:r>
        <w:t>穿孔</w:t>
      </w:r>
      <w:r>
        <w:t>→</w:t>
      </w:r>
      <w:r>
        <w:rPr>
          <w:rFonts w:hint="eastAsia"/>
        </w:rPr>
        <w:t>深孔爆破</w:t>
      </w:r>
      <w:r>
        <w:t>→</w:t>
      </w:r>
      <w:r>
        <w:rPr>
          <w:rFonts w:hint="eastAsia"/>
        </w:rPr>
        <w:t>挖掘机装车</w:t>
      </w:r>
      <w:r>
        <w:t>→</w:t>
      </w:r>
      <w:r>
        <w:t>运输等工作。</w:t>
      </w:r>
    </w:p>
    <w:bookmarkEnd w:id="147"/>
    <w:p w14:paraId="186A7478" w14:textId="77777777" w:rsidR="00E579B9" w:rsidRDefault="006A1398">
      <w:r>
        <w:rPr>
          <w:rFonts w:hint="eastAsia"/>
        </w:rPr>
        <w:t>根据项目开发利用方案，矿区露采爆破的安全距离最终确定为：自露天采场境界向外</w:t>
      </w:r>
      <w:r>
        <w:rPr>
          <w:rFonts w:hint="eastAsia"/>
        </w:rPr>
        <w:t>200m</w:t>
      </w:r>
      <w:r>
        <w:rPr>
          <w:rFonts w:hint="eastAsia"/>
        </w:rPr>
        <w:t>进行圈定，并在爆破安全警戒线以外的适当位置设安全警示牌，确保生产和人身安全。</w:t>
      </w:r>
    </w:p>
    <w:p w14:paraId="4702ED72" w14:textId="77777777" w:rsidR="00E579B9" w:rsidRDefault="006A1398">
      <w:r>
        <w:rPr>
          <w:rFonts w:hint="eastAsia"/>
        </w:rPr>
        <w:lastRenderedPageBreak/>
        <w:t>运输设备根据运距情况、道路条件、尽量利用现有车辆和满足生产需要的原则进行具体选用。矿石运输仅考虑从采场运至工业广场。</w:t>
      </w:r>
    </w:p>
    <w:p w14:paraId="565BFDB0" w14:textId="77777777" w:rsidR="00E579B9" w:rsidRDefault="006A1398">
      <w:pPr>
        <w:pStyle w:val="3"/>
        <w:ind w:firstLine="560"/>
      </w:pPr>
      <w:bookmarkStart w:id="148" w:name="_Toc23631"/>
      <w:bookmarkStart w:id="149" w:name="_Toc531939331"/>
      <w:r>
        <w:t>3.6.2</w:t>
      </w:r>
      <w:r>
        <w:t>露天开采主要设备</w:t>
      </w:r>
      <w:bookmarkEnd w:id="148"/>
      <w:bookmarkEnd w:id="149"/>
    </w:p>
    <w:p w14:paraId="22202986" w14:textId="77777777" w:rsidR="00E579B9" w:rsidRDefault="006A1398">
      <w:pPr>
        <w:rPr>
          <w:highlight w:val="yellow"/>
        </w:rPr>
      </w:pPr>
      <w:r>
        <w:rPr>
          <w:rFonts w:hint="eastAsia"/>
        </w:rPr>
        <w:t>本项目</w:t>
      </w:r>
      <w:r>
        <w:t>矿山开采主要设备见表</w:t>
      </w:r>
      <w:r>
        <w:t>3</w:t>
      </w:r>
      <w:r>
        <w:rPr>
          <w:rFonts w:hint="eastAsia"/>
        </w:rPr>
        <w:t>.</w:t>
      </w:r>
      <w:r>
        <w:t>6-1</w:t>
      </w:r>
      <w:r>
        <w:t>。</w:t>
      </w:r>
    </w:p>
    <w:p w14:paraId="46E5B253" w14:textId="77777777" w:rsidR="00E579B9" w:rsidRDefault="006A1398">
      <w:pPr>
        <w:pStyle w:val="21"/>
      </w:pPr>
      <w:r>
        <w:t>表</w:t>
      </w:r>
      <w:r>
        <w:t>3</w:t>
      </w:r>
      <w:r>
        <w:rPr>
          <w:rFonts w:hint="eastAsia"/>
        </w:rPr>
        <w:t>.</w:t>
      </w:r>
      <w:r>
        <w:t>6-1</w:t>
      </w:r>
      <w:r>
        <w:t>主要</w:t>
      </w:r>
      <w:r>
        <w:rPr>
          <w:rFonts w:hint="eastAsia"/>
        </w:rPr>
        <w:t>开采</w:t>
      </w:r>
      <w:r>
        <w:t>机械设备一览表</w:t>
      </w: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1821"/>
        <w:gridCol w:w="900"/>
        <w:gridCol w:w="1080"/>
        <w:gridCol w:w="2877"/>
        <w:gridCol w:w="1301"/>
      </w:tblGrid>
      <w:tr w:rsidR="00E579B9" w14:paraId="4FB2041E" w14:textId="77777777">
        <w:trPr>
          <w:trHeight w:val="21"/>
          <w:jc w:val="center"/>
        </w:trPr>
        <w:tc>
          <w:tcPr>
            <w:tcW w:w="704" w:type="dxa"/>
            <w:tcBorders>
              <w:top w:val="single" w:sz="4" w:space="0" w:color="auto"/>
              <w:left w:val="single" w:sz="4" w:space="0" w:color="auto"/>
              <w:bottom w:val="single" w:sz="4" w:space="0" w:color="auto"/>
              <w:right w:val="single" w:sz="4" w:space="0" w:color="auto"/>
            </w:tcBorders>
            <w:vAlign w:val="center"/>
          </w:tcPr>
          <w:p w14:paraId="74F70047" w14:textId="77777777" w:rsidR="00E579B9" w:rsidRDefault="006A1398">
            <w:pPr>
              <w:pStyle w:val="aa"/>
            </w:pPr>
            <w:r>
              <w:rPr>
                <w:rFonts w:hint="eastAsia"/>
              </w:rPr>
              <w:t>序号</w:t>
            </w:r>
          </w:p>
        </w:tc>
        <w:tc>
          <w:tcPr>
            <w:tcW w:w="1821" w:type="dxa"/>
            <w:tcBorders>
              <w:top w:val="single" w:sz="4" w:space="0" w:color="auto"/>
              <w:left w:val="nil"/>
              <w:bottom w:val="single" w:sz="4" w:space="0" w:color="auto"/>
              <w:right w:val="single" w:sz="4" w:space="0" w:color="auto"/>
            </w:tcBorders>
            <w:vAlign w:val="center"/>
          </w:tcPr>
          <w:p w14:paraId="42D293BC" w14:textId="77777777" w:rsidR="00E579B9" w:rsidRDefault="006A1398">
            <w:pPr>
              <w:pStyle w:val="aa"/>
            </w:pPr>
            <w:r>
              <w:rPr>
                <w:rFonts w:hint="eastAsia"/>
              </w:rPr>
              <w:t>名称</w:t>
            </w:r>
          </w:p>
        </w:tc>
        <w:tc>
          <w:tcPr>
            <w:tcW w:w="900" w:type="dxa"/>
            <w:tcBorders>
              <w:top w:val="single" w:sz="4" w:space="0" w:color="auto"/>
              <w:left w:val="nil"/>
              <w:bottom w:val="single" w:sz="4" w:space="0" w:color="auto"/>
              <w:right w:val="single" w:sz="4" w:space="0" w:color="auto"/>
            </w:tcBorders>
            <w:vAlign w:val="center"/>
          </w:tcPr>
          <w:p w14:paraId="237A7B86" w14:textId="77777777" w:rsidR="00E579B9" w:rsidRDefault="006A1398">
            <w:pPr>
              <w:pStyle w:val="aa"/>
            </w:pPr>
            <w:r>
              <w:rPr>
                <w:rFonts w:hint="eastAsia"/>
              </w:rPr>
              <w:t>单位</w:t>
            </w:r>
          </w:p>
        </w:tc>
        <w:tc>
          <w:tcPr>
            <w:tcW w:w="1080" w:type="dxa"/>
            <w:tcBorders>
              <w:top w:val="single" w:sz="4" w:space="0" w:color="auto"/>
              <w:left w:val="nil"/>
              <w:bottom w:val="single" w:sz="4" w:space="0" w:color="auto"/>
              <w:right w:val="single" w:sz="4" w:space="0" w:color="auto"/>
            </w:tcBorders>
            <w:vAlign w:val="center"/>
          </w:tcPr>
          <w:p w14:paraId="2CE1908F" w14:textId="77777777" w:rsidR="00E579B9" w:rsidRDefault="006A1398">
            <w:pPr>
              <w:pStyle w:val="aa"/>
            </w:pPr>
            <w:r>
              <w:rPr>
                <w:rFonts w:hint="eastAsia"/>
              </w:rPr>
              <w:t>数量</w:t>
            </w:r>
          </w:p>
        </w:tc>
        <w:tc>
          <w:tcPr>
            <w:tcW w:w="2877" w:type="dxa"/>
            <w:tcBorders>
              <w:top w:val="single" w:sz="4" w:space="0" w:color="auto"/>
              <w:left w:val="nil"/>
              <w:bottom w:val="single" w:sz="4" w:space="0" w:color="auto"/>
              <w:right w:val="single" w:sz="4" w:space="0" w:color="auto"/>
            </w:tcBorders>
            <w:vAlign w:val="center"/>
          </w:tcPr>
          <w:p w14:paraId="64737F5C" w14:textId="77777777" w:rsidR="00E579B9" w:rsidRDefault="006A1398">
            <w:pPr>
              <w:pStyle w:val="aa"/>
            </w:pPr>
            <w:r>
              <w:rPr>
                <w:rFonts w:hint="eastAsia"/>
              </w:rPr>
              <w:t>型号、参数</w:t>
            </w:r>
          </w:p>
        </w:tc>
        <w:tc>
          <w:tcPr>
            <w:tcW w:w="1301" w:type="dxa"/>
            <w:tcBorders>
              <w:top w:val="single" w:sz="4" w:space="0" w:color="auto"/>
              <w:left w:val="nil"/>
              <w:bottom w:val="single" w:sz="4" w:space="0" w:color="auto"/>
              <w:right w:val="single" w:sz="4" w:space="0" w:color="auto"/>
            </w:tcBorders>
            <w:vAlign w:val="center"/>
          </w:tcPr>
          <w:p w14:paraId="3DE9DC37" w14:textId="77777777" w:rsidR="00E579B9" w:rsidRDefault="006A1398">
            <w:pPr>
              <w:pStyle w:val="aa"/>
            </w:pPr>
            <w:r>
              <w:rPr>
                <w:rFonts w:hint="eastAsia"/>
              </w:rPr>
              <w:t>备注</w:t>
            </w:r>
          </w:p>
        </w:tc>
      </w:tr>
      <w:tr w:rsidR="00E579B9" w14:paraId="4829A246" w14:textId="77777777">
        <w:trPr>
          <w:trHeight w:val="90"/>
          <w:jc w:val="center"/>
        </w:trPr>
        <w:tc>
          <w:tcPr>
            <w:tcW w:w="704" w:type="dxa"/>
            <w:tcBorders>
              <w:top w:val="single" w:sz="4" w:space="0" w:color="auto"/>
              <w:left w:val="single" w:sz="4" w:space="0" w:color="auto"/>
              <w:bottom w:val="single" w:sz="4" w:space="0" w:color="auto"/>
              <w:right w:val="single" w:sz="4" w:space="0" w:color="auto"/>
            </w:tcBorders>
            <w:vAlign w:val="center"/>
          </w:tcPr>
          <w:p w14:paraId="7B54E071" w14:textId="40421543" w:rsidR="00E579B9" w:rsidRDefault="00E579B9" w:rsidP="00A21D5F">
            <w:pPr>
              <w:pStyle w:val="aa"/>
              <w:numPr>
                <w:ilvl w:val="0"/>
                <w:numId w:val="17"/>
              </w:numPr>
            </w:pPr>
          </w:p>
        </w:tc>
        <w:tc>
          <w:tcPr>
            <w:tcW w:w="1821" w:type="dxa"/>
            <w:tcBorders>
              <w:top w:val="single" w:sz="4" w:space="0" w:color="auto"/>
              <w:left w:val="nil"/>
              <w:bottom w:val="single" w:sz="4" w:space="0" w:color="auto"/>
              <w:right w:val="single" w:sz="4" w:space="0" w:color="auto"/>
            </w:tcBorders>
            <w:vAlign w:val="center"/>
          </w:tcPr>
          <w:p w14:paraId="02333E53" w14:textId="77777777" w:rsidR="00E579B9" w:rsidRDefault="006A1398">
            <w:pPr>
              <w:pStyle w:val="aa"/>
            </w:pPr>
            <w:r>
              <w:rPr>
                <w:rFonts w:hint="eastAsia"/>
              </w:rPr>
              <w:t>潜孔钻机</w:t>
            </w:r>
          </w:p>
        </w:tc>
        <w:tc>
          <w:tcPr>
            <w:tcW w:w="900" w:type="dxa"/>
            <w:tcBorders>
              <w:top w:val="single" w:sz="4" w:space="0" w:color="auto"/>
              <w:left w:val="nil"/>
              <w:bottom w:val="single" w:sz="4" w:space="0" w:color="auto"/>
              <w:right w:val="single" w:sz="4" w:space="0" w:color="auto"/>
            </w:tcBorders>
            <w:vAlign w:val="center"/>
          </w:tcPr>
          <w:p w14:paraId="02EA9F97" w14:textId="77777777" w:rsidR="00E579B9" w:rsidRDefault="006A1398">
            <w:pPr>
              <w:pStyle w:val="aa"/>
            </w:pPr>
            <w:r>
              <w:rPr>
                <w:rFonts w:hint="eastAsia"/>
              </w:rPr>
              <w:t>台</w:t>
            </w:r>
          </w:p>
        </w:tc>
        <w:tc>
          <w:tcPr>
            <w:tcW w:w="1080" w:type="dxa"/>
            <w:tcBorders>
              <w:top w:val="single" w:sz="4" w:space="0" w:color="auto"/>
              <w:left w:val="nil"/>
              <w:bottom w:val="single" w:sz="4" w:space="0" w:color="auto"/>
              <w:right w:val="single" w:sz="4" w:space="0" w:color="auto"/>
            </w:tcBorders>
            <w:vAlign w:val="center"/>
          </w:tcPr>
          <w:p w14:paraId="7DF9287D" w14:textId="77777777" w:rsidR="00E579B9" w:rsidRDefault="006A1398">
            <w:pPr>
              <w:pStyle w:val="aa"/>
            </w:pPr>
            <w:r>
              <w:rPr>
                <w:rFonts w:hint="eastAsia"/>
              </w:rPr>
              <w:t>2</w:t>
            </w:r>
          </w:p>
        </w:tc>
        <w:tc>
          <w:tcPr>
            <w:tcW w:w="2877" w:type="dxa"/>
            <w:tcBorders>
              <w:top w:val="single" w:sz="4" w:space="0" w:color="auto"/>
              <w:left w:val="nil"/>
              <w:bottom w:val="single" w:sz="4" w:space="0" w:color="auto"/>
              <w:right w:val="single" w:sz="4" w:space="0" w:color="auto"/>
            </w:tcBorders>
            <w:vAlign w:val="center"/>
          </w:tcPr>
          <w:p w14:paraId="5A9342EF" w14:textId="77777777" w:rsidR="00E579B9" w:rsidRDefault="006A1398">
            <w:pPr>
              <w:pStyle w:val="aa"/>
            </w:pPr>
            <w:r>
              <w:rPr>
                <w:rFonts w:hint="eastAsia"/>
              </w:rPr>
              <w:t>SWDA200</w:t>
            </w:r>
            <w:r>
              <w:rPr>
                <w:rFonts w:hint="eastAsia"/>
              </w:rPr>
              <w:t>钻孔Φ</w:t>
            </w:r>
            <w:r>
              <w:rPr>
                <w:rFonts w:hint="eastAsia"/>
              </w:rPr>
              <w:t>180mm</w:t>
            </w:r>
          </w:p>
        </w:tc>
        <w:tc>
          <w:tcPr>
            <w:tcW w:w="1301" w:type="dxa"/>
            <w:tcBorders>
              <w:top w:val="single" w:sz="4" w:space="0" w:color="auto"/>
              <w:left w:val="nil"/>
              <w:bottom w:val="single" w:sz="4" w:space="0" w:color="auto"/>
              <w:right w:val="single" w:sz="4" w:space="0" w:color="auto"/>
            </w:tcBorders>
            <w:vAlign w:val="center"/>
          </w:tcPr>
          <w:p w14:paraId="5E7BA303" w14:textId="77777777" w:rsidR="00E579B9" w:rsidRDefault="006A1398">
            <w:pPr>
              <w:pStyle w:val="aa"/>
            </w:pPr>
            <w:r>
              <w:rPr>
                <w:rFonts w:hint="eastAsia"/>
              </w:rPr>
              <w:t>自带压风机、</w:t>
            </w:r>
            <w:proofErr w:type="gramStart"/>
            <w:r>
              <w:rPr>
                <w:rFonts w:hint="eastAsia"/>
              </w:rPr>
              <w:t>扑尘器</w:t>
            </w:r>
            <w:proofErr w:type="gramEnd"/>
          </w:p>
        </w:tc>
      </w:tr>
      <w:tr w:rsidR="00E579B9" w14:paraId="631A0A96" w14:textId="77777777">
        <w:trPr>
          <w:trHeight w:val="90"/>
          <w:jc w:val="center"/>
        </w:trPr>
        <w:tc>
          <w:tcPr>
            <w:tcW w:w="704" w:type="dxa"/>
            <w:tcBorders>
              <w:top w:val="single" w:sz="4" w:space="0" w:color="auto"/>
              <w:left w:val="single" w:sz="4" w:space="0" w:color="auto"/>
              <w:bottom w:val="single" w:sz="4" w:space="0" w:color="auto"/>
              <w:right w:val="single" w:sz="4" w:space="0" w:color="auto"/>
            </w:tcBorders>
            <w:vAlign w:val="center"/>
          </w:tcPr>
          <w:p w14:paraId="00433EC3" w14:textId="42368255" w:rsidR="00E579B9" w:rsidRDefault="00E579B9" w:rsidP="00A21D5F">
            <w:pPr>
              <w:pStyle w:val="aa"/>
              <w:numPr>
                <w:ilvl w:val="0"/>
                <w:numId w:val="17"/>
              </w:numPr>
            </w:pPr>
          </w:p>
        </w:tc>
        <w:tc>
          <w:tcPr>
            <w:tcW w:w="1821" w:type="dxa"/>
            <w:tcBorders>
              <w:top w:val="single" w:sz="4" w:space="0" w:color="auto"/>
              <w:left w:val="nil"/>
              <w:bottom w:val="single" w:sz="4" w:space="0" w:color="auto"/>
              <w:right w:val="single" w:sz="4" w:space="0" w:color="auto"/>
            </w:tcBorders>
            <w:vAlign w:val="center"/>
          </w:tcPr>
          <w:p w14:paraId="2ECB5E76" w14:textId="77777777" w:rsidR="00E579B9" w:rsidRDefault="006A1398">
            <w:pPr>
              <w:pStyle w:val="aa"/>
            </w:pPr>
            <w:r>
              <w:rPr>
                <w:rFonts w:hint="eastAsia"/>
              </w:rPr>
              <w:t>潜孔钻机</w:t>
            </w:r>
          </w:p>
        </w:tc>
        <w:tc>
          <w:tcPr>
            <w:tcW w:w="900" w:type="dxa"/>
            <w:tcBorders>
              <w:top w:val="single" w:sz="4" w:space="0" w:color="auto"/>
              <w:left w:val="nil"/>
              <w:bottom w:val="single" w:sz="4" w:space="0" w:color="auto"/>
              <w:right w:val="single" w:sz="4" w:space="0" w:color="auto"/>
            </w:tcBorders>
            <w:vAlign w:val="center"/>
          </w:tcPr>
          <w:p w14:paraId="4AF3A15F" w14:textId="77777777" w:rsidR="00E579B9" w:rsidRDefault="006A1398">
            <w:pPr>
              <w:pStyle w:val="aa"/>
            </w:pPr>
            <w:r>
              <w:rPr>
                <w:rFonts w:hint="eastAsia"/>
              </w:rPr>
              <w:t>台</w:t>
            </w:r>
          </w:p>
        </w:tc>
        <w:tc>
          <w:tcPr>
            <w:tcW w:w="1080" w:type="dxa"/>
            <w:tcBorders>
              <w:top w:val="single" w:sz="4" w:space="0" w:color="auto"/>
              <w:left w:val="nil"/>
              <w:bottom w:val="single" w:sz="4" w:space="0" w:color="auto"/>
              <w:right w:val="single" w:sz="4" w:space="0" w:color="auto"/>
            </w:tcBorders>
            <w:vAlign w:val="center"/>
          </w:tcPr>
          <w:p w14:paraId="7F828CD4" w14:textId="77777777" w:rsidR="00E579B9" w:rsidRDefault="006A1398">
            <w:pPr>
              <w:pStyle w:val="aa"/>
            </w:pPr>
            <w:r>
              <w:rPr>
                <w:rFonts w:hint="eastAsia"/>
              </w:rPr>
              <w:t>1</w:t>
            </w:r>
          </w:p>
        </w:tc>
        <w:tc>
          <w:tcPr>
            <w:tcW w:w="2877" w:type="dxa"/>
            <w:tcBorders>
              <w:top w:val="single" w:sz="4" w:space="0" w:color="auto"/>
              <w:left w:val="nil"/>
              <w:bottom w:val="single" w:sz="4" w:space="0" w:color="auto"/>
              <w:right w:val="single" w:sz="4" w:space="0" w:color="auto"/>
            </w:tcBorders>
            <w:vAlign w:val="center"/>
          </w:tcPr>
          <w:p w14:paraId="4E61A09E" w14:textId="77777777" w:rsidR="00E579B9" w:rsidRDefault="006A1398">
            <w:pPr>
              <w:pStyle w:val="aa"/>
            </w:pPr>
            <w:r>
              <w:rPr>
                <w:rFonts w:hint="eastAsia"/>
              </w:rPr>
              <w:t>KQG-100</w:t>
            </w:r>
          </w:p>
        </w:tc>
        <w:tc>
          <w:tcPr>
            <w:tcW w:w="1301" w:type="dxa"/>
            <w:tcBorders>
              <w:top w:val="single" w:sz="4" w:space="0" w:color="auto"/>
              <w:left w:val="nil"/>
              <w:bottom w:val="single" w:sz="4" w:space="0" w:color="auto"/>
              <w:right w:val="single" w:sz="4" w:space="0" w:color="auto"/>
            </w:tcBorders>
            <w:vAlign w:val="center"/>
          </w:tcPr>
          <w:p w14:paraId="125BB421" w14:textId="77777777" w:rsidR="00E579B9" w:rsidRDefault="006A1398">
            <w:pPr>
              <w:pStyle w:val="aa"/>
            </w:pPr>
            <w:r>
              <w:rPr>
                <w:rFonts w:hint="eastAsia"/>
              </w:rPr>
              <w:t>辅助</w:t>
            </w:r>
          </w:p>
        </w:tc>
      </w:tr>
      <w:tr w:rsidR="00E579B9" w14:paraId="346CAEE3" w14:textId="77777777">
        <w:trPr>
          <w:trHeight w:val="90"/>
          <w:jc w:val="center"/>
        </w:trPr>
        <w:tc>
          <w:tcPr>
            <w:tcW w:w="704" w:type="dxa"/>
            <w:tcBorders>
              <w:top w:val="single" w:sz="4" w:space="0" w:color="auto"/>
              <w:left w:val="single" w:sz="4" w:space="0" w:color="auto"/>
              <w:bottom w:val="single" w:sz="4" w:space="0" w:color="auto"/>
              <w:right w:val="single" w:sz="4" w:space="0" w:color="auto"/>
            </w:tcBorders>
            <w:vAlign w:val="center"/>
          </w:tcPr>
          <w:p w14:paraId="791509F6" w14:textId="4032CC4C" w:rsidR="00E579B9" w:rsidRDefault="00E579B9" w:rsidP="00A21D5F">
            <w:pPr>
              <w:pStyle w:val="aa"/>
              <w:numPr>
                <w:ilvl w:val="0"/>
                <w:numId w:val="17"/>
              </w:numPr>
            </w:pPr>
          </w:p>
        </w:tc>
        <w:tc>
          <w:tcPr>
            <w:tcW w:w="1821" w:type="dxa"/>
            <w:tcBorders>
              <w:top w:val="single" w:sz="4" w:space="0" w:color="auto"/>
              <w:left w:val="nil"/>
              <w:bottom w:val="single" w:sz="4" w:space="0" w:color="auto"/>
              <w:right w:val="single" w:sz="4" w:space="0" w:color="auto"/>
            </w:tcBorders>
            <w:vAlign w:val="center"/>
          </w:tcPr>
          <w:p w14:paraId="372C0AAB" w14:textId="77777777" w:rsidR="00E579B9" w:rsidRDefault="006A1398">
            <w:pPr>
              <w:pStyle w:val="aa"/>
            </w:pPr>
            <w:r>
              <w:rPr>
                <w:rFonts w:hint="eastAsia"/>
              </w:rPr>
              <w:t>移动式螺杆空压机</w:t>
            </w:r>
          </w:p>
        </w:tc>
        <w:tc>
          <w:tcPr>
            <w:tcW w:w="900" w:type="dxa"/>
            <w:tcBorders>
              <w:top w:val="single" w:sz="4" w:space="0" w:color="auto"/>
              <w:left w:val="nil"/>
              <w:bottom w:val="single" w:sz="4" w:space="0" w:color="auto"/>
              <w:right w:val="single" w:sz="4" w:space="0" w:color="auto"/>
            </w:tcBorders>
            <w:vAlign w:val="center"/>
          </w:tcPr>
          <w:p w14:paraId="2FA215F8" w14:textId="77777777" w:rsidR="00E579B9" w:rsidRDefault="006A1398">
            <w:pPr>
              <w:pStyle w:val="aa"/>
            </w:pPr>
            <w:r>
              <w:rPr>
                <w:rFonts w:hint="eastAsia"/>
              </w:rPr>
              <w:t>台</w:t>
            </w:r>
          </w:p>
        </w:tc>
        <w:tc>
          <w:tcPr>
            <w:tcW w:w="1080" w:type="dxa"/>
            <w:tcBorders>
              <w:top w:val="single" w:sz="4" w:space="0" w:color="auto"/>
              <w:left w:val="nil"/>
              <w:bottom w:val="single" w:sz="4" w:space="0" w:color="auto"/>
              <w:right w:val="single" w:sz="4" w:space="0" w:color="auto"/>
            </w:tcBorders>
            <w:vAlign w:val="center"/>
          </w:tcPr>
          <w:p w14:paraId="78318862" w14:textId="77777777" w:rsidR="00E579B9" w:rsidRDefault="006A1398">
            <w:pPr>
              <w:pStyle w:val="aa"/>
            </w:pPr>
            <w:r>
              <w:rPr>
                <w:rFonts w:hint="eastAsia"/>
              </w:rPr>
              <w:t>1</w:t>
            </w:r>
          </w:p>
        </w:tc>
        <w:tc>
          <w:tcPr>
            <w:tcW w:w="2877" w:type="dxa"/>
            <w:tcBorders>
              <w:top w:val="single" w:sz="4" w:space="0" w:color="auto"/>
              <w:left w:val="nil"/>
              <w:bottom w:val="single" w:sz="4" w:space="0" w:color="auto"/>
              <w:right w:val="single" w:sz="4" w:space="0" w:color="auto"/>
            </w:tcBorders>
            <w:vAlign w:val="center"/>
          </w:tcPr>
          <w:p w14:paraId="1F4A07C6" w14:textId="77777777" w:rsidR="00E579B9" w:rsidRDefault="006A1398">
            <w:pPr>
              <w:pStyle w:val="aa"/>
            </w:pPr>
            <w:r>
              <w:rPr>
                <w:rFonts w:hint="eastAsia"/>
              </w:rPr>
              <w:t>VHP600E</w:t>
            </w:r>
            <w:r>
              <w:rPr>
                <w:rFonts w:hint="eastAsia"/>
              </w:rPr>
              <w:t>型</w:t>
            </w:r>
          </w:p>
        </w:tc>
        <w:tc>
          <w:tcPr>
            <w:tcW w:w="1301" w:type="dxa"/>
            <w:tcBorders>
              <w:top w:val="single" w:sz="4" w:space="0" w:color="auto"/>
              <w:left w:val="nil"/>
              <w:bottom w:val="single" w:sz="4" w:space="0" w:color="auto"/>
              <w:right w:val="single" w:sz="4" w:space="0" w:color="auto"/>
            </w:tcBorders>
            <w:vAlign w:val="center"/>
          </w:tcPr>
          <w:p w14:paraId="7618E741" w14:textId="77777777" w:rsidR="00E579B9" w:rsidRDefault="006A1398">
            <w:pPr>
              <w:pStyle w:val="aa"/>
            </w:pPr>
            <w:r>
              <w:rPr>
                <w:rFonts w:hint="eastAsia"/>
              </w:rPr>
              <w:t>辅助</w:t>
            </w:r>
          </w:p>
        </w:tc>
      </w:tr>
      <w:tr w:rsidR="00E579B9" w14:paraId="50683C52" w14:textId="77777777">
        <w:trPr>
          <w:trHeight w:val="21"/>
          <w:jc w:val="center"/>
        </w:trPr>
        <w:tc>
          <w:tcPr>
            <w:tcW w:w="704" w:type="dxa"/>
            <w:tcBorders>
              <w:top w:val="single" w:sz="4" w:space="0" w:color="auto"/>
              <w:left w:val="single" w:sz="4" w:space="0" w:color="auto"/>
              <w:bottom w:val="single" w:sz="4" w:space="0" w:color="auto"/>
              <w:right w:val="single" w:sz="4" w:space="0" w:color="auto"/>
            </w:tcBorders>
            <w:vAlign w:val="center"/>
          </w:tcPr>
          <w:p w14:paraId="487E011F" w14:textId="77D45C25" w:rsidR="00E579B9" w:rsidRPr="00A21D5F" w:rsidRDefault="00E579B9" w:rsidP="00A21D5F">
            <w:pPr>
              <w:pStyle w:val="aa"/>
              <w:numPr>
                <w:ilvl w:val="0"/>
                <w:numId w:val="17"/>
              </w:numPr>
              <w:rPr>
                <w:color w:val="0000FF"/>
              </w:rPr>
            </w:pPr>
          </w:p>
        </w:tc>
        <w:tc>
          <w:tcPr>
            <w:tcW w:w="1821" w:type="dxa"/>
            <w:tcBorders>
              <w:top w:val="single" w:sz="4" w:space="0" w:color="auto"/>
              <w:left w:val="nil"/>
              <w:bottom w:val="single" w:sz="4" w:space="0" w:color="auto"/>
              <w:right w:val="single" w:sz="4" w:space="0" w:color="auto"/>
            </w:tcBorders>
            <w:vAlign w:val="center"/>
          </w:tcPr>
          <w:p w14:paraId="24FDE71E" w14:textId="77777777" w:rsidR="00E579B9" w:rsidRPr="00A21D5F" w:rsidRDefault="006A1398">
            <w:pPr>
              <w:pStyle w:val="aa"/>
              <w:rPr>
                <w:color w:val="0000FF"/>
              </w:rPr>
            </w:pPr>
            <w:r w:rsidRPr="00A21D5F">
              <w:rPr>
                <w:rFonts w:hint="eastAsia"/>
                <w:color w:val="0000FF"/>
              </w:rPr>
              <w:t>挖掘机</w:t>
            </w:r>
          </w:p>
        </w:tc>
        <w:tc>
          <w:tcPr>
            <w:tcW w:w="900" w:type="dxa"/>
            <w:tcBorders>
              <w:top w:val="single" w:sz="4" w:space="0" w:color="auto"/>
              <w:left w:val="nil"/>
              <w:bottom w:val="single" w:sz="4" w:space="0" w:color="auto"/>
              <w:right w:val="single" w:sz="4" w:space="0" w:color="auto"/>
            </w:tcBorders>
            <w:vAlign w:val="center"/>
          </w:tcPr>
          <w:p w14:paraId="3B98301B" w14:textId="77777777" w:rsidR="00E579B9" w:rsidRPr="00A21D5F" w:rsidRDefault="006A1398">
            <w:pPr>
              <w:pStyle w:val="aa"/>
              <w:rPr>
                <w:color w:val="0000FF"/>
              </w:rPr>
            </w:pPr>
            <w:r w:rsidRPr="00A21D5F">
              <w:rPr>
                <w:rFonts w:hint="eastAsia"/>
                <w:color w:val="0000FF"/>
              </w:rPr>
              <w:t>台</w:t>
            </w:r>
          </w:p>
        </w:tc>
        <w:tc>
          <w:tcPr>
            <w:tcW w:w="1080" w:type="dxa"/>
            <w:tcBorders>
              <w:top w:val="single" w:sz="4" w:space="0" w:color="auto"/>
              <w:left w:val="nil"/>
              <w:bottom w:val="single" w:sz="4" w:space="0" w:color="auto"/>
              <w:right w:val="single" w:sz="4" w:space="0" w:color="auto"/>
            </w:tcBorders>
            <w:vAlign w:val="center"/>
          </w:tcPr>
          <w:p w14:paraId="587A5D37" w14:textId="5197A768" w:rsidR="00E579B9" w:rsidRPr="00A21D5F" w:rsidRDefault="00A21D5F">
            <w:pPr>
              <w:pStyle w:val="aa"/>
              <w:rPr>
                <w:color w:val="0000FF"/>
              </w:rPr>
            </w:pPr>
            <w:r w:rsidRPr="00A21D5F">
              <w:rPr>
                <w:rFonts w:hint="eastAsia"/>
                <w:color w:val="0000FF"/>
              </w:rPr>
              <w:t>4</w:t>
            </w:r>
          </w:p>
        </w:tc>
        <w:tc>
          <w:tcPr>
            <w:tcW w:w="2877" w:type="dxa"/>
            <w:tcBorders>
              <w:top w:val="single" w:sz="4" w:space="0" w:color="auto"/>
              <w:left w:val="nil"/>
              <w:bottom w:val="single" w:sz="4" w:space="0" w:color="auto"/>
              <w:right w:val="single" w:sz="4" w:space="0" w:color="auto"/>
            </w:tcBorders>
            <w:vAlign w:val="center"/>
          </w:tcPr>
          <w:p w14:paraId="6956E5EA" w14:textId="41552220" w:rsidR="00E579B9" w:rsidRPr="00A21D5F" w:rsidRDefault="006A1398">
            <w:pPr>
              <w:pStyle w:val="aa"/>
              <w:rPr>
                <w:color w:val="0000FF"/>
              </w:rPr>
            </w:pPr>
            <w:r w:rsidRPr="00A21D5F">
              <w:rPr>
                <w:rFonts w:hint="eastAsia"/>
                <w:color w:val="0000FF"/>
              </w:rPr>
              <w:t>CAT3.2m</w:t>
            </w:r>
            <w:r w:rsidRPr="00A21D5F">
              <w:rPr>
                <w:rFonts w:hint="eastAsia"/>
                <w:color w:val="0000FF"/>
                <w:vertAlign w:val="superscript"/>
              </w:rPr>
              <w:t>3</w:t>
            </w:r>
            <w:r w:rsidR="00A21D5F" w:rsidRPr="00A21D5F">
              <w:rPr>
                <w:rFonts w:hint="eastAsia"/>
                <w:color w:val="0000FF"/>
              </w:rPr>
              <w:t>、</w:t>
            </w:r>
            <w:r w:rsidR="00A21D5F" w:rsidRPr="00A21D5F">
              <w:rPr>
                <w:rFonts w:hint="eastAsia"/>
                <w:color w:val="0000FF"/>
              </w:rPr>
              <w:t>CAT320</w:t>
            </w:r>
            <w:r w:rsidR="00A21D5F" w:rsidRPr="00A21D5F">
              <w:rPr>
                <w:rFonts w:hint="eastAsia"/>
                <w:color w:val="0000FF"/>
              </w:rPr>
              <w:t>挂锤</w:t>
            </w:r>
          </w:p>
        </w:tc>
        <w:tc>
          <w:tcPr>
            <w:tcW w:w="1301" w:type="dxa"/>
            <w:tcBorders>
              <w:top w:val="single" w:sz="4" w:space="0" w:color="auto"/>
              <w:left w:val="nil"/>
              <w:bottom w:val="single" w:sz="4" w:space="0" w:color="auto"/>
              <w:right w:val="single" w:sz="4" w:space="0" w:color="auto"/>
            </w:tcBorders>
            <w:vAlign w:val="center"/>
          </w:tcPr>
          <w:p w14:paraId="45BF212B" w14:textId="791C096E" w:rsidR="00E579B9" w:rsidRPr="00A21D5F" w:rsidRDefault="00A21D5F">
            <w:pPr>
              <w:pStyle w:val="aa"/>
              <w:rPr>
                <w:color w:val="0000FF"/>
              </w:rPr>
            </w:pPr>
            <w:r w:rsidRPr="00A21D5F">
              <w:rPr>
                <w:rFonts w:hint="eastAsia"/>
                <w:color w:val="0000FF"/>
              </w:rPr>
              <w:t>破碎</w:t>
            </w:r>
          </w:p>
        </w:tc>
      </w:tr>
      <w:tr w:rsidR="00E579B9" w14:paraId="7C4A817F" w14:textId="77777777">
        <w:trPr>
          <w:trHeight w:val="21"/>
          <w:jc w:val="center"/>
        </w:trPr>
        <w:tc>
          <w:tcPr>
            <w:tcW w:w="704" w:type="dxa"/>
            <w:tcBorders>
              <w:top w:val="single" w:sz="4" w:space="0" w:color="auto"/>
              <w:left w:val="single" w:sz="4" w:space="0" w:color="auto"/>
              <w:bottom w:val="single" w:sz="4" w:space="0" w:color="auto"/>
              <w:right w:val="single" w:sz="4" w:space="0" w:color="auto"/>
            </w:tcBorders>
            <w:vAlign w:val="center"/>
          </w:tcPr>
          <w:p w14:paraId="0D007B64" w14:textId="28DFDDCC" w:rsidR="00E579B9" w:rsidRDefault="00E579B9" w:rsidP="00A21D5F">
            <w:pPr>
              <w:pStyle w:val="aa"/>
              <w:numPr>
                <w:ilvl w:val="0"/>
                <w:numId w:val="17"/>
              </w:numPr>
            </w:pPr>
          </w:p>
        </w:tc>
        <w:tc>
          <w:tcPr>
            <w:tcW w:w="1821" w:type="dxa"/>
            <w:tcBorders>
              <w:top w:val="single" w:sz="4" w:space="0" w:color="auto"/>
              <w:left w:val="nil"/>
              <w:bottom w:val="single" w:sz="4" w:space="0" w:color="auto"/>
              <w:right w:val="single" w:sz="4" w:space="0" w:color="auto"/>
            </w:tcBorders>
            <w:vAlign w:val="center"/>
          </w:tcPr>
          <w:p w14:paraId="668A6146" w14:textId="77777777" w:rsidR="00E579B9" w:rsidRDefault="006A1398">
            <w:pPr>
              <w:pStyle w:val="aa"/>
            </w:pPr>
            <w:r>
              <w:rPr>
                <w:rFonts w:hint="eastAsia"/>
              </w:rPr>
              <w:t>装载机</w:t>
            </w:r>
          </w:p>
        </w:tc>
        <w:tc>
          <w:tcPr>
            <w:tcW w:w="900" w:type="dxa"/>
            <w:tcBorders>
              <w:top w:val="single" w:sz="4" w:space="0" w:color="auto"/>
              <w:left w:val="nil"/>
              <w:bottom w:val="single" w:sz="4" w:space="0" w:color="auto"/>
              <w:right w:val="single" w:sz="4" w:space="0" w:color="auto"/>
            </w:tcBorders>
            <w:vAlign w:val="center"/>
          </w:tcPr>
          <w:p w14:paraId="65C2B23D" w14:textId="77777777" w:rsidR="00E579B9" w:rsidRDefault="006A1398">
            <w:pPr>
              <w:pStyle w:val="aa"/>
            </w:pPr>
            <w:r>
              <w:rPr>
                <w:rFonts w:hint="eastAsia"/>
              </w:rPr>
              <w:t>台</w:t>
            </w:r>
          </w:p>
        </w:tc>
        <w:tc>
          <w:tcPr>
            <w:tcW w:w="1080" w:type="dxa"/>
            <w:tcBorders>
              <w:top w:val="single" w:sz="4" w:space="0" w:color="auto"/>
              <w:left w:val="nil"/>
              <w:bottom w:val="single" w:sz="4" w:space="0" w:color="auto"/>
              <w:right w:val="single" w:sz="4" w:space="0" w:color="auto"/>
            </w:tcBorders>
            <w:vAlign w:val="center"/>
          </w:tcPr>
          <w:p w14:paraId="793CB901" w14:textId="77777777" w:rsidR="00E579B9" w:rsidRDefault="006A1398">
            <w:pPr>
              <w:pStyle w:val="aa"/>
            </w:pPr>
            <w:r>
              <w:rPr>
                <w:rFonts w:hint="eastAsia"/>
              </w:rPr>
              <w:t>4</w:t>
            </w:r>
          </w:p>
        </w:tc>
        <w:tc>
          <w:tcPr>
            <w:tcW w:w="2877" w:type="dxa"/>
            <w:tcBorders>
              <w:top w:val="single" w:sz="4" w:space="0" w:color="auto"/>
              <w:left w:val="nil"/>
              <w:bottom w:val="single" w:sz="4" w:space="0" w:color="auto"/>
              <w:right w:val="single" w:sz="4" w:space="0" w:color="auto"/>
            </w:tcBorders>
            <w:vAlign w:val="center"/>
          </w:tcPr>
          <w:p w14:paraId="29925C51" w14:textId="77777777" w:rsidR="00E579B9" w:rsidRDefault="006A1398">
            <w:pPr>
              <w:pStyle w:val="aa"/>
            </w:pPr>
            <w:r>
              <w:rPr>
                <w:rFonts w:hint="eastAsia"/>
              </w:rPr>
              <w:t>3.0m</w:t>
            </w:r>
            <w:r>
              <w:rPr>
                <w:rFonts w:hint="eastAsia"/>
                <w:vertAlign w:val="superscript"/>
              </w:rPr>
              <w:t>3</w:t>
            </w:r>
            <w:r>
              <w:rPr>
                <w:rFonts w:hint="eastAsia"/>
              </w:rPr>
              <w:t>ZL-50C</w:t>
            </w:r>
          </w:p>
        </w:tc>
        <w:tc>
          <w:tcPr>
            <w:tcW w:w="1301" w:type="dxa"/>
            <w:tcBorders>
              <w:top w:val="single" w:sz="4" w:space="0" w:color="auto"/>
              <w:left w:val="nil"/>
              <w:bottom w:val="single" w:sz="4" w:space="0" w:color="auto"/>
              <w:right w:val="single" w:sz="4" w:space="0" w:color="auto"/>
            </w:tcBorders>
            <w:vAlign w:val="center"/>
          </w:tcPr>
          <w:p w14:paraId="6EEC5A20" w14:textId="77777777" w:rsidR="00E579B9" w:rsidRDefault="006A1398">
            <w:pPr>
              <w:pStyle w:val="aa"/>
            </w:pPr>
            <w:r>
              <w:rPr>
                <w:rFonts w:hint="eastAsia"/>
              </w:rPr>
              <w:t>辅助</w:t>
            </w:r>
          </w:p>
        </w:tc>
      </w:tr>
      <w:tr w:rsidR="00E579B9" w14:paraId="0D4747F0" w14:textId="77777777">
        <w:trPr>
          <w:trHeight w:val="21"/>
          <w:jc w:val="center"/>
        </w:trPr>
        <w:tc>
          <w:tcPr>
            <w:tcW w:w="704" w:type="dxa"/>
            <w:tcBorders>
              <w:top w:val="single" w:sz="4" w:space="0" w:color="auto"/>
              <w:left w:val="single" w:sz="4" w:space="0" w:color="auto"/>
              <w:bottom w:val="single" w:sz="4" w:space="0" w:color="auto"/>
              <w:right w:val="single" w:sz="4" w:space="0" w:color="auto"/>
            </w:tcBorders>
            <w:vAlign w:val="center"/>
          </w:tcPr>
          <w:p w14:paraId="5156D95A" w14:textId="2F4C9362" w:rsidR="00E579B9" w:rsidRDefault="00E579B9" w:rsidP="00A21D5F">
            <w:pPr>
              <w:pStyle w:val="aa"/>
              <w:numPr>
                <w:ilvl w:val="0"/>
                <w:numId w:val="17"/>
              </w:numPr>
            </w:pPr>
          </w:p>
        </w:tc>
        <w:tc>
          <w:tcPr>
            <w:tcW w:w="1821" w:type="dxa"/>
            <w:tcBorders>
              <w:top w:val="single" w:sz="4" w:space="0" w:color="auto"/>
              <w:left w:val="nil"/>
              <w:bottom w:val="single" w:sz="4" w:space="0" w:color="auto"/>
              <w:right w:val="single" w:sz="4" w:space="0" w:color="auto"/>
            </w:tcBorders>
            <w:vAlign w:val="center"/>
          </w:tcPr>
          <w:p w14:paraId="0BDD210C" w14:textId="77777777" w:rsidR="00E579B9" w:rsidRDefault="006A1398">
            <w:pPr>
              <w:pStyle w:val="aa"/>
            </w:pPr>
            <w:r>
              <w:rPr>
                <w:rFonts w:hint="eastAsia"/>
              </w:rPr>
              <w:t>自卸汽车</w:t>
            </w:r>
          </w:p>
        </w:tc>
        <w:tc>
          <w:tcPr>
            <w:tcW w:w="900" w:type="dxa"/>
            <w:tcBorders>
              <w:top w:val="single" w:sz="4" w:space="0" w:color="auto"/>
              <w:left w:val="nil"/>
              <w:bottom w:val="single" w:sz="4" w:space="0" w:color="auto"/>
              <w:right w:val="single" w:sz="4" w:space="0" w:color="auto"/>
            </w:tcBorders>
            <w:vAlign w:val="center"/>
          </w:tcPr>
          <w:p w14:paraId="3D498A8C" w14:textId="77777777" w:rsidR="00E579B9" w:rsidRDefault="006A1398">
            <w:pPr>
              <w:pStyle w:val="aa"/>
            </w:pPr>
            <w:r>
              <w:rPr>
                <w:rFonts w:hint="eastAsia"/>
              </w:rPr>
              <w:t>辆</w:t>
            </w:r>
          </w:p>
        </w:tc>
        <w:tc>
          <w:tcPr>
            <w:tcW w:w="1080" w:type="dxa"/>
            <w:tcBorders>
              <w:top w:val="single" w:sz="4" w:space="0" w:color="auto"/>
              <w:left w:val="nil"/>
              <w:bottom w:val="single" w:sz="4" w:space="0" w:color="auto"/>
              <w:right w:val="single" w:sz="4" w:space="0" w:color="auto"/>
            </w:tcBorders>
            <w:vAlign w:val="center"/>
          </w:tcPr>
          <w:p w14:paraId="4954F7BF" w14:textId="77777777" w:rsidR="00E579B9" w:rsidRDefault="006A1398">
            <w:pPr>
              <w:pStyle w:val="aa"/>
            </w:pPr>
            <w:r>
              <w:rPr>
                <w:rFonts w:hint="eastAsia"/>
              </w:rPr>
              <w:t>9</w:t>
            </w:r>
          </w:p>
        </w:tc>
        <w:tc>
          <w:tcPr>
            <w:tcW w:w="2877" w:type="dxa"/>
            <w:tcBorders>
              <w:top w:val="single" w:sz="4" w:space="0" w:color="auto"/>
              <w:left w:val="nil"/>
              <w:bottom w:val="single" w:sz="4" w:space="0" w:color="auto"/>
              <w:right w:val="single" w:sz="4" w:space="0" w:color="auto"/>
            </w:tcBorders>
            <w:vAlign w:val="center"/>
          </w:tcPr>
          <w:p w14:paraId="5BB140E3" w14:textId="77777777" w:rsidR="00E579B9" w:rsidRDefault="006A1398">
            <w:pPr>
              <w:pStyle w:val="aa"/>
            </w:pPr>
            <w:r>
              <w:rPr>
                <w:rFonts w:hint="eastAsia"/>
              </w:rPr>
              <w:t>32t</w:t>
            </w:r>
          </w:p>
        </w:tc>
        <w:tc>
          <w:tcPr>
            <w:tcW w:w="1301" w:type="dxa"/>
            <w:tcBorders>
              <w:top w:val="single" w:sz="4" w:space="0" w:color="auto"/>
              <w:left w:val="nil"/>
              <w:bottom w:val="single" w:sz="4" w:space="0" w:color="auto"/>
              <w:right w:val="single" w:sz="4" w:space="0" w:color="auto"/>
            </w:tcBorders>
            <w:vAlign w:val="center"/>
          </w:tcPr>
          <w:p w14:paraId="3A1330E3" w14:textId="77777777" w:rsidR="00E579B9" w:rsidRDefault="00E579B9">
            <w:pPr>
              <w:pStyle w:val="aa"/>
            </w:pPr>
          </w:p>
        </w:tc>
      </w:tr>
      <w:tr w:rsidR="00E579B9" w14:paraId="1F436F98" w14:textId="77777777">
        <w:trPr>
          <w:trHeight w:val="21"/>
          <w:jc w:val="center"/>
        </w:trPr>
        <w:tc>
          <w:tcPr>
            <w:tcW w:w="704" w:type="dxa"/>
            <w:tcBorders>
              <w:top w:val="single" w:sz="4" w:space="0" w:color="auto"/>
              <w:left w:val="single" w:sz="4" w:space="0" w:color="auto"/>
              <w:bottom w:val="single" w:sz="4" w:space="0" w:color="auto"/>
              <w:right w:val="single" w:sz="4" w:space="0" w:color="auto"/>
            </w:tcBorders>
            <w:vAlign w:val="center"/>
          </w:tcPr>
          <w:p w14:paraId="029F8301" w14:textId="27BED9E4" w:rsidR="00E579B9" w:rsidRDefault="00E579B9" w:rsidP="00A21D5F">
            <w:pPr>
              <w:pStyle w:val="aa"/>
              <w:numPr>
                <w:ilvl w:val="0"/>
                <w:numId w:val="17"/>
              </w:numPr>
            </w:pPr>
          </w:p>
        </w:tc>
        <w:tc>
          <w:tcPr>
            <w:tcW w:w="1821" w:type="dxa"/>
            <w:tcBorders>
              <w:top w:val="single" w:sz="4" w:space="0" w:color="auto"/>
              <w:left w:val="nil"/>
              <w:bottom w:val="single" w:sz="4" w:space="0" w:color="auto"/>
              <w:right w:val="single" w:sz="4" w:space="0" w:color="auto"/>
            </w:tcBorders>
            <w:vAlign w:val="center"/>
          </w:tcPr>
          <w:p w14:paraId="3C717569" w14:textId="77777777" w:rsidR="00E579B9" w:rsidRDefault="006A1398">
            <w:pPr>
              <w:pStyle w:val="aa"/>
            </w:pPr>
            <w:r>
              <w:rPr>
                <w:rFonts w:hint="eastAsia"/>
              </w:rPr>
              <w:t>洒水车</w:t>
            </w:r>
          </w:p>
        </w:tc>
        <w:tc>
          <w:tcPr>
            <w:tcW w:w="900" w:type="dxa"/>
            <w:tcBorders>
              <w:top w:val="single" w:sz="4" w:space="0" w:color="auto"/>
              <w:left w:val="nil"/>
              <w:bottom w:val="single" w:sz="4" w:space="0" w:color="auto"/>
              <w:right w:val="single" w:sz="4" w:space="0" w:color="auto"/>
            </w:tcBorders>
            <w:vAlign w:val="center"/>
          </w:tcPr>
          <w:p w14:paraId="67B211E4" w14:textId="77777777" w:rsidR="00E579B9" w:rsidRDefault="006A1398">
            <w:pPr>
              <w:pStyle w:val="aa"/>
            </w:pPr>
            <w:r>
              <w:rPr>
                <w:rFonts w:hint="eastAsia"/>
              </w:rPr>
              <w:t>台</w:t>
            </w:r>
          </w:p>
        </w:tc>
        <w:tc>
          <w:tcPr>
            <w:tcW w:w="1080" w:type="dxa"/>
            <w:tcBorders>
              <w:top w:val="single" w:sz="4" w:space="0" w:color="auto"/>
              <w:left w:val="nil"/>
              <w:bottom w:val="single" w:sz="4" w:space="0" w:color="auto"/>
              <w:right w:val="single" w:sz="4" w:space="0" w:color="auto"/>
            </w:tcBorders>
            <w:vAlign w:val="center"/>
          </w:tcPr>
          <w:p w14:paraId="35653304" w14:textId="77777777" w:rsidR="00E579B9" w:rsidRDefault="006A1398">
            <w:pPr>
              <w:pStyle w:val="aa"/>
            </w:pPr>
            <w:r>
              <w:rPr>
                <w:rFonts w:hint="eastAsia"/>
              </w:rPr>
              <w:t>1</w:t>
            </w:r>
          </w:p>
        </w:tc>
        <w:tc>
          <w:tcPr>
            <w:tcW w:w="2877" w:type="dxa"/>
            <w:tcBorders>
              <w:top w:val="single" w:sz="4" w:space="0" w:color="auto"/>
              <w:left w:val="nil"/>
              <w:bottom w:val="single" w:sz="4" w:space="0" w:color="auto"/>
              <w:right w:val="single" w:sz="4" w:space="0" w:color="auto"/>
            </w:tcBorders>
            <w:vAlign w:val="center"/>
          </w:tcPr>
          <w:p w14:paraId="0662FC78" w14:textId="77777777" w:rsidR="00E579B9" w:rsidRDefault="006A1398">
            <w:pPr>
              <w:pStyle w:val="aa"/>
            </w:pPr>
            <w:r>
              <w:rPr>
                <w:rFonts w:hint="eastAsia"/>
              </w:rPr>
              <w:t>8m</w:t>
            </w:r>
            <w:r>
              <w:rPr>
                <w:rFonts w:hint="eastAsia"/>
                <w:vertAlign w:val="superscript"/>
              </w:rPr>
              <w:t>3</w:t>
            </w:r>
          </w:p>
        </w:tc>
        <w:tc>
          <w:tcPr>
            <w:tcW w:w="1301" w:type="dxa"/>
            <w:tcBorders>
              <w:top w:val="single" w:sz="4" w:space="0" w:color="auto"/>
              <w:left w:val="nil"/>
              <w:bottom w:val="single" w:sz="4" w:space="0" w:color="auto"/>
              <w:right w:val="single" w:sz="4" w:space="0" w:color="auto"/>
            </w:tcBorders>
            <w:vAlign w:val="center"/>
          </w:tcPr>
          <w:p w14:paraId="1E7C3D2B" w14:textId="77777777" w:rsidR="00E579B9" w:rsidRDefault="00E579B9">
            <w:pPr>
              <w:pStyle w:val="aa"/>
            </w:pPr>
          </w:p>
        </w:tc>
      </w:tr>
      <w:tr w:rsidR="00E579B9" w14:paraId="4D711CF4" w14:textId="77777777">
        <w:trPr>
          <w:trHeight w:val="21"/>
          <w:jc w:val="center"/>
        </w:trPr>
        <w:tc>
          <w:tcPr>
            <w:tcW w:w="704" w:type="dxa"/>
            <w:tcBorders>
              <w:top w:val="single" w:sz="4" w:space="0" w:color="auto"/>
              <w:left w:val="single" w:sz="4" w:space="0" w:color="auto"/>
              <w:bottom w:val="single" w:sz="4" w:space="0" w:color="auto"/>
              <w:right w:val="single" w:sz="4" w:space="0" w:color="auto"/>
            </w:tcBorders>
            <w:vAlign w:val="center"/>
          </w:tcPr>
          <w:p w14:paraId="791CCCF1" w14:textId="5FB9B7A6" w:rsidR="00E579B9" w:rsidRDefault="00E579B9" w:rsidP="00A21D5F">
            <w:pPr>
              <w:pStyle w:val="aa"/>
              <w:numPr>
                <w:ilvl w:val="0"/>
                <w:numId w:val="17"/>
              </w:numPr>
            </w:pPr>
          </w:p>
        </w:tc>
        <w:tc>
          <w:tcPr>
            <w:tcW w:w="1821" w:type="dxa"/>
            <w:tcBorders>
              <w:top w:val="single" w:sz="4" w:space="0" w:color="auto"/>
              <w:left w:val="nil"/>
              <w:bottom w:val="single" w:sz="4" w:space="0" w:color="auto"/>
              <w:right w:val="single" w:sz="4" w:space="0" w:color="auto"/>
            </w:tcBorders>
            <w:vAlign w:val="center"/>
          </w:tcPr>
          <w:p w14:paraId="60EF38A1" w14:textId="77777777" w:rsidR="00E579B9" w:rsidRDefault="006A1398">
            <w:pPr>
              <w:pStyle w:val="aa"/>
            </w:pPr>
            <w:r>
              <w:rPr>
                <w:rFonts w:hint="eastAsia"/>
              </w:rPr>
              <w:t>工具车</w:t>
            </w:r>
          </w:p>
        </w:tc>
        <w:tc>
          <w:tcPr>
            <w:tcW w:w="900" w:type="dxa"/>
            <w:tcBorders>
              <w:top w:val="single" w:sz="4" w:space="0" w:color="auto"/>
              <w:left w:val="nil"/>
              <w:bottom w:val="single" w:sz="4" w:space="0" w:color="auto"/>
              <w:right w:val="single" w:sz="4" w:space="0" w:color="auto"/>
            </w:tcBorders>
            <w:vAlign w:val="center"/>
          </w:tcPr>
          <w:p w14:paraId="545C54B9" w14:textId="77777777" w:rsidR="00E579B9" w:rsidRDefault="006A1398">
            <w:pPr>
              <w:pStyle w:val="aa"/>
            </w:pPr>
            <w:r>
              <w:rPr>
                <w:rFonts w:hint="eastAsia"/>
              </w:rPr>
              <w:t>台</w:t>
            </w:r>
          </w:p>
        </w:tc>
        <w:tc>
          <w:tcPr>
            <w:tcW w:w="1080" w:type="dxa"/>
            <w:tcBorders>
              <w:top w:val="single" w:sz="4" w:space="0" w:color="auto"/>
              <w:left w:val="nil"/>
              <w:bottom w:val="single" w:sz="4" w:space="0" w:color="auto"/>
              <w:right w:val="single" w:sz="4" w:space="0" w:color="auto"/>
            </w:tcBorders>
            <w:vAlign w:val="center"/>
          </w:tcPr>
          <w:p w14:paraId="752B2E0C" w14:textId="77777777" w:rsidR="00E579B9" w:rsidRDefault="006A1398">
            <w:pPr>
              <w:pStyle w:val="aa"/>
            </w:pPr>
            <w:r>
              <w:rPr>
                <w:rFonts w:hint="eastAsia"/>
              </w:rPr>
              <w:t>1</w:t>
            </w:r>
          </w:p>
        </w:tc>
        <w:tc>
          <w:tcPr>
            <w:tcW w:w="2877" w:type="dxa"/>
            <w:tcBorders>
              <w:top w:val="single" w:sz="4" w:space="0" w:color="auto"/>
              <w:left w:val="nil"/>
              <w:bottom w:val="single" w:sz="4" w:space="0" w:color="auto"/>
              <w:right w:val="single" w:sz="4" w:space="0" w:color="auto"/>
            </w:tcBorders>
            <w:vAlign w:val="center"/>
          </w:tcPr>
          <w:p w14:paraId="14927155" w14:textId="77777777" w:rsidR="00E579B9" w:rsidRDefault="00E579B9">
            <w:pPr>
              <w:pStyle w:val="aa"/>
            </w:pPr>
          </w:p>
        </w:tc>
        <w:tc>
          <w:tcPr>
            <w:tcW w:w="1301" w:type="dxa"/>
            <w:tcBorders>
              <w:top w:val="single" w:sz="4" w:space="0" w:color="auto"/>
              <w:left w:val="nil"/>
              <w:bottom w:val="single" w:sz="4" w:space="0" w:color="auto"/>
              <w:right w:val="single" w:sz="4" w:space="0" w:color="auto"/>
            </w:tcBorders>
            <w:vAlign w:val="center"/>
          </w:tcPr>
          <w:p w14:paraId="51127DCE" w14:textId="77777777" w:rsidR="00E579B9" w:rsidRDefault="00E579B9">
            <w:pPr>
              <w:pStyle w:val="aa"/>
            </w:pPr>
          </w:p>
        </w:tc>
      </w:tr>
      <w:tr w:rsidR="00E579B9" w14:paraId="3040D0F2" w14:textId="77777777">
        <w:trPr>
          <w:trHeight w:val="21"/>
          <w:jc w:val="center"/>
        </w:trPr>
        <w:tc>
          <w:tcPr>
            <w:tcW w:w="704" w:type="dxa"/>
            <w:tcBorders>
              <w:top w:val="single" w:sz="4" w:space="0" w:color="auto"/>
              <w:left w:val="single" w:sz="4" w:space="0" w:color="auto"/>
              <w:bottom w:val="single" w:sz="4" w:space="0" w:color="auto"/>
              <w:right w:val="single" w:sz="4" w:space="0" w:color="auto"/>
            </w:tcBorders>
            <w:vAlign w:val="center"/>
          </w:tcPr>
          <w:p w14:paraId="0770A3AC" w14:textId="72C74181" w:rsidR="00E579B9" w:rsidRDefault="00E579B9" w:rsidP="00A21D5F">
            <w:pPr>
              <w:pStyle w:val="aa"/>
              <w:numPr>
                <w:ilvl w:val="0"/>
                <w:numId w:val="17"/>
              </w:numPr>
            </w:pPr>
          </w:p>
        </w:tc>
        <w:tc>
          <w:tcPr>
            <w:tcW w:w="1821" w:type="dxa"/>
            <w:tcBorders>
              <w:top w:val="single" w:sz="4" w:space="0" w:color="auto"/>
              <w:left w:val="nil"/>
              <w:bottom w:val="single" w:sz="4" w:space="0" w:color="auto"/>
              <w:right w:val="single" w:sz="4" w:space="0" w:color="auto"/>
            </w:tcBorders>
            <w:vAlign w:val="center"/>
          </w:tcPr>
          <w:p w14:paraId="0743A799" w14:textId="77777777" w:rsidR="00E579B9" w:rsidRDefault="006A1398">
            <w:pPr>
              <w:pStyle w:val="aa"/>
            </w:pPr>
            <w:r>
              <w:rPr>
                <w:rFonts w:hint="eastAsia"/>
              </w:rPr>
              <w:t>装药车</w:t>
            </w:r>
          </w:p>
        </w:tc>
        <w:tc>
          <w:tcPr>
            <w:tcW w:w="900" w:type="dxa"/>
            <w:tcBorders>
              <w:top w:val="single" w:sz="4" w:space="0" w:color="auto"/>
              <w:left w:val="nil"/>
              <w:bottom w:val="single" w:sz="4" w:space="0" w:color="auto"/>
              <w:right w:val="single" w:sz="4" w:space="0" w:color="auto"/>
            </w:tcBorders>
            <w:vAlign w:val="center"/>
          </w:tcPr>
          <w:p w14:paraId="49814F34" w14:textId="77777777" w:rsidR="00E579B9" w:rsidRDefault="006A1398">
            <w:pPr>
              <w:pStyle w:val="aa"/>
            </w:pPr>
            <w:r>
              <w:rPr>
                <w:rFonts w:hint="eastAsia"/>
              </w:rPr>
              <w:t>台</w:t>
            </w:r>
          </w:p>
        </w:tc>
        <w:tc>
          <w:tcPr>
            <w:tcW w:w="1080" w:type="dxa"/>
            <w:tcBorders>
              <w:top w:val="single" w:sz="4" w:space="0" w:color="auto"/>
              <w:left w:val="nil"/>
              <w:bottom w:val="single" w:sz="4" w:space="0" w:color="auto"/>
              <w:right w:val="single" w:sz="4" w:space="0" w:color="auto"/>
            </w:tcBorders>
            <w:vAlign w:val="center"/>
          </w:tcPr>
          <w:p w14:paraId="00C867B2" w14:textId="77777777" w:rsidR="00E579B9" w:rsidRDefault="006A1398">
            <w:pPr>
              <w:pStyle w:val="aa"/>
            </w:pPr>
            <w:r>
              <w:rPr>
                <w:rFonts w:hint="eastAsia"/>
              </w:rPr>
              <w:t>1</w:t>
            </w:r>
          </w:p>
        </w:tc>
        <w:tc>
          <w:tcPr>
            <w:tcW w:w="2877" w:type="dxa"/>
            <w:tcBorders>
              <w:top w:val="single" w:sz="4" w:space="0" w:color="auto"/>
              <w:left w:val="nil"/>
              <w:bottom w:val="single" w:sz="4" w:space="0" w:color="auto"/>
              <w:right w:val="single" w:sz="4" w:space="0" w:color="auto"/>
            </w:tcBorders>
            <w:vAlign w:val="center"/>
          </w:tcPr>
          <w:p w14:paraId="233EB710" w14:textId="77777777" w:rsidR="00E579B9" w:rsidRDefault="006A1398">
            <w:pPr>
              <w:pStyle w:val="aa"/>
            </w:pPr>
            <w:r>
              <w:rPr>
                <w:rFonts w:hint="eastAsia"/>
              </w:rPr>
              <w:t>AN-FO</w:t>
            </w:r>
          </w:p>
        </w:tc>
        <w:tc>
          <w:tcPr>
            <w:tcW w:w="1301" w:type="dxa"/>
            <w:tcBorders>
              <w:top w:val="single" w:sz="4" w:space="0" w:color="auto"/>
              <w:left w:val="nil"/>
              <w:bottom w:val="single" w:sz="4" w:space="0" w:color="auto"/>
              <w:right w:val="single" w:sz="4" w:space="0" w:color="auto"/>
            </w:tcBorders>
            <w:vAlign w:val="center"/>
          </w:tcPr>
          <w:p w14:paraId="38019869" w14:textId="77777777" w:rsidR="00E579B9" w:rsidRDefault="00E579B9">
            <w:pPr>
              <w:pStyle w:val="aa"/>
            </w:pPr>
          </w:p>
        </w:tc>
      </w:tr>
      <w:tr w:rsidR="00E579B9" w14:paraId="405E8BAA" w14:textId="77777777">
        <w:trPr>
          <w:trHeight w:val="21"/>
          <w:jc w:val="center"/>
        </w:trPr>
        <w:tc>
          <w:tcPr>
            <w:tcW w:w="704" w:type="dxa"/>
            <w:tcBorders>
              <w:top w:val="single" w:sz="4" w:space="0" w:color="auto"/>
              <w:left w:val="single" w:sz="4" w:space="0" w:color="auto"/>
              <w:bottom w:val="single" w:sz="4" w:space="0" w:color="auto"/>
              <w:right w:val="single" w:sz="4" w:space="0" w:color="auto"/>
            </w:tcBorders>
            <w:vAlign w:val="center"/>
          </w:tcPr>
          <w:p w14:paraId="419C9926" w14:textId="6128E8C6" w:rsidR="00E579B9" w:rsidRDefault="00E579B9" w:rsidP="00A21D5F">
            <w:pPr>
              <w:pStyle w:val="aa"/>
              <w:numPr>
                <w:ilvl w:val="0"/>
                <w:numId w:val="17"/>
              </w:numPr>
            </w:pPr>
          </w:p>
        </w:tc>
        <w:tc>
          <w:tcPr>
            <w:tcW w:w="1821" w:type="dxa"/>
            <w:tcBorders>
              <w:top w:val="single" w:sz="4" w:space="0" w:color="auto"/>
              <w:left w:val="nil"/>
              <w:bottom w:val="single" w:sz="4" w:space="0" w:color="auto"/>
              <w:right w:val="single" w:sz="4" w:space="0" w:color="auto"/>
            </w:tcBorders>
            <w:vAlign w:val="center"/>
          </w:tcPr>
          <w:p w14:paraId="2FAC1A5A" w14:textId="77777777" w:rsidR="00E579B9" w:rsidRDefault="006A1398">
            <w:pPr>
              <w:pStyle w:val="aa"/>
            </w:pPr>
            <w:r>
              <w:rPr>
                <w:rFonts w:hint="eastAsia"/>
              </w:rPr>
              <w:t>油罐车</w:t>
            </w:r>
          </w:p>
        </w:tc>
        <w:tc>
          <w:tcPr>
            <w:tcW w:w="900" w:type="dxa"/>
            <w:tcBorders>
              <w:top w:val="single" w:sz="4" w:space="0" w:color="auto"/>
              <w:left w:val="nil"/>
              <w:bottom w:val="single" w:sz="4" w:space="0" w:color="auto"/>
              <w:right w:val="single" w:sz="4" w:space="0" w:color="auto"/>
            </w:tcBorders>
            <w:vAlign w:val="center"/>
          </w:tcPr>
          <w:p w14:paraId="3D14409C" w14:textId="77777777" w:rsidR="00E579B9" w:rsidRDefault="006A1398">
            <w:pPr>
              <w:pStyle w:val="aa"/>
            </w:pPr>
            <w:r>
              <w:rPr>
                <w:rFonts w:hint="eastAsia"/>
              </w:rPr>
              <w:t>台</w:t>
            </w:r>
          </w:p>
        </w:tc>
        <w:tc>
          <w:tcPr>
            <w:tcW w:w="1080" w:type="dxa"/>
            <w:tcBorders>
              <w:top w:val="single" w:sz="4" w:space="0" w:color="auto"/>
              <w:left w:val="nil"/>
              <w:bottom w:val="single" w:sz="4" w:space="0" w:color="auto"/>
              <w:right w:val="single" w:sz="4" w:space="0" w:color="auto"/>
            </w:tcBorders>
            <w:vAlign w:val="center"/>
          </w:tcPr>
          <w:p w14:paraId="4CFF75DD" w14:textId="77777777" w:rsidR="00E579B9" w:rsidRDefault="006A1398">
            <w:pPr>
              <w:pStyle w:val="aa"/>
            </w:pPr>
            <w:r>
              <w:rPr>
                <w:rFonts w:hint="eastAsia"/>
              </w:rPr>
              <w:t>1</w:t>
            </w:r>
          </w:p>
        </w:tc>
        <w:tc>
          <w:tcPr>
            <w:tcW w:w="2877" w:type="dxa"/>
            <w:tcBorders>
              <w:top w:val="single" w:sz="4" w:space="0" w:color="auto"/>
              <w:left w:val="nil"/>
              <w:bottom w:val="single" w:sz="4" w:space="0" w:color="auto"/>
              <w:right w:val="single" w:sz="4" w:space="0" w:color="auto"/>
            </w:tcBorders>
            <w:vAlign w:val="center"/>
          </w:tcPr>
          <w:p w14:paraId="7F598D47" w14:textId="77777777" w:rsidR="00E579B9" w:rsidRDefault="006A1398">
            <w:pPr>
              <w:pStyle w:val="aa"/>
            </w:pPr>
            <w:r>
              <w:rPr>
                <w:rFonts w:hint="eastAsia"/>
              </w:rPr>
              <w:t>10m</w:t>
            </w:r>
            <w:r>
              <w:rPr>
                <w:rFonts w:hint="eastAsia"/>
              </w:rPr>
              <w:t>³</w:t>
            </w:r>
          </w:p>
        </w:tc>
        <w:tc>
          <w:tcPr>
            <w:tcW w:w="1301" w:type="dxa"/>
            <w:tcBorders>
              <w:top w:val="single" w:sz="4" w:space="0" w:color="auto"/>
              <w:left w:val="nil"/>
              <w:bottom w:val="single" w:sz="4" w:space="0" w:color="auto"/>
              <w:right w:val="single" w:sz="4" w:space="0" w:color="auto"/>
            </w:tcBorders>
            <w:vAlign w:val="center"/>
          </w:tcPr>
          <w:p w14:paraId="298DCF83" w14:textId="77777777" w:rsidR="00E579B9" w:rsidRDefault="00E579B9">
            <w:pPr>
              <w:pStyle w:val="aa"/>
            </w:pPr>
          </w:p>
        </w:tc>
      </w:tr>
      <w:tr w:rsidR="00E579B9" w14:paraId="25917A69" w14:textId="77777777">
        <w:trPr>
          <w:trHeight w:val="21"/>
          <w:jc w:val="center"/>
        </w:trPr>
        <w:tc>
          <w:tcPr>
            <w:tcW w:w="704" w:type="dxa"/>
            <w:tcBorders>
              <w:top w:val="single" w:sz="4" w:space="0" w:color="auto"/>
              <w:left w:val="single" w:sz="4" w:space="0" w:color="auto"/>
              <w:bottom w:val="single" w:sz="4" w:space="0" w:color="auto"/>
              <w:right w:val="single" w:sz="4" w:space="0" w:color="auto"/>
            </w:tcBorders>
            <w:vAlign w:val="center"/>
          </w:tcPr>
          <w:p w14:paraId="0620BFA5" w14:textId="7976D7F5" w:rsidR="00E579B9" w:rsidRDefault="00E579B9" w:rsidP="00A21D5F">
            <w:pPr>
              <w:pStyle w:val="aa"/>
              <w:numPr>
                <w:ilvl w:val="0"/>
                <w:numId w:val="17"/>
              </w:numPr>
            </w:pPr>
          </w:p>
        </w:tc>
        <w:tc>
          <w:tcPr>
            <w:tcW w:w="1821" w:type="dxa"/>
            <w:tcBorders>
              <w:top w:val="single" w:sz="4" w:space="0" w:color="auto"/>
              <w:left w:val="nil"/>
              <w:bottom w:val="single" w:sz="4" w:space="0" w:color="auto"/>
              <w:right w:val="single" w:sz="4" w:space="0" w:color="auto"/>
            </w:tcBorders>
            <w:vAlign w:val="center"/>
          </w:tcPr>
          <w:p w14:paraId="3164C9F9" w14:textId="77777777" w:rsidR="00E579B9" w:rsidRDefault="006A1398">
            <w:pPr>
              <w:pStyle w:val="aa"/>
            </w:pPr>
            <w:r>
              <w:rPr>
                <w:rFonts w:hint="eastAsia"/>
              </w:rPr>
              <w:t>变压器</w:t>
            </w:r>
          </w:p>
        </w:tc>
        <w:tc>
          <w:tcPr>
            <w:tcW w:w="900" w:type="dxa"/>
            <w:tcBorders>
              <w:top w:val="single" w:sz="4" w:space="0" w:color="auto"/>
              <w:left w:val="nil"/>
              <w:bottom w:val="single" w:sz="4" w:space="0" w:color="auto"/>
              <w:right w:val="single" w:sz="4" w:space="0" w:color="auto"/>
            </w:tcBorders>
            <w:vAlign w:val="center"/>
          </w:tcPr>
          <w:p w14:paraId="02A535AB" w14:textId="77777777" w:rsidR="00E579B9" w:rsidRDefault="006A1398">
            <w:pPr>
              <w:pStyle w:val="aa"/>
            </w:pPr>
            <w:r>
              <w:rPr>
                <w:rFonts w:hint="eastAsia"/>
              </w:rPr>
              <w:t>台</w:t>
            </w:r>
          </w:p>
        </w:tc>
        <w:tc>
          <w:tcPr>
            <w:tcW w:w="1080" w:type="dxa"/>
            <w:tcBorders>
              <w:top w:val="single" w:sz="4" w:space="0" w:color="auto"/>
              <w:left w:val="nil"/>
              <w:bottom w:val="single" w:sz="4" w:space="0" w:color="auto"/>
              <w:right w:val="single" w:sz="4" w:space="0" w:color="auto"/>
            </w:tcBorders>
            <w:vAlign w:val="center"/>
          </w:tcPr>
          <w:p w14:paraId="17089D4B" w14:textId="77777777" w:rsidR="00E579B9" w:rsidRDefault="006A1398">
            <w:pPr>
              <w:pStyle w:val="aa"/>
            </w:pPr>
            <w:r>
              <w:rPr>
                <w:rFonts w:hint="eastAsia"/>
              </w:rPr>
              <w:t>1</w:t>
            </w:r>
          </w:p>
        </w:tc>
        <w:tc>
          <w:tcPr>
            <w:tcW w:w="2877" w:type="dxa"/>
            <w:tcBorders>
              <w:top w:val="single" w:sz="4" w:space="0" w:color="auto"/>
              <w:left w:val="nil"/>
              <w:bottom w:val="single" w:sz="4" w:space="0" w:color="auto"/>
              <w:right w:val="single" w:sz="4" w:space="0" w:color="auto"/>
            </w:tcBorders>
            <w:vAlign w:val="center"/>
          </w:tcPr>
          <w:p w14:paraId="4086F441" w14:textId="77777777" w:rsidR="00E579B9" w:rsidRDefault="006A1398">
            <w:pPr>
              <w:pStyle w:val="aa"/>
            </w:pPr>
            <w:r>
              <w:rPr>
                <w:rFonts w:hint="eastAsia"/>
              </w:rPr>
              <w:t>S</w:t>
            </w:r>
            <w:r>
              <w:rPr>
                <w:rFonts w:hint="eastAsia"/>
                <w:vertAlign w:val="subscript"/>
              </w:rPr>
              <w:t>11</w:t>
            </w:r>
            <w:r>
              <w:rPr>
                <w:rFonts w:hint="eastAsia"/>
              </w:rPr>
              <w:t>-100/10/0.4kVA</w:t>
            </w:r>
          </w:p>
        </w:tc>
        <w:tc>
          <w:tcPr>
            <w:tcW w:w="1301" w:type="dxa"/>
            <w:tcBorders>
              <w:top w:val="single" w:sz="4" w:space="0" w:color="auto"/>
              <w:left w:val="nil"/>
              <w:bottom w:val="single" w:sz="4" w:space="0" w:color="auto"/>
              <w:right w:val="single" w:sz="4" w:space="0" w:color="auto"/>
            </w:tcBorders>
            <w:vAlign w:val="center"/>
          </w:tcPr>
          <w:p w14:paraId="14554053" w14:textId="77777777" w:rsidR="00E579B9" w:rsidRDefault="006A1398">
            <w:pPr>
              <w:pStyle w:val="aa"/>
            </w:pPr>
            <w:r>
              <w:rPr>
                <w:rFonts w:hint="eastAsia"/>
              </w:rPr>
              <w:t>办公、照明</w:t>
            </w:r>
          </w:p>
        </w:tc>
      </w:tr>
      <w:tr w:rsidR="00E579B9" w14:paraId="08B96151" w14:textId="77777777">
        <w:trPr>
          <w:trHeight w:val="21"/>
          <w:jc w:val="center"/>
        </w:trPr>
        <w:tc>
          <w:tcPr>
            <w:tcW w:w="704" w:type="dxa"/>
            <w:tcBorders>
              <w:top w:val="single" w:sz="4" w:space="0" w:color="auto"/>
              <w:left w:val="single" w:sz="4" w:space="0" w:color="auto"/>
              <w:bottom w:val="single" w:sz="4" w:space="0" w:color="auto"/>
              <w:right w:val="single" w:sz="4" w:space="0" w:color="auto"/>
            </w:tcBorders>
            <w:vAlign w:val="center"/>
          </w:tcPr>
          <w:p w14:paraId="5911C1D8" w14:textId="5F47BEA6" w:rsidR="00E579B9" w:rsidRDefault="00E579B9" w:rsidP="00A21D5F">
            <w:pPr>
              <w:pStyle w:val="aa"/>
              <w:numPr>
                <w:ilvl w:val="0"/>
                <w:numId w:val="17"/>
              </w:numPr>
            </w:pPr>
          </w:p>
        </w:tc>
        <w:tc>
          <w:tcPr>
            <w:tcW w:w="1821" w:type="dxa"/>
            <w:tcBorders>
              <w:top w:val="single" w:sz="4" w:space="0" w:color="auto"/>
              <w:left w:val="nil"/>
              <w:bottom w:val="single" w:sz="4" w:space="0" w:color="auto"/>
              <w:right w:val="single" w:sz="4" w:space="0" w:color="auto"/>
            </w:tcBorders>
            <w:vAlign w:val="center"/>
          </w:tcPr>
          <w:p w14:paraId="1946620C" w14:textId="77777777" w:rsidR="00E579B9" w:rsidRDefault="006A1398">
            <w:pPr>
              <w:pStyle w:val="aa"/>
            </w:pPr>
            <w:r>
              <w:rPr>
                <w:rFonts w:hint="eastAsia"/>
              </w:rPr>
              <w:t>合计</w:t>
            </w:r>
          </w:p>
        </w:tc>
        <w:tc>
          <w:tcPr>
            <w:tcW w:w="900" w:type="dxa"/>
            <w:tcBorders>
              <w:top w:val="single" w:sz="4" w:space="0" w:color="auto"/>
              <w:left w:val="nil"/>
              <w:bottom w:val="single" w:sz="4" w:space="0" w:color="auto"/>
              <w:right w:val="single" w:sz="4" w:space="0" w:color="auto"/>
            </w:tcBorders>
            <w:vAlign w:val="center"/>
          </w:tcPr>
          <w:p w14:paraId="3C2C3363" w14:textId="77777777" w:rsidR="00E579B9" w:rsidRDefault="00E579B9">
            <w:pPr>
              <w:pStyle w:val="aa"/>
            </w:pPr>
          </w:p>
        </w:tc>
        <w:tc>
          <w:tcPr>
            <w:tcW w:w="1080" w:type="dxa"/>
            <w:tcBorders>
              <w:top w:val="single" w:sz="4" w:space="0" w:color="auto"/>
              <w:left w:val="nil"/>
              <w:bottom w:val="single" w:sz="4" w:space="0" w:color="auto"/>
              <w:right w:val="single" w:sz="4" w:space="0" w:color="auto"/>
            </w:tcBorders>
            <w:vAlign w:val="center"/>
          </w:tcPr>
          <w:p w14:paraId="06BC2C51" w14:textId="77777777" w:rsidR="00E579B9" w:rsidRDefault="006A1398">
            <w:pPr>
              <w:pStyle w:val="aa"/>
            </w:pPr>
            <w:r>
              <w:rPr>
                <w:rFonts w:hint="eastAsia"/>
              </w:rPr>
              <w:t>26</w:t>
            </w:r>
          </w:p>
        </w:tc>
        <w:tc>
          <w:tcPr>
            <w:tcW w:w="2877" w:type="dxa"/>
            <w:tcBorders>
              <w:top w:val="single" w:sz="4" w:space="0" w:color="auto"/>
              <w:left w:val="nil"/>
              <w:bottom w:val="single" w:sz="4" w:space="0" w:color="auto"/>
              <w:right w:val="single" w:sz="4" w:space="0" w:color="auto"/>
            </w:tcBorders>
            <w:vAlign w:val="center"/>
          </w:tcPr>
          <w:p w14:paraId="7BFCE09C" w14:textId="77777777" w:rsidR="00E579B9" w:rsidRDefault="00E579B9">
            <w:pPr>
              <w:pStyle w:val="aa"/>
            </w:pPr>
          </w:p>
        </w:tc>
        <w:tc>
          <w:tcPr>
            <w:tcW w:w="1301" w:type="dxa"/>
            <w:tcBorders>
              <w:top w:val="single" w:sz="4" w:space="0" w:color="auto"/>
              <w:left w:val="nil"/>
              <w:bottom w:val="single" w:sz="4" w:space="0" w:color="auto"/>
              <w:right w:val="single" w:sz="4" w:space="0" w:color="auto"/>
            </w:tcBorders>
            <w:vAlign w:val="center"/>
          </w:tcPr>
          <w:p w14:paraId="2F41C1ED" w14:textId="77777777" w:rsidR="00E579B9" w:rsidRDefault="00E579B9">
            <w:pPr>
              <w:pStyle w:val="aa"/>
            </w:pPr>
          </w:p>
        </w:tc>
      </w:tr>
    </w:tbl>
    <w:p w14:paraId="4AD70717" w14:textId="77777777" w:rsidR="00E579B9" w:rsidRDefault="006A1398">
      <w:bookmarkStart w:id="150" w:name="_Toc531939332"/>
      <w:bookmarkStart w:id="151" w:name="_Toc20192"/>
      <w:r>
        <w:rPr>
          <w:rFonts w:hint="eastAsia"/>
        </w:rPr>
        <w:t>经对照《高耗能落后机电设备淘汰目录（第一批</w:t>
      </w:r>
      <w:r>
        <w:rPr>
          <w:rFonts w:hint="eastAsia"/>
        </w:rPr>
        <w:t>-</w:t>
      </w:r>
      <w:r>
        <w:rPr>
          <w:rFonts w:hint="eastAsia"/>
        </w:rPr>
        <w:t>第四批）》，本项目所用设备无淘汰类设备，经</w:t>
      </w:r>
      <w:proofErr w:type="gramStart"/>
      <w:r>
        <w:rPr>
          <w:rFonts w:hint="eastAsia"/>
        </w:rPr>
        <w:t>查国家</w:t>
      </w:r>
      <w:proofErr w:type="gramEnd"/>
      <w:r>
        <w:rPr>
          <w:rFonts w:hint="eastAsia"/>
        </w:rPr>
        <w:t>发展和改革委员会发布的《产业结构调整目录（</w:t>
      </w:r>
      <w:r>
        <w:rPr>
          <w:rFonts w:hint="eastAsia"/>
        </w:rPr>
        <w:t>2011</w:t>
      </w:r>
      <w:r>
        <w:rPr>
          <w:rFonts w:hint="eastAsia"/>
        </w:rPr>
        <w:t>年本）》（</w:t>
      </w:r>
      <w:r>
        <w:rPr>
          <w:rFonts w:hint="eastAsia"/>
        </w:rPr>
        <w:t>2013</w:t>
      </w:r>
      <w:r>
        <w:rPr>
          <w:rFonts w:hint="eastAsia"/>
        </w:rPr>
        <w:t>年修正），本项目所用设备无“淘汰类”中“落后生产工艺装备”中所列设备，符合国家产业政策。</w:t>
      </w:r>
    </w:p>
    <w:p w14:paraId="3637CCB5" w14:textId="77777777" w:rsidR="00E579B9" w:rsidRDefault="006A1398">
      <w:pPr>
        <w:pStyle w:val="3"/>
        <w:ind w:firstLine="560"/>
      </w:pPr>
      <w:r>
        <w:t>3.6.3</w:t>
      </w:r>
      <w:bookmarkEnd w:id="150"/>
      <w:bookmarkEnd w:id="151"/>
      <w:r>
        <w:rPr>
          <w:rFonts w:hint="eastAsia"/>
        </w:rPr>
        <w:t>原辅材料</w:t>
      </w:r>
    </w:p>
    <w:p w14:paraId="15B4FCF2" w14:textId="77777777" w:rsidR="00E579B9" w:rsidRDefault="006A1398">
      <w:pPr>
        <w:rPr>
          <w:highlight w:val="yellow"/>
        </w:rPr>
      </w:pPr>
      <w:r>
        <w:rPr>
          <w:rFonts w:hint="eastAsia"/>
        </w:rPr>
        <w:t>本项目主要原辅材料详</w:t>
      </w:r>
      <w:r>
        <w:t>见表</w:t>
      </w:r>
      <w:r>
        <w:t>3</w:t>
      </w:r>
      <w:r>
        <w:rPr>
          <w:rFonts w:hint="eastAsia"/>
        </w:rPr>
        <w:t>.</w:t>
      </w:r>
      <w:r>
        <w:t>6-2</w:t>
      </w:r>
      <w:r>
        <w:t>。</w:t>
      </w:r>
    </w:p>
    <w:p w14:paraId="5B588470" w14:textId="7AAF7ED5" w:rsidR="00E579B9" w:rsidRDefault="006A1398">
      <w:pPr>
        <w:pStyle w:val="21"/>
        <w:rPr>
          <w:rFonts w:eastAsia="楷体_GB2312"/>
        </w:rPr>
      </w:pPr>
      <w:r>
        <w:t>表</w:t>
      </w:r>
      <w:r>
        <w:t>3</w:t>
      </w:r>
      <w:r>
        <w:rPr>
          <w:rFonts w:hint="eastAsia"/>
        </w:rPr>
        <w:t>.</w:t>
      </w:r>
      <w:r>
        <w:t>6-2</w:t>
      </w:r>
      <w:r>
        <w:t>主要</w:t>
      </w:r>
      <w:r>
        <w:rPr>
          <w:rFonts w:hint="eastAsia"/>
        </w:rPr>
        <w:t>原辅材料消耗</w:t>
      </w:r>
      <w: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Pr>
      <w:tblGrid>
        <w:gridCol w:w="700"/>
        <w:gridCol w:w="1449"/>
        <w:gridCol w:w="1069"/>
        <w:gridCol w:w="1671"/>
        <w:gridCol w:w="731"/>
        <w:gridCol w:w="1550"/>
        <w:gridCol w:w="1550"/>
      </w:tblGrid>
      <w:tr w:rsidR="006103B9" w14:paraId="71CDD6FE" w14:textId="1BF3F17B" w:rsidTr="006103B9">
        <w:trPr>
          <w:trHeight w:val="21"/>
          <w:tblHeader/>
          <w:jc w:val="center"/>
        </w:trPr>
        <w:tc>
          <w:tcPr>
            <w:tcW w:w="401" w:type="pct"/>
            <w:tcMar>
              <w:top w:w="28" w:type="dxa"/>
              <w:bottom w:w="28" w:type="dxa"/>
            </w:tcMar>
            <w:vAlign w:val="center"/>
          </w:tcPr>
          <w:p w14:paraId="6DDDA330" w14:textId="77777777" w:rsidR="006103B9" w:rsidRDefault="006103B9">
            <w:pPr>
              <w:pStyle w:val="aa"/>
            </w:pPr>
            <w:r>
              <w:rPr>
                <w:rFonts w:hint="eastAsia"/>
              </w:rPr>
              <w:t>序号</w:t>
            </w:r>
          </w:p>
        </w:tc>
        <w:tc>
          <w:tcPr>
            <w:tcW w:w="831" w:type="pct"/>
            <w:tcMar>
              <w:top w:w="28" w:type="dxa"/>
              <w:bottom w:w="28" w:type="dxa"/>
            </w:tcMar>
            <w:vAlign w:val="center"/>
          </w:tcPr>
          <w:p w14:paraId="6ACA54DB" w14:textId="77777777" w:rsidR="006103B9" w:rsidRDefault="006103B9">
            <w:pPr>
              <w:pStyle w:val="aa"/>
            </w:pPr>
            <w:r>
              <w:rPr>
                <w:rFonts w:hint="eastAsia"/>
              </w:rPr>
              <w:t>名称</w:t>
            </w:r>
          </w:p>
        </w:tc>
        <w:tc>
          <w:tcPr>
            <w:tcW w:w="613" w:type="pct"/>
            <w:tcMar>
              <w:top w:w="28" w:type="dxa"/>
              <w:bottom w:w="28" w:type="dxa"/>
            </w:tcMar>
            <w:vAlign w:val="center"/>
          </w:tcPr>
          <w:p w14:paraId="6F264F77" w14:textId="77777777" w:rsidR="006103B9" w:rsidRDefault="006103B9">
            <w:pPr>
              <w:pStyle w:val="aa"/>
            </w:pPr>
            <w:r>
              <w:rPr>
                <w:rFonts w:hint="eastAsia"/>
              </w:rPr>
              <w:t>单位</w:t>
            </w:r>
          </w:p>
        </w:tc>
        <w:tc>
          <w:tcPr>
            <w:tcW w:w="958" w:type="pct"/>
            <w:tcMar>
              <w:top w:w="28" w:type="dxa"/>
              <w:bottom w:w="28" w:type="dxa"/>
            </w:tcMar>
            <w:vAlign w:val="center"/>
          </w:tcPr>
          <w:p w14:paraId="2BC37674" w14:textId="77777777" w:rsidR="006103B9" w:rsidRDefault="006103B9">
            <w:pPr>
              <w:pStyle w:val="aa"/>
            </w:pPr>
            <w:r>
              <w:rPr>
                <w:rFonts w:hint="eastAsia"/>
              </w:rPr>
              <w:t>用量</w:t>
            </w:r>
          </w:p>
        </w:tc>
        <w:tc>
          <w:tcPr>
            <w:tcW w:w="419" w:type="pct"/>
            <w:tcMar>
              <w:top w:w="28" w:type="dxa"/>
              <w:bottom w:w="28" w:type="dxa"/>
            </w:tcMar>
            <w:vAlign w:val="center"/>
          </w:tcPr>
          <w:p w14:paraId="04A3FB1D" w14:textId="77777777" w:rsidR="006103B9" w:rsidRDefault="006103B9">
            <w:pPr>
              <w:pStyle w:val="aa"/>
            </w:pPr>
            <w:r>
              <w:rPr>
                <w:rFonts w:hint="eastAsia"/>
              </w:rPr>
              <w:t>备注</w:t>
            </w:r>
          </w:p>
        </w:tc>
        <w:tc>
          <w:tcPr>
            <w:tcW w:w="889" w:type="pct"/>
            <w:tcMar>
              <w:top w:w="28" w:type="dxa"/>
              <w:bottom w:w="28" w:type="dxa"/>
            </w:tcMar>
          </w:tcPr>
          <w:p w14:paraId="21E53924" w14:textId="77777777" w:rsidR="006103B9" w:rsidRDefault="006103B9">
            <w:pPr>
              <w:pStyle w:val="aa"/>
            </w:pPr>
            <w:r>
              <w:rPr>
                <w:rFonts w:hint="eastAsia"/>
              </w:rPr>
              <w:t>来源</w:t>
            </w:r>
          </w:p>
        </w:tc>
        <w:tc>
          <w:tcPr>
            <w:tcW w:w="889" w:type="pct"/>
            <w:vAlign w:val="center"/>
          </w:tcPr>
          <w:p w14:paraId="7883B7FF" w14:textId="3A7B5C5A" w:rsidR="006103B9" w:rsidRPr="006103B9" w:rsidRDefault="006103B9">
            <w:pPr>
              <w:pStyle w:val="aa"/>
              <w:rPr>
                <w:color w:val="FF0000"/>
              </w:rPr>
            </w:pPr>
            <w:r w:rsidRPr="006103B9">
              <w:rPr>
                <w:rFonts w:hint="eastAsia"/>
                <w:color w:val="FF0000"/>
              </w:rPr>
              <w:t>备注</w:t>
            </w:r>
          </w:p>
        </w:tc>
      </w:tr>
      <w:tr w:rsidR="006103B9" w14:paraId="0E4DE374" w14:textId="7036BA4E" w:rsidTr="006103B9">
        <w:trPr>
          <w:trHeight w:val="90"/>
          <w:tblHeader/>
          <w:jc w:val="center"/>
        </w:trPr>
        <w:tc>
          <w:tcPr>
            <w:tcW w:w="401" w:type="pct"/>
            <w:tcMar>
              <w:top w:w="28" w:type="dxa"/>
              <w:bottom w:w="28" w:type="dxa"/>
            </w:tcMar>
            <w:vAlign w:val="center"/>
          </w:tcPr>
          <w:p w14:paraId="00BDC1F8" w14:textId="77777777" w:rsidR="006103B9" w:rsidRDefault="006103B9">
            <w:pPr>
              <w:pStyle w:val="aa"/>
            </w:pPr>
            <w:r>
              <w:rPr>
                <w:rFonts w:hint="eastAsia"/>
              </w:rPr>
              <w:t>1</w:t>
            </w:r>
          </w:p>
        </w:tc>
        <w:tc>
          <w:tcPr>
            <w:tcW w:w="831" w:type="pct"/>
            <w:tcMar>
              <w:top w:w="28" w:type="dxa"/>
              <w:bottom w:w="28" w:type="dxa"/>
            </w:tcMar>
            <w:vAlign w:val="center"/>
          </w:tcPr>
          <w:p w14:paraId="0AC6E598" w14:textId="77777777" w:rsidR="006103B9" w:rsidRDefault="006103B9">
            <w:pPr>
              <w:pStyle w:val="aa"/>
            </w:pPr>
            <w:r>
              <w:rPr>
                <w:rFonts w:hint="eastAsia"/>
              </w:rPr>
              <w:t>炸药</w:t>
            </w:r>
          </w:p>
        </w:tc>
        <w:tc>
          <w:tcPr>
            <w:tcW w:w="613" w:type="pct"/>
            <w:tcMar>
              <w:top w:w="28" w:type="dxa"/>
              <w:bottom w:w="28" w:type="dxa"/>
            </w:tcMar>
            <w:vAlign w:val="center"/>
          </w:tcPr>
          <w:p w14:paraId="0B62A8ED" w14:textId="77777777" w:rsidR="006103B9" w:rsidRDefault="006103B9">
            <w:pPr>
              <w:pStyle w:val="aa"/>
            </w:pPr>
            <w:r>
              <w:t>t/a</w:t>
            </w:r>
          </w:p>
        </w:tc>
        <w:tc>
          <w:tcPr>
            <w:tcW w:w="958" w:type="pct"/>
            <w:tcMar>
              <w:top w:w="28" w:type="dxa"/>
              <w:bottom w:w="28" w:type="dxa"/>
            </w:tcMar>
            <w:vAlign w:val="center"/>
          </w:tcPr>
          <w:p w14:paraId="62F74D9F" w14:textId="77777777" w:rsidR="006103B9" w:rsidRDefault="006103B9">
            <w:pPr>
              <w:pStyle w:val="aa"/>
            </w:pPr>
            <w:r>
              <w:t>1610</w:t>
            </w:r>
          </w:p>
        </w:tc>
        <w:tc>
          <w:tcPr>
            <w:tcW w:w="419" w:type="pct"/>
            <w:tcMar>
              <w:top w:w="28" w:type="dxa"/>
              <w:bottom w:w="28" w:type="dxa"/>
            </w:tcMar>
            <w:vAlign w:val="center"/>
          </w:tcPr>
          <w:p w14:paraId="4469B3D3" w14:textId="77777777" w:rsidR="006103B9" w:rsidRDefault="006103B9">
            <w:pPr>
              <w:pStyle w:val="aa"/>
            </w:pPr>
            <w:r>
              <w:rPr>
                <w:rFonts w:hint="eastAsia"/>
              </w:rPr>
              <w:t>辅料</w:t>
            </w:r>
          </w:p>
        </w:tc>
        <w:tc>
          <w:tcPr>
            <w:tcW w:w="889" w:type="pct"/>
            <w:tcMar>
              <w:top w:w="28" w:type="dxa"/>
              <w:bottom w:w="28" w:type="dxa"/>
            </w:tcMar>
          </w:tcPr>
          <w:p w14:paraId="26248CC1" w14:textId="77777777" w:rsidR="006103B9" w:rsidRDefault="006103B9">
            <w:pPr>
              <w:pStyle w:val="aa"/>
            </w:pPr>
            <w:r>
              <w:rPr>
                <w:rFonts w:hint="eastAsia"/>
              </w:rPr>
              <w:t>外购</w:t>
            </w:r>
          </w:p>
        </w:tc>
        <w:tc>
          <w:tcPr>
            <w:tcW w:w="889" w:type="pct"/>
            <w:vMerge w:val="restart"/>
            <w:vAlign w:val="center"/>
          </w:tcPr>
          <w:p w14:paraId="7E962829" w14:textId="6C40751A" w:rsidR="006103B9" w:rsidRPr="006103B9" w:rsidRDefault="006103B9">
            <w:pPr>
              <w:pStyle w:val="aa"/>
              <w:rPr>
                <w:color w:val="FF0000"/>
              </w:rPr>
            </w:pPr>
            <w:r w:rsidRPr="006103B9">
              <w:rPr>
                <w:rFonts w:hint="eastAsia"/>
                <w:color w:val="FF0000"/>
              </w:rPr>
              <w:t>与专业爆破公司签订服务协议</w:t>
            </w:r>
          </w:p>
        </w:tc>
      </w:tr>
      <w:tr w:rsidR="006103B9" w14:paraId="6B85C558" w14:textId="618FA767" w:rsidTr="006103B9">
        <w:trPr>
          <w:trHeight w:val="90"/>
          <w:tblHeader/>
          <w:jc w:val="center"/>
        </w:trPr>
        <w:tc>
          <w:tcPr>
            <w:tcW w:w="401" w:type="pct"/>
            <w:tcMar>
              <w:top w:w="28" w:type="dxa"/>
              <w:bottom w:w="28" w:type="dxa"/>
            </w:tcMar>
            <w:vAlign w:val="center"/>
          </w:tcPr>
          <w:p w14:paraId="5D1B9CF3" w14:textId="77777777" w:rsidR="006103B9" w:rsidRDefault="006103B9">
            <w:pPr>
              <w:pStyle w:val="aa"/>
            </w:pPr>
            <w:r>
              <w:rPr>
                <w:rFonts w:hint="eastAsia"/>
              </w:rPr>
              <w:t>2</w:t>
            </w:r>
          </w:p>
        </w:tc>
        <w:tc>
          <w:tcPr>
            <w:tcW w:w="831" w:type="pct"/>
            <w:tcMar>
              <w:top w:w="28" w:type="dxa"/>
              <w:bottom w:w="28" w:type="dxa"/>
            </w:tcMar>
            <w:vAlign w:val="center"/>
          </w:tcPr>
          <w:p w14:paraId="0760FEE2" w14:textId="77777777" w:rsidR="006103B9" w:rsidRDefault="006103B9">
            <w:pPr>
              <w:pStyle w:val="aa"/>
            </w:pPr>
            <w:r>
              <w:rPr>
                <w:rFonts w:hint="eastAsia"/>
              </w:rPr>
              <w:t>钻头</w:t>
            </w:r>
          </w:p>
        </w:tc>
        <w:tc>
          <w:tcPr>
            <w:tcW w:w="613" w:type="pct"/>
            <w:tcMar>
              <w:top w:w="28" w:type="dxa"/>
              <w:bottom w:w="28" w:type="dxa"/>
            </w:tcMar>
            <w:vAlign w:val="center"/>
          </w:tcPr>
          <w:p w14:paraId="2F1EC718" w14:textId="77777777" w:rsidR="006103B9" w:rsidRDefault="006103B9">
            <w:pPr>
              <w:pStyle w:val="aa"/>
            </w:pPr>
            <w:proofErr w:type="gramStart"/>
            <w:r>
              <w:rPr>
                <w:rFonts w:hint="eastAsia"/>
              </w:rPr>
              <w:t>个</w:t>
            </w:r>
            <w:proofErr w:type="gramEnd"/>
          </w:p>
        </w:tc>
        <w:tc>
          <w:tcPr>
            <w:tcW w:w="958" w:type="pct"/>
            <w:tcMar>
              <w:top w:w="28" w:type="dxa"/>
              <w:bottom w:w="28" w:type="dxa"/>
            </w:tcMar>
            <w:vAlign w:val="center"/>
          </w:tcPr>
          <w:p w14:paraId="4AC8B6E4" w14:textId="77777777" w:rsidR="006103B9" w:rsidRDefault="006103B9">
            <w:pPr>
              <w:pStyle w:val="aa"/>
            </w:pPr>
            <w:r>
              <w:t>920</w:t>
            </w:r>
          </w:p>
        </w:tc>
        <w:tc>
          <w:tcPr>
            <w:tcW w:w="419" w:type="pct"/>
            <w:tcMar>
              <w:top w:w="28" w:type="dxa"/>
              <w:bottom w:w="28" w:type="dxa"/>
            </w:tcMar>
            <w:vAlign w:val="center"/>
          </w:tcPr>
          <w:p w14:paraId="111D1422" w14:textId="77777777" w:rsidR="006103B9" w:rsidRDefault="006103B9">
            <w:pPr>
              <w:pStyle w:val="aa"/>
            </w:pPr>
            <w:r>
              <w:rPr>
                <w:rFonts w:hint="eastAsia"/>
              </w:rPr>
              <w:t>辅料</w:t>
            </w:r>
          </w:p>
        </w:tc>
        <w:tc>
          <w:tcPr>
            <w:tcW w:w="889" w:type="pct"/>
            <w:tcMar>
              <w:top w:w="28" w:type="dxa"/>
              <w:bottom w:w="28" w:type="dxa"/>
            </w:tcMar>
          </w:tcPr>
          <w:p w14:paraId="239A24E2" w14:textId="77777777" w:rsidR="006103B9" w:rsidRDefault="006103B9">
            <w:pPr>
              <w:pStyle w:val="aa"/>
            </w:pPr>
            <w:r>
              <w:rPr>
                <w:rFonts w:hint="eastAsia"/>
              </w:rPr>
              <w:t>外购</w:t>
            </w:r>
          </w:p>
        </w:tc>
        <w:tc>
          <w:tcPr>
            <w:tcW w:w="889" w:type="pct"/>
            <w:vMerge/>
          </w:tcPr>
          <w:p w14:paraId="5F15F3A8" w14:textId="77777777" w:rsidR="006103B9" w:rsidRDefault="006103B9">
            <w:pPr>
              <w:pStyle w:val="aa"/>
            </w:pPr>
          </w:p>
        </w:tc>
      </w:tr>
      <w:tr w:rsidR="006103B9" w14:paraId="515AFC29" w14:textId="68315AAE" w:rsidTr="006103B9">
        <w:trPr>
          <w:trHeight w:val="90"/>
          <w:tblHeader/>
          <w:jc w:val="center"/>
        </w:trPr>
        <w:tc>
          <w:tcPr>
            <w:tcW w:w="401" w:type="pct"/>
            <w:tcMar>
              <w:top w:w="28" w:type="dxa"/>
              <w:bottom w:w="28" w:type="dxa"/>
            </w:tcMar>
            <w:vAlign w:val="center"/>
          </w:tcPr>
          <w:p w14:paraId="05F0B99B" w14:textId="77777777" w:rsidR="006103B9" w:rsidRDefault="006103B9">
            <w:pPr>
              <w:pStyle w:val="aa"/>
            </w:pPr>
            <w:r>
              <w:rPr>
                <w:rFonts w:hint="eastAsia"/>
              </w:rPr>
              <w:t>3</w:t>
            </w:r>
          </w:p>
        </w:tc>
        <w:tc>
          <w:tcPr>
            <w:tcW w:w="831" w:type="pct"/>
            <w:tcMar>
              <w:top w:w="28" w:type="dxa"/>
              <w:bottom w:w="28" w:type="dxa"/>
            </w:tcMar>
            <w:vAlign w:val="center"/>
          </w:tcPr>
          <w:p w14:paraId="7F0D33DD" w14:textId="77777777" w:rsidR="006103B9" w:rsidRDefault="006103B9">
            <w:pPr>
              <w:pStyle w:val="aa"/>
            </w:pPr>
            <w:r>
              <w:rPr>
                <w:rFonts w:hint="eastAsia"/>
              </w:rPr>
              <w:t>钻杆</w:t>
            </w:r>
          </w:p>
        </w:tc>
        <w:tc>
          <w:tcPr>
            <w:tcW w:w="613" w:type="pct"/>
            <w:tcMar>
              <w:top w:w="28" w:type="dxa"/>
              <w:bottom w:w="28" w:type="dxa"/>
            </w:tcMar>
            <w:vAlign w:val="center"/>
          </w:tcPr>
          <w:p w14:paraId="388BAD35" w14:textId="77777777" w:rsidR="006103B9" w:rsidRDefault="006103B9">
            <w:pPr>
              <w:pStyle w:val="aa"/>
            </w:pPr>
            <w:r>
              <w:rPr>
                <w:rFonts w:hint="eastAsia"/>
              </w:rPr>
              <w:t>千克</w:t>
            </w:r>
          </w:p>
        </w:tc>
        <w:tc>
          <w:tcPr>
            <w:tcW w:w="958" w:type="pct"/>
            <w:tcMar>
              <w:top w:w="28" w:type="dxa"/>
              <w:bottom w:w="28" w:type="dxa"/>
            </w:tcMar>
            <w:vAlign w:val="center"/>
          </w:tcPr>
          <w:p w14:paraId="618090E9" w14:textId="77777777" w:rsidR="006103B9" w:rsidRDefault="006103B9">
            <w:pPr>
              <w:pStyle w:val="aa"/>
            </w:pPr>
            <w:r>
              <w:t>4600</w:t>
            </w:r>
          </w:p>
        </w:tc>
        <w:tc>
          <w:tcPr>
            <w:tcW w:w="419" w:type="pct"/>
            <w:tcMar>
              <w:top w:w="28" w:type="dxa"/>
              <w:bottom w:w="28" w:type="dxa"/>
            </w:tcMar>
            <w:vAlign w:val="center"/>
          </w:tcPr>
          <w:p w14:paraId="1C441F80" w14:textId="77777777" w:rsidR="006103B9" w:rsidRDefault="006103B9">
            <w:pPr>
              <w:pStyle w:val="aa"/>
            </w:pPr>
            <w:r>
              <w:rPr>
                <w:rFonts w:hint="eastAsia"/>
              </w:rPr>
              <w:t>辅料</w:t>
            </w:r>
          </w:p>
        </w:tc>
        <w:tc>
          <w:tcPr>
            <w:tcW w:w="889" w:type="pct"/>
            <w:tcMar>
              <w:top w:w="28" w:type="dxa"/>
              <w:bottom w:w="28" w:type="dxa"/>
            </w:tcMar>
          </w:tcPr>
          <w:p w14:paraId="7C7937B4" w14:textId="77777777" w:rsidR="006103B9" w:rsidRDefault="006103B9">
            <w:pPr>
              <w:pStyle w:val="aa"/>
            </w:pPr>
            <w:r>
              <w:rPr>
                <w:rFonts w:hint="eastAsia"/>
              </w:rPr>
              <w:t>外购</w:t>
            </w:r>
          </w:p>
        </w:tc>
        <w:tc>
          <w:tcPr>
            <w:tcW w:w="889" w:type="pct"/>
            <w:vMerge/>
          </w:tcPr>
          <w:p w14:paraId="4870BF92" w14:textId="77777777" w:rsidR="006103B9" w:rsidRDefault="006103B9">
            <w:pPr>
              <w:pStyle w:val="aa"/>
            </w:pPr>
          </w:p>
        </w:tc>
      </w:tr>
      <w:tr w:rsidR="006103B9" w14:paraId="5C82D767" w14:textId="28720F45" w:rsidTr="006103B9">
        <w:trPr>
          <w:trHeight w:val="21"/>
          <w:tblHeader/>
          <w:jc w:val="center"/>
        </w:trPr>
        <w:tc>
          <w:tcPr>
            <w:tcW w:w="401" w:type="pct"/>
            <w:tcMar>
              <w:top w:w="28" w:type="dxa"/>
              <w:bottom w:w="28" w:type="dxa"/>
            </w:tcMar>
            <w:vAlign w:val="center"/>
          </w:tcPr>
          <w:p w14:paraId="2A888FD5" w14:textId="77777777" w:rsidR="006103B9" w:rsidRDefault="006103B9">
            <w:pPr>
              <w:pStyle w:val="aa"/>
            </w:pPr>
            <w:r>
              <w:rPr>
                <w:rFonts w:hint="eastAsia"/>
              </w:rPr>
              <w:t>4</w:t>
            </w:r>
          </w:p>
        </w:tc>
        <w:tc>
          <w:tcPr>
            <w:tcW w:w="831" w:type="pct"/>
            <w:tcMar>
              <w:top w:w="28" w:type="dxa"/>
              <w:bottom w:w="28" w:type="dxa"/>
            </w:tcMar>
            <w:vAlign w:val="center"/>
          </w:tcPr>
          <w:p w14:paraId="5402972C" w14:textId="77777777" w:rsidR="006103B9" w:rsidRDefault="006103B9">
            <w:pPr>
              <w:pStyle w:val="aa"/>
            </w:pPr>
            <w:r>
              <w:rPr>
                <w:rFonts w:hint="eastAsia"/>
              </w:rPr>
              <w:t>非电导爆管</w:t>
            </w:r>
          </w:p>
        </w:tc>
        <w:tc>
          <w:tcPr>
            <w:tcW w:w="613" w:type="pct"/>
            <w:tcMar>
              <w:top w:w="28" w:type="dxa"/>
              <w:bottom w:w="28" w:type="dxa"/>
            </w:tcMar>
            <w:vAlign w:val="center"/>
          </w:tcPr>
          <w:p w14:paraId="026E670D" w14:textId="77777777" w:rsidR="006103B9" w:rsidRDefault="006103B9">
            <w:pPr>
              <w:pStyle w:val="aa"/>
            </w:pPr>
            <w:proofErr w:type="gramStart"/>
            <w:r>
              <w:rPr>
                <w:rFonts w:hint="eastAsia"/>
              </w:rPr>
              <w:t>个</w:t>
            </w:r>
            <w:proofErr w:type="gramEnd"/>
          </w:p>
        </w:tc>
        <w:tc>
          <w:tcPr>
            <w:tcW w:w="958" w:type="pct"/>
            <w:tcMar>
              <w:top w:w="28" w:type="dxa"/>
              <w:bottom w:w="28" w:type="dxa"/>
            </w:tcMar>
            <w:vAlign w:val="center"/>
          </w:tcPr>
          <w:p w14:paraId="60741F0F" w14:textId="77777777" w:rsidR="006103B9" w:rsidRDefault="006103B9">
            <w:pPr>
              <w:pStyle w:val="aa"/>
            </w:pPr>
            <w:r>
              <w:t>46000</w:t>
            </w:r>
          </w:p>
        </w:tc>
        <w:tc>
          <w:tcPr>
            <w:tcW w:w="419" w:type="pct"/>
            <w:tcMar>
              <w:top w:w="28" w:type="dxa"/>
              <w:bottom w:w="28" w:type="dxa"/>
            </w:tcMar>
            <w:vAlign w:val="center"/>
          </w:tcPr>
          <w:p w14:paraId="61D86B46" w14:textId="77777777" w:rsidR="006103B9" w:rsidRDefault="006103B9">
            <w:pPr>
              <w:pStyle w:val="aa"/>
            </w:pPr>
            <w:r>
              <w:rPr>
                <w:rFonts w:hint="eastAsia"/>
              </w:rPr>
              <w:t>辅料</w:t>
            </w:r>
          </w:p>
        </w:tc>
        <w:tc>
          <w:tcPr>
            <w:tcW w:w="889" w:type="pct"/>
            <w:tcMar>
              <w:top w:w="28" w:type="dxa"/>
              <w:bottom w:w="28" w:type="dxa"/>
            </w:tcMar>
          </w:tcPr>
          <w:p w14:paraId="469851B1" w14:textId="77777777" w:rsidR="006103B9" w:rsidRDefault="006103B9">
            <w:pPr>
              <w:pStyle w:val="aa"/>
            </w:pPr>
            <w:r>
              <w:rPr>
                <w:rFonts w:hint="eastAsia"/>
              </w:rPr>
              <w:t>外购</w:t>
            </w:r>
          </w:p>
        </w:tc>
        <w:tc>
          <w:tcPr>
            <w:tcW w:w="889" w:type="pct"/>
            <w:vMerge/>
          </w:tcPr>
          <w:p w14:paraId="3AC08BA1" w14:textId="77777777" w:rsidR="006103B9" w:rsidRDefault="006103B9">
            <w:pPr>
              <w:pStyle w:val="aa"/>
            </w:pPr>
          </w:p>
        </w:tc>
      </w:tr>
    </w:tbl>
    <w:p w14:paraId="228E7E09" w14:textId="77777777" w:rsidR="00E579B9" w:rsidRDefault="006A1398">
      <w:pPr>
        <w:pStyle w:val="3"/>
        <w:ind w:firstLine="560"/>
      </w:pPr>
      <w:r>
        <w:rPr>
          <w:rFonts w:hint="eastAsia"/>
        </w:rPr>
        <w:lastRenderedPageBreak/>
        <w:t>3.6.4</w:t>
      </w:r>
      <w:r>
        <w:rPr>
          <w:rFonts w:hint="eastAsia"/>
        </w:rPr>
        <w:t>基建工程量</w:t>
      </w:r>
    </w:p>
    <w:p w14:paraId="4F85DD29" w14:textId="77777777" w:rsidR="00E579B9" w:rsidRDefault="006A1398">
      <w:r>
        <w:rPr>
          <w:rFonts w:hint="eastAsia"/>
        </w:rPr>
        <w:t>基建工程量</w:t>
      </w:r>
      <w:proofErr w:type="gramStart"/>
      <w:r>
        <w:rPr>
          <w:rFonts w:hint="eastAsia"/>
        </w:rPr>
        <w:t>由采准</w:t>
      </w:r>
      <w:proofErr w:type="gramEnd"/>
      <w:r>
        <w:rPr>
          <w:rFonts w:hint="eastAsia"/>
        </w:rPr>
        <w:t>、运输道路组成。</w:t>
      </w:r>
    </w:p>
    <w:p w14:paraId="5D824915" w14:textId="77777777" w:rsidR="00E579B9" w:rsidRDefault="006A1398">
      <w:pPr>
        <w:ind w:firstLine="482"/>
        <w:rPr>
          <w:b/>
        </w:rPr>
      </w:pPr>
      <w:r>
        <w:rPr>
          <w:rFonts w:hint="eastAsia"/>
          <w:b/>
        </w:rPr>
        <w:t>（</w:t>
      </w:r>
      <w:r>
        <w:rPr>
          <w:rFonts w:hint="eastAsia"/>
          <w:b/>
        </w:rPr>
        <w:t>1</w:t>
      </w:r>
      <w:r>
        <w:rPr>
          <w:rFonts w:hint="eastAsia"/>
          <w:b/>
        </w:rPr>
        <w:t>）采准</w:t>
      </w:r>
    </w:p>
    <w:p w14:paraId="6A3A86A3" w14:textId="77777777" w:rsidR="00E579B9" w:rsidRDefault="006A1398">
      <w:r>
        <w:rPr>
          <w:rFonts w:hint="eastAsia"/>
        </w:rPr>
        <w:t>根据各采矿平台矿石量，为满足</w:t>
      </w:r>
      <w:r>
        <w:rPr>
          <w:rFonts w:hint="eastAsia"/>
        </w:rPr>
        <w:t>0.5</w:t>
      </w:r>
      <w:r>
        <w:rPr>
          <w:rFonts w:hint="eastAsia"/>
        </w:rPr>
        <w:t>年的开拓矿量储备，</w:t>
      </w:r>
      <w:proofErr w:type="gramStart"/>
      <w:r>
        <w:rPr>
          <w:rFonts w:hint="eastAsia"/>
        </w:rPr>
        <w:t>设计采准平台</w:t>
      </w:r>
      <w:proofErr w:type="gramEnd"/>
      <w:r>
        <w:rPr>
          <w:rFonts w:hint="eastAsia"/>
        </w:rPr>
        <w:t>为</w:t>
      </w:r>
      <w:r>
        <w:rPr>
          <w:rFonts w:hint="eastAsia"/>
        </w:rPr>
        <w:t>+500m</w:t>
      </w:r>
      <w:r>
        <w:rPr>
          <w:rFonts w:hint="eastAsia"/>
        </w:rPr>
        <w:t>和</w:t>
      </w:r>
      <w:r>
        <w:rPr>
          <w:rFonts w:hint="eastAsia"/>
        </w:rPr>
        <w:t>+485m</w:t>
      </w:r>
      <w:r>
        <w:rPr>
          <w:rFonts w:hint="eastAsia"/>
        </w:rPr>
        <w:t>。</w:t>
      </w:r>
      <w:r>
        <w:rPr>
          <w:rFonts w:hint="eastAsia"/>
        </w:rPr>
        <w:t>+500</w:t>
      </w:r>
      <w:r>
        <w:rPr>
          <w:rFonts w:hint="eastAsia"/>
        </w:rPr>
        <w:t>平台推进至最终边坡。</w:t>
      </w:r>
    </w:p>
    <w:p w14:paraId="624C1D83" w14:textId="77777777" w:rsidR="00E579B9" w:rsidRDefault="006A1398">
      <w:r>
        <w:rPr>
          <w:rFonts w:hint="eastAsia"/>
        </w:rPr>
        <w:t>+500</w:t>
      </w:r>
      <w:r>
        <w:rPr>
          <w:rFonts w:hint="eastAsia"/>
        </w:rPr>
        <w:t>平台推进至最终边坡：工程量</w:t>
      </w:r>
      <w:r>
        <w:rPr>
          <w:rFonts w:hint="eastAsia"/>
        </w:rPr>
        <w:t>20.0</w:t>
      </w:r>
      <w:r>
        <w:rPr>
          <w:rFonts w:hint="eastAsia"/>
        </w:rPr>
        <w:t>万立方米。</w:t>
      </w:r>
    </w:p>
    <w:p w14:paraId="1D1525ED" w14:textId="77777777" w:rsidR="00E579B9" w:rsidRDefault="006A1398">
      <w:r>
        <w:rPr>
          <w:rFonts w:hint="eastAsia"/>
        </w:rPr>
        <w:t>+485m</w:t>
      </w:r>
      <w:proofErr w:type="gramStart"/>
      <w:r>
        <w:rPr>
          <w:rFonts w:hint="eastAsia"/>
        </w:rPr>
        <w:t>采准平台</w:t>
      </w:r>
      <w:proofErr w:type="gramEnd"/>
      <w:r>
        <w:rPr>
          <w:rFonts w:hint="eastAsia"/>
        </w:rPr>
        <w:t>：工作平台长度</w:t>
      </w:r>
      <w:r>
        <w:rPr>
          <w:rFonts w:hint="eastAsia"/>
        </w:rPr>
        <w:t>360m</w:t>
      </w:r>
      <w:r>
        <w:rPr>
          <w:rFonts w:hint="eastAsia"/>
        </w:rPr>
        <w:t>，初始工作平台宽度</w:t>
      </w:r>
      <w:r>
        <w:rPr>
          <w:rFonts w:hint="eastAsia"/>
        </w:rPr>
        <w:t>30m</w:t>
      </w:r>
      <w:r>
        <w:rPr>
          <w:rFonts w:hint="eastAsia"/>
        </w:rPr>
        <w:t>，工程量</w:t>
      </w:r>
      <w:r>
        <w:rPr>
          <w:rFonts w:hint="eastAsia"/>
        </w:rPr>
        <w:t>17.35</w:t>
      </w:r>
      <w:r>
        <w:rPr>
          <w:rFonts w:hint="eastAsia"/>
        </w:rPr>
        <w:t>万立方米。</w:t>
      </w:r>
    </w:p>
    <w:p w14:paraId="4F5CA7D3" w14:textId="77777777" w:rsidR="00E579B9" w:rsidRDefault="006A1398">
      <w:r>
        <w:rPr>
          <w:rFonts w:hint="eastAsia"/>
        </w:rPr>
        <w:t>合计工程量</w:t>
      </w:r>
      <w:r>
        <w:rPr>
          <w:rFonts w:hint="eastAsia"/>
        </w:rPr>
        <w:t>37.35</w:t>
      </w:r>
      <w:r>
        <w:rPr>
          <w:rFonts w:hint="eastAsia"/>
        </w:rPr>
        <w:t>万立方米，均为矿石。</w:t>
      </w:r>
    </w:p>
    <w:p w14:paraId="309F225E" w14:textId="77777777" w:rsidR="00E579B9" w:rsidRDefault="006A1398">
      <w:proofErr w:type="gramStart"/>
      <w:r>
        <w:rPr>
          <w:rFonts w:hint="eastAsia"/>
        </w:rPr>
        <w:t>采准完成</w:t>
      </w:r>
      <w:proofErr w:type="gramEnd"/>
      <w:r>
        <w:rPr>
          <w:rFonts w:hint="eastAsia"/>
        </w:rPr>
        <w:t>后，取得备采矿量约</w:t>
      </w:r>
      <w:r>
        <w:rPr>
          <w:rFonts w:hint="eastAsia"/>
        </w:rPr>
        <w:t>97.11</w:t>
      </w:r>
      <w:r>
        <w:rPr>
          <w:rFonts w:hint="eastAsia"/>
        </w:rPr>
        <w:t>万吨，可供企业生产</w:t>
      </w:r>
      <w:r>
        <w:rPr>
          <w:rFonts w:hint="eastAsia"/>
        </w:rPr>
        <w:t>0.4</w:t>
      </w:r>
      <w:r>
        <w:rPr>
          <w:rFonts w:hint="eastAsia"/>
        </w:rPr>
        <w:t>年左右。</w:t>
      </w:r>
    </w:p>
    <w:p w14:paraId="63F64C62" w14:textId="77777777" w:rsidR="00E579B9" w:rsidRDefault="006A1398">
      <w:pPr>
        <w:ind w:firstLine="482"/>
        <w:rPr>
          <w:b/>
        </w:rPr>
      </w:pPr>
      <w:r>
        <w:rPr>
          <w:rFonts w:hint="eastAsia"/>
          <w:b/>
        </w:rPr>
        <w:t>（</w:t>
      </w:r>
      <w:r>
        <w:rPr>
          <w:rFonts w:hint="eastAsia"/>
          <w:b/>
        </w:rPr>
        <w:t>2</w:t>
      </w:r>
      <w:r>
        <w:rPr>
          <w:rFonts w:hint="eastAsia"/>
          <w:b/>
        </w:rPr>
        <w:t>）运输道路</w:t>
      </w:r>
    </w:p>
    <w:p w14:paraId="7ADD3C71" w14:textId="77777777" w:rsidR="00E579B9" w:rsidRDefault="006A1398">
      <w:r>
        <w:rPr>
          <w:rFonts w:hint="eastAsia"/>
        </w:rPr>
        <w:t>部分</w:t>
      </w:r>
      <w:proofErr w:type="gramStart"/>
      <w:r>
        <w:rPr>
          <w:rFonts w:hint="eastAsia"/>
        </w:rPr>
        <w:t>道路道路</w:t>
      </w:r>
      <w:proofErr w:type="gramEnd"/>
      <w:r>
        <w:rPr>
          <w:rFonts w:hint="eastAsia"/>
        </w:rPr>
        <w:t>已建成。需扩建道路</w:t>
      </w:r>
      <w:r>
        <w:rPr>
          <w:rFonts w:hint="eastAsia"/>
        </w:rPr>
        <w:t>1500m</w:t>
      </w:r>
      <w:r>
        <w:rPr>
          <w:rFonts w:hint="eastAsia"/>
        </w:rPr>
        <w:t>，工程量约</w:t>
      </w:r>
      <w:r>
        <w:rPr>
          <w:rFonts w:hint="eastAsia"/>
        </w:rPr>
        <w:t>0.53</w:t>
      </w:r>
      <w:r>
        <w:rPr>
          <w:rFonts w:hint="eastAsia"/>
        </w:rPr>
        <w:t>万立方米</w:t>
      </w:r>
      <w:r>
        <w:t>。</w:t>
      </w:r>
    </w:p>
    <w:p w14:paraId="1464AA06" w14:textId="77777777" w:rsidR="00E579B9" w:rsidRDefault="006A1398">
      <w:r>
        <w:rPr>
          <w:rFonts w:hint="eastAsia"/>
        </w:rPr>
        <w:t>新修连接</w:t>
      </w:r>
      <w:r>
        <w:rPr>
          <w:rFonts w:hint="eastAsia"/>
        </w:rPr>
        <w:t>+500</w:t>
      </w:r>
      <w:r>
        <w:rPr>
          <w:rFonts w:hint="eastAsia"/>
        </w:rPr>
        <w:t>平台道路</w:t>
      </w:r>
      <w:r>
        <w:rPr>
          <w:rFonts w:hint="eastAsia"/>
        </w:rPr>
        <w:t>960m</w:t>
      </w:r>
      <w:r>
        <w:rPr>
          <w:rFonts w:hint="eastAsia"/>
        </w:rPr>
        <w:t>，工程量约</w:t>
      </w:r>
      <w:r>
        <w:rPr>
          <w:rFonts w:hint="eastAsia"/>
        </w:rPr>
        <w:t>6.3</w:t>
      </w:r>
      <w:r>
        <w:rPr>
          <w:rFonts w:hint="eastAsia"/>
        </w:rPr>
        <w:t>万立方米</w:t>
      </w:r>
      <w:r>
        <w:t>。</w:t>
      </w:r>
    </w:p>
    <w:p w14:paraId="74DB5C1A" w14:textId="77777777" w:rsidR="00E579B9" w:rsidRDefault="006A1398">
      <w:r>
        <w:rPr>
          <w:rFonts w:hint="eastAsia"/>
        </w:rPr>
        <w:t>道路工程合计</w:t>
      </w:r>
      <w:r>
        <w:rPr>
          <w:rFonts w:hint="eastAsia"/>
        </w:rPr>
        <w:t>0.90</w:t>
      </w:r>
      <w:r>
        <w:rPr>
          <w:rFonts w:hint="eastAsia"/>
        </w:rPr>
        <w:t>万立方米</w:t>
      </w:r>
      <w:r>
        <w:t>。</w:t>
      </w:r>
    </w:p>
    <w:p w14:paraId="1E694CEE" w14:textId="77777777" w:rsidR="00E579B9" w:rsidRDefault="006A1398">
      <w:r>
        <w:rPr>
          <w:rFonts w:hint="eastAsia"/>
        </w:rPr>
        <w:t>综上，基建总工程量为：</w:t>
      </w:r>
      <w:proofErr w:type="gramStart"/>
      <w:r>
        <w:rPr>
          <w:rFonts w:hint="eastAsia"/>
        </w:rPr>
        <w:t>采准工程</w:t>
      </w:r>
      <w:proofErr w:type="gramEnd"/>
      <w:r>
        <w:rPr>
          <w:rFonts w:hint="eastAsia"/>
        </w:rPr>
        <w:t>量</w:t>
      </w:r>
      <w:r>
        <w:rPr>
          <w:rFonts w:hint="eastAsia"/>
        </w:rPr>
        <w:t>37.36</w:t>
      </w:r>
      <w:r>
        <w:rPr>
          <w:rFonts w:hint="eastAsia"/>
        </w:rPr>
        <w:t>万立方米，运输道路</w:t>
      </w:r>
      <w:r>
        <w:rPr>
          <w:rFonts w:hint="eastAsia"/>
        </w:rPr>
        <w:t>7.2</w:t>
      </w:r>
      <w:r>
        <w:rPr>
          <w:rFonts w:hint="eastAsia"/>
        </w:rPr>
        <w:t>万立方米</w:t>
      </w:r>
      <w:r>
        <w:t>。</w:t>
      </w:r>
    </w:p>
    <w:p w14:paraId="48B90720" w14:textId="77777777" w:rsidR="00E579B9" w:rsidRDefault="006A1398">
      <w:pPr>
        <w:rPr>
          <w:rFonts w:ascii="Arial"/>
        </w:rPr>
      </w:pPr>
      <w:r>
        <w:t>按设计开采技术条件和能力，企业需修建运输道路，形成采场工作平台，</w:t>
      </w:r>
      <w:r>
        <w:rPr>
          <w:rFonts w:hint="eastAsia"/>
        </w:rPr>
        <w:t>施工工业广场、</w:t>
      </w:r>
      <w:r>
        <w:t>安装供电设施等</w:t>
      </w:r>
      <w:r>
        <w:rPr>
          <w:rFonts w:hint="eastAsia"/>
        </w:rPr>
        <w:t>，预计基建期为</w:t>
      </w:r>
      <w:r>
        <w:rPr>
          <w:rFonts w:hint="eastAsia"/>
        </w:rPr>
        <w:t>0.5</w:t>
      </w:r>
      <w:r>
        <w:rPr>
          <w:rFonts w:hint="eastAsia"/>
        </w:rPr>
        <w:t>年。</w:t>
      </w:r>
    </w:p>
    <w:p w14:paraId="7D532718" w14:textId="77777777" w:rsidR="00E579B9" w:rsidRDefault="006A1398">
      <w:pPr>
        <w:pStyle w:val="2"/>
        <w:spacing w:line="360" w:lineRule="auto"/>
        <w:ind w:firstLine="560"/>
      </w:pPr>
      <w:bookmarkStart w:id="152" w:name="_Toc33021797"/>
      <w:r>
        <w:rPr>
          <w:rFonts w:hint="eastAsia"/>
        </w:rPr>
        <w:t>3.7</w:t>
      </w:r>
      <w:r>
        <w:rPr>
          <w:rFonts w:hint="eastAsia"/>
        </w:rPr>
        <w:t>矿石破碎加工工艺</w:t>
      </w:r>
      <w:bookmarkEnd w:id="152"/>
    </w:p>
    <w:p w14:paraId="7A0FC711" w14:textId="77777777" w:rsidR="00E579B9" w:rsidRDefault="006A1398">
      <w:pPr>
        <w:pStyle w:val="3"/>
        <w:ind w:firstLine="560"/>
      </w:pPr>
      <w:r>
        <w:rPr>
          <w:rFonts w:hint="eastAsia"/>
        </w:rPr>
        <w:t>3.7.1</w:t>
      </w:r>
      <w:r>
        <w:rPr>
          <w:rFonts w:hint="eastAsia"/>
        </w:rPr>
        <w:t>生产规模</w:t>
      </w:r>
    </w:p>
    <w:p w14:paraId="4A54C10D" w14:textId="77777777" w:rsidR="00E579B9" w:rsidRDefault="006A1398">
      <w:pPr>
        <w:widowControl w:val="0"/>
        <w:jc w:val="both"/>
        <w:rPr>
          <w:rFonts w:cs="宋体"/>
          <w:szCs w:val="24"/>
        </w:rPr>
      </w:pPr>
      <w:r>
        <w:rPr>
          <w:rFonts w:ascii="宋体" w:hAnsi="宋体" w:cs="宋体" w:hint="eastAsia"/>
          <w:szCs w:val="24"/>
        </w:rPr>
        <w:t>项目采区矿石经汽车运输至破碎场地，经破碎筛分后，生产出</w:t>
      </w:r>
      <w:r>
        <w:rPr>
          <w:rFonts w:cs="宋体" w:hint="eastAsia"/>
          <w:szCs w:val="24"/>
        </w:rPr>
        <w:t>4</w:t>
      </w:r>
      <w:r>
        <w:rPr>
          <w:rFonts w:ascii="宋体" w:hAnsi="宋体" w:cs="宋体" w:hint="eastAsia"/>
          <w:szCs w:val="24"/>
        </w:rPr>
        <w:t>种不同粒径的产品，年产量为</w:t>
      </w:r>
      <w:r>
        <w:rPr>
          <w:rFonts w:cs="Times New Roman" w:hint="eastAsia"/>
          <w:szCs w:val="24"/>
        </w:rPr>
        <w:t>30</w:t>
      </w:r>
      <w:r>
        <w:rPr>
          <w:rFonts w:ascii="宋体" w:hAnsi="宋体" w:cs="宋体" w:hint="eastAsia"/>
          <w:szCs w:val="24"/>
        </w:rPr>
        <w:t>万</w:t>
      </w:r>
      <w:r>
        <w:rPr>
          <w:rFonts w:cs="Times New Roman" w:hint="eastAsia"/>
          <w:szCs w:val="24"/>
        </w:rPr>
        <w:t>t</w:t>
      </w:r>
      <w:r>
        <w:rPr>
          <w:rFonts w:ascii="宋体" w:hAnsi="宋体" w:cs="宋体" w:hint="eastAsia"/>
          <w:szCs w:val="24"/>
        </w:rPr>
        <w:t>。</w:t>
      </w:r>
    </w:p>
    <w:p w14:paraId="307EDC87" w14:textId="77777777" w:rsidR="00E579B9" w:rsidRDefault="006A1398">
      <w:pPr>
        <w:pStyle w:val="3"/>
        <w:ind w:firstLine="560"/>
      </w:pPr>
      <w:r>
        <w:rPr>
          <w:rFonts w:hint="eastAsia"/>
        </w:rPr>
        <w:t>3.7.2</w:t>
      </w:r>
      <w:r>
        <w:rPr>
          <w:rFonts w:hint="eastAsia"/>
        </w:rPr>
        <w:t>生产工艺</w:t>
      </w:r>
    </w:p>
    <w:p w14:paraId="0DDEE17E" w14:textId="77777777" w:rsidR="00E579B9" w:rsidRDefault="006A1398">
      <w:pPr>
        <w:widowControl w:val="0"/>
        <w:jc w:val="both"/>
        <w:rPr>
          <w:rFonts w:cs="宋体"/>
          <w:szCs w:val="24"/>
        </w:rPr>
      </w:pPr>
      <w:r>
        <w:rPr>
          <w:rFonts w:ascii="宋体" w:hAnsi="宋体" w:cs="宋体" w:hint="eastAsia"/>
          <w:szCs w:val="24"/>
        </w:rPr>
        <w:t>根据原矿性质，破碎、加工工艺采用两级破碎</w:t>
      </w:r>
      <w:r>
        <w:rPr>
          <w:rFonts w:cs="宋体"/>
          <w:szCs w:val="24"/>
        </w:rPr>
        <w:t>+</w:t>
      </w:r>
      <w:r>
        <w:rPr>
          <w:rFonts w:ascii="宋体" w:hAnsi="宋体" w:cs="宋体"/>
          <w:szCs w:val="24"/>
        </w:rPr>
        <w:t>三级</w:t>
      </w:r>
      <w:r>
        <w:rPr>
          <w:rFonts w:ascii="宋体" w:hAnsi="宋体" w:cs="宋体" w:hint="eastAsia"/>
          <w:szCs w:val="24"/>
        </w:rPr>
        <w:t>筛分工艺，原矿经初破、二破后进入筛分设备分级。具体工艺流程如下：由采石场运来的原石直接由自卸汽车装入颚式破碎机料斗进行初破，初破后的石料直接进入</w:t>
      </w:r>
      <w:proofErr w:type="gramStart"/>
      <w:r>
        <w:rPr>
          <w:rFonts w:ascii="宋体" w:hAnsi="宋体" w:cs="宋体" w:hint="eastAsia"/>
          <w:szCs w:val="24"/>
        </w:rPr>
        <w:t>位于颚破下方</w:t>
      </w:r>
      <w:proofErr w:type="gramEnd"/>
      <w:r>
        <w:rPr>
          <w:rFonts w:ascii="宋体" w:hAnsi="宋体" w:cs="宋体" w:hint="eastAsia"/>
          <w:szCs w:val="24"/>
        </w:rPr>
        <w:t>的圆锥破碎机进行二破，二破后的石料通过皮带输送机送入一级振动筛进行筛分，筛上大块料送到圆</w:t>
      </w:r>
      <w:r>
        <w:rPr>
          <w:rFonts w:ascii="宋体" w:hAnsi="宋体" w:cs="宋体" w:hint="eastAsia"/>
          <w:szCs w:val="24"/>
        </w:rPr>
        <w:lastRenderedPageBreak/>
        <w:t>锥破碎机进行回笼破碎，筛下石料进入产品仓库；筛下石料进入二级筛分机（二层），一层、二层筛上石料分别进入产品仓库，筛下石料进入三级振动筛，筛上石料和筛下石料分别进入产品仓库，产品在产品仓库暂存后定期外售。</w:t>
      </w:r>
    </w:p>
    <w:p w14:paraId="3A7D45F6" w14:textId="77777777" w:rsidR="00E579B9" w:rsidRDefault="006A1398">
      <w:pPr>
        <w:widowControl w:val="0"/>
        <w:jc w:val="both"/>
        <w:rPr>
          <w:rFonts w:cs="宋体"/>
          <w:szCs w:val="24"/>
        </w:rPr>
      </w:pPr>
      <w:r>
        <w:rPr>
          <w:rFonts w:ascii="宋体" w:hAnsi="宋体" w:cs="宋体" w:hint="eastAsia"/>
          <w:szCs w:val="24"/>
        </w:rPr>
        <w:t>项目破碎生产工艺流程图</w:t>
      </w:r>
      <w:proofErr w:type="gramStart"/>
      <w:r>
        <w:rPr>
          <w:rFonts w:ascii="宋体" w:hAnsi="宋体" w:cs="宋体" w:hint="eastAsia"/>
          <w:szCs w:val="24"/>
        </w:rPr>
        <w:t>及产污环节</w:t>
      </w:r>
      <w:proofErr w:type="gramEnd"/>
      <w:r>
        <w:rPr>
          <w:rFonts w:ascii="宋体" w:hAnsi="宋体" w:cs="宋体" w:hint="eastAsia"/>
          <w:szCs w:val="24"/>
        </w:rPr>
        <w:t>示意图见图</w:t>
      </w:r>
      <w:r>
        <w:rPr>
          <w:rFonts w:cs="宋体"/>
          <w:szCs w:val="24"/>
        </w:rPr>
        <w:t>3.7-</w:t>
      </w:r>
      <w:r>
        <w:rPr>
          <w:rFonts w:cs="宋体" w:hint="eastAsia"/>
          <w:szCs w:val="24"/>
        </w:rPr>
        <w:t>1</w:t>
      </w:r>
      <w:r>
        <w:rPr>
          <w:rFonts w:ascii="宋体" w:hAnsi="宋体" w:cs="宋体" w:hint="eastAsia"/>
          <w:szCs w:val="24"/>
        </w:rPr>
        <w:t>。</w:t>
      </w:r>
    </w:p>
    <w:p w14:paraId="72F1C821" w14:textId="77777777" w:rsidR="00E579B9" w:rsidRDefault="006A1398">
      <w:pPr>
        <w:pStyle w:val="41"/>
        <w:jc w:val="center"/>
      </w:pPr>
      <w:r>
        <w:object w:dxaOrig="8221" w:dyaOrig="8160" w14:anchorId="1A254772">
          <v:shape id="_x0000_i1032" type="#_x0000_t75" style="width:410.45pt;height:408.2pt" o:ole="">
            <v:imagedata r:id="rId20" o:title=""/>
          </v:shape>
          <o:OLEObject Type="Embed" ProgID="Visio.Drawing.11" ShapeID="_x0000_i1032" DrawAspect="Content" ObjectID="_1644327286" r:id="rId33"/>
        </w:object>
      </w:r>
    </w:p>
    <w:p w14:paraId="67AAF4A0" w14:textId="77777777" w:rsidR="00E579B9" w:rsidRDefault="006A1398">
      <w:pPr>
        <w:pStyle w:val="226"/>
        <w:ind w:firstLineChars="0" w:firstLine="0"/>
        <w:jc w:val="center"/>
        <w:rPr>
          <w:rFonts w:eastAsia="黑体" w:cs="Times New Roman"/>
        </w:rPr>
      </w:pPr>
      <w:r>
        <w:rPr>
          <w:rFonts w:ascii="黑体" w:eastAsia="黑体" w:hAnsi="黑体" w:cs="Times New Roman"/>
        </w:rPr>
        <w:t>图</w:t>
      </w:r>
      <w:r>
        <w:rPr>
          <w:rFonts w:eastAsia="黑体" w:cs="Times New Roman"/>
        </w:rPr>
        <w:t>3.7-</w:t>
      </w:r>
      <w:r>
        <w:rPr>
          <w:rFonts w:eastAsia="黑体" w:cs="Times New Roman" w:hint="eastAsia"/>
        </w:rPr>
        <w:t>1</w:t>
      </w:r>
      <w:r>
        <w:rPr>
          <w:rFonts w:ascii="黑体" w:eastAsia="黑体" w:hAnsi="黑体" w:cs="Times New Roman"/>
        </w:rPr>
        <w:t>项目破碎工艺流程图</w:t>
      </w:r>
    </w:p>
    <w:p w14:paraId="24779051" w14:textId="77777777" w:rsidR="00E579B9" w:rsidRDefault="006A1398">
      <w:pPr>
        <w:pStyle w:val="3"/>
        <w:ind w:firstLine="560"/>
      </w:pPr>
      <w:r>
        <w:rPr>
          <w:rFonts w:hint="eastAsia"/>
        </w:rPr>
        <w:t>3.7.3</w:t>
      </w:r>
      <w:r>
        <w:rPr>
          <w:rFonts w:hint="eastAsia"/>
        </w:rPr>
        <w:t>破碎场地主要生产设备</w:t>
      </w:r>
    </w:p>
    <w:p w14:paraId="19E84660" w14:textId="77777777" w:rsidR="00E579B9" w:rsidRDefault="006A1398">
      <w:pPr>
        <w:widowControl w:val="0"/>
        <w:spacing w:line="520" w:lineRule="exact"/>
        <w:jc w:val="both"/>
        <w:rPr>
          <w:rFonts w:cs="宋体"/>
          <w:szCs w:val="24"/>
        </w:rPr>
      </w:pPr>
      <w:r>
        <w:rPr>
          <w:rFonts w:ascii="宋体" w:hAnsi="宋体" w:cs="宋体" w:hint="eastAsia"/>
          <w:szCs w:val="24"/>
        </w:rPr>
        <w:t>项目破碎场地主要生产设备情况见表</w:t>
      </w:r>
      <w:r>
        <w:rPr>
          <w:rFonts w:cs="宋体"/>
          <w:szCs w:val="24"/>
        </w:rPr>
        <w:t>3.7-1</w:t>
      </w:r>
      <w:r>
        <w:rPr>
          <w:rFonts w:ascii="宋体" w:hAnsi="宋体" w:cs="宋体" w:hint="eastAsia"/>
          <w:szCs w:val="24"/>
        </w:rPr>
        <w:t>。</w:t>
      </w:r>
    </w:p>
    <w:p w14:paraId="7EE08745" w14:textId="77777777" w:rsidR="00E579B9" w:rsidRDefault="006A1398">
      <w:pPr>
        <w:pStyle w:val="21"/>
        <w:ind w:firstLineChars="850" w:firstLine="2040"/>
      </w:pPr>
      <w:r>
        <w:t>表</w:t>
      </w:r>
      <w:r>
        <w:rPr>
          <w:rFonts w:hint="eastAsia"/>
        </w:rPr>
        <w:t>3.7-1</w:t>
      </w:r>
      <w:r>
        <w:rPr>
          <w:rFonts w:hint="eastAsia"/>
        </w:rPr>
        <w:t>破碎场地生产设备一览表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2686"/>
        <w:gridCol w:w="2899"/>
        <w:gridCol w:w="1122"/>
        <w:gridCol w:w="1120"/>
      </w:tblGrid>
      <w:tr w:rsidR="00E579B9" w14:paraId="3CD5326E" w14:textId="77777777">
        <w:trPr>
          <w:trHeight w:val="284"/>
          <w:jc w:val="center"/>
        </w:trPr>
        <w:tc>
          <w:tcPr>
            <w:tcW w:w="1119" w:type="dxa"/>
            <w:vAlign w:val="center"/>
          </w:tcPr>
          <w:p w14:paraId="06B25D54"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序号</w:t>
            </w:r>
          </w:p>
        </w:tc>
        <w:tc>
          <w:tcPr>
            <w:tcW w:w="2686" w:type="dxa"/>
            <w:vAlign w:val="center"/>
          </w:tcPr>
          <w:p w14:paraId="03B30B5A"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机械设备名称</w:t>
            </w:r>
          </w:p>
        </w:tc>
        <w:tc>
          <w:tcPr>
            <w:tcW w:w="2899" w:type="dxa"/>
            <w:vAlign w:val="center"/>
          </w:tcPr>
          <w:p w14:paraId="06C73924"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规格型号</w:t>
            </w:r>
          </w:p>
        </w:tc>
        <w:tc>
          <w:tcPr>
            <w:tcW w:w="1122" w:type="dxa"/>
            <w:vAlign w:val="center"/>
          </w:tcPr>
          <w:p w14:paraId="23E7CB75"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单位</w:t>
            </w:r>
          </w:p>
        </w:tc>
        <w:tc>
          <w:tcPr>
            <w:tcW w:w="1120" w:type="dxa"/>
            <w:vAlign w:val="center"/>
          </w:tcPr>
          <w:p w14:paraId="0E7515E2"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数量</w:t>
            </w:r>
          </w:p>
        </w:tc>
      </w:tr>
      <w:tr w:rsidR="00E579B9" w14:paraId="1677B865" w14:textId="77777777">
        <w:trPr>
          <w:trHeight w:val="284"/>
          <w:jc w:val="center"/>
        </w:trPr>
        <w:tc>
          <w:tcPr>
            <w:tcW w:w="1119" w:type="dxa"/>
            <w:vAlign w:val="center"/>
          </w:tcPr>
          <w:p w14:paraId="59FC69B2"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color w:val="000000"/>
                <w:sz w:val="21"/>
                <w:szCs w:val="21"/>
              </w:rPr>
              <w:t>1</w:t>
            </w:r>
          </w:p>
        </w:tc>
        <w:tc>
          <w:tcPr>
            <w:tcW w:w="2686" w:type="dxa"/>
            <w:vAlign w:val="center"/>
          </w:tcPr>
          <w:p w14:paraId="436FB34C"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ascii="宋体" w:hAnsi="Calibri" w:cs="Times New Roman" w:hint="eastAsia"/>
                <w:color w:val="000000"/>
                <w:kern w:val="0"/>
                <w:sz w:val="21"/>
                <w:szCs w:val="21"/>
              </w:rPr>
              <w:t>颚式破碎机</w:t>
            </w:r>
          </w:p>
        </w:tc>
        <w:tc>
          <w:tcPr>
            <w:tcW w:w="2899" w:type="dxa"/>
            <w:vAlign w:val="center"/>
          </w:tcPr>
          <w:p w14:paraId="2F3E3816"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color w:val="000000"/>
                <w:sz w:val="21"/>
                <w:szCs w:val="21"/>
              </w:rPr>
              <w:t>C6X145</w:t>
            </w:r>
          </w:p>
        </w:tc>
        <w:tc>
          <w:tcPr>
            <w:tcW w:w="1122" w:type="dxa"/>
            <w:vAlign w:val="center"/>
          </w:tcPr>
          <w:p w14:paraId="00FA76CB"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台</w:t>
            </w:r>
          </w:p>
        </w:tc>
        <w:tc>
          <w:tcPr>
            <w:tcW w:w="1120" w:type="dxa"/>
            <w:vAlign w:val="center"/>
          </w:tcPr>
          <w:p w14:paraId="23ABF236"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2</w:t>
            </w:r>
          </w:p>
        </w:tc>
      </w:tr>
      <w:tr w:rsidR="00E579B9" w14:paraId="2FDE27A8" w14:textId="77777777">
        <w:trPr>
          <w:trHeight w:val="284"/>
          <w:jc w:val="center"/>
        </w:trPr>
        <w:tc>
          <w:tcPr>
            <w:tcW w:w="1119" w:type="dxa"/>
            <w:vAlign w:val="center"/>
          </w:tcPr>
          <w:p w14:paraId="09E9B135"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color w:val="000000"/>
                <w:sz w:val="21"/>
                <w:szCs w:val="21"/>
              </w:rPr>
              <w:t>2</w:t>
            </w:r>
          </w:p>
        </w:tc>
        <w:tc>
          <w:tcPr>
            <w:tcW w:w="2686" w:type="dxa"/>
            <w:vAlign w:val="center"/>
          </w:tcPr>
          <w:p w14:paraId="653FE40E"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单缸</w:t>
            </w:r>
            <w:r>
              <w:rPr>
                <w:rFonts w:cs="Times New Roman"/>
                <w:color w:val="000000"/>
                <w:sz w:val="21"/>
                <w:szCs w:val="21"/>
              </w:rPr>
              <w:t>液压圆锥</w:t>
            </w:r>
            <w:r>
              <w:rPr>
                <w:rFonts w:cs="Times New Roman" w:hint="eastAsia"/>
                <w:color w:val="000000"/>
                <w:sz w:val="21"/>
                <w:szCs w:val="21"/>
              </w:rPr>
              <w:t>破碎机</w:t>
            </w:r>
          </w:p>
        </w:tc>
        <w:tc>
          <w:tcPr>
            <w:tcW w:w="2899" w:type="dxa"/>
            <w:vAlign w:val="center"/>
          </w:tcPr>
          <w:p w14:paraId="5F1CCC35"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hAnsi="宋体" w:cs="Times New Roman"/>
                <w:color w:val="000000"/>
                <w:sz w:val="21"/>
                <w:szCs w:val="21"/>
              </w:rPr>
              <w:t>HST315S2</w:t>
            </w:r>
          </w:p>
        </w:tc>
        <w:tc>
          <w:tcPr>
            <w:tcW w:w="1122" w:type="dxa"/>
            <w:vAlign w:val="center"/>
          </w:tcPr>
          <w:p w14:paraId="6ED2EA9D"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台</w:t>
            </w:r>
          </w:p>
        </w:tc>
        <w:tc>
          <w:tcPr>
            <w:tcW w:w="1120" w:type="dxa"/>
            <w:vAlign w:val="center"/>
          </w:tcPr>
          <w:p w14:paraId="2C7F6F50"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2</w:t>
            </w:r>
          </w:p>
        </w:tc>
      </w:tr>
      <w:tr w:rsidR="00E579B9" w14:paraId="4A719B5F" w14:textId="77777777">
        <w:trPr>
          <w:trHeight w:val="284"/>
          <w:jc w:val="center"/>
        </w:trPr>
        <w:tc>
          <w:tcPr>
            <w:tcW w:w="1119" w:type="dxa"/>
            <w:vAlign w:val="center"/>
          </w:tcPr>
          <w:p w14:paraId="78A41877"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lastRenderedPageBreak/>
              <w:t>3</w:t>
            </w:r>
          </w:p>
        </w:tc>
        <w:tc>
          <w:tcPr>
            <w:tcW w:w="2686" w:type="dxa"/>
            <w:vAlign w:val="center"/>
          </w:tcPr>
          <w:p w14:paraId="4A4B9586"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单缸液压圆锥破碎机</w:t>
            </w:r>
          </w:p>
        </w:tc>
        <w:tc>
          <w:tcPr>
            <w:tcW w:w="2899" w:type="dxa"/>
            <w:vAlign w:val="center"/>
          </w:tcPr>
          <w:p w14:paraId="50B41F1A" w14:textId="77777777" w:rsidR="00E579B9" w:rsidRDefault="006A1398">
            <w:pPr>
              <w:widowControl w:val="0"/>
              <w:adjustRightInd w:val="0"/>
              <w:snapToGrid w:val="0"/>
              <w:spacing w:line="360" w:lineRule="exact"/>
              <w:ind w:firstLineChars="0" w:firstLine="0"/>
              <w:jc w:val="center"/>
              <w:rPr>
                <w:rFonts w:hAnsi="宋体" w:cs="Times New Roman"/>
                <w:color w:val="000000"/>
                <w:sz w:val="21"/>
                <w:szCs w:val="21"/>
              </w:rPr>
            </w:pPr>
            <w:r>
              <w:rPr>
                <w:rFonts w:hAnsi="宋体" w:cs="Times New Roman"/>
                <w:color w:val="000000"/>
                <w:sz w:val="21"/>
                <w:szCs w:val="21"/>
              </w:rPr>
              <w:t>HST315H1</w:t>
            </w:r>
          </w:p>
        </w:tc>
        <w:tc>
          <w:tcPr>
            <w:tcW w:w="1122" w:type="dxa"/>
            <w:vAlign w:val="center"/>
          </w:tcPr>
          <w:p w14:paraId="291A1817"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台</w:t>
            </w:r>
          </w:p>
        </w:tc>
        <w:tc>
          <w:tcPr>
            <w:tcW w:w="1120" w:type="dxa"/>
            <w:vAlign w:val="center"/>
          </w:tcPr>
          <w:p w14:paraId="691AF68E"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color w:val="000000"/>
                <w:sz w:val="21"/>
                <w:szCs w:val="21"/>
              </w:rPr>
              <w:t>4</w:t>
            </w:r>
          </w:p>
        </w:tc>
      </w:tr>
      <w:tr w:rsidR="00E579B9" w14:paraId="7B946D64" w14:textId="77777777">
        <w:trPr>
          <w:trHeight w:val="284"/>
          <w:jc w:val="center"/>
        </w:trPr>
        <w:tc>
          <w:tcPr>
            <w:tcW w:w="1119" w:type="dxa"/>
            <w:vAlign w:val="center"/>
          </w:tcPr>
          <w:p w14:paraId="03627A09"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color w:val="000000"/>
                <w:sz w:val="21"/>
                <w:szCs w:val="21"/>
              </w:rPr>
              <w:t>4</w:t>
            </w:r>
          </w:p>
        </w:tc>
        <w:tc>
          <w:tcPr>
            <w:tcW w:w="2686" w:type="dxa"/>
            <w:vAlign w:val="center"/>
          </w:tcPr>
          <w:p w14:paraId="73F05BAC"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振动筛</w:t>
            </w:r>
          </w:p>
        </w:tc>
        <w:tc>
          <w:tcPr>
            <w:tcW w:w="2899" w:type="dxa"/>
            <w:vAlign w:val="center"/>
          </w:tcPr>
          <w:p w14:paraId="66F9BC5C"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S5X3072-2</w:t>
            </w:r>
          </w:p>
        </w:tc>
        <w:tc>
          <w:tcPr>
            <w:tcW w:w="1122" w:type="dxa"/>
            <w:vAlign w:val="center"/>
          </w:tcPr>
          <w:p w14:paraId="15BBFE66"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台</w:t>
            </w:r>
          </w:p>
        </w:tc>
        <w:tc>
          <w:tcPr>
            <w:tcW w:w="1120" w:type="dxa"/>
            <w:vAlign w:val="center"/>
          </w:tcPr>
          <w:p w14:paraId="681B54E3"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color w:val="000000"/>
                <w:sz w:val="21"/>
                <w:szCs w:val="21"/>
              </w:rPr>
              <w:t>10</w:t>
            </w:r>
          </w:p>
        </w:tc>
      </w:tr>
      <w:tr w:rsidR="00E579B9" w14:paraId="3CF6C776" w14:textId="77777777">
        <w:trPr>
          <w:trHeight w:val="284"/>
          <w:jc w:val="center"/>
        </w:trPr>
        <w:tc>
          <w:tcPr>
            <w:tcW w:w="1119" w:type="dxa"/>
            <w:vAlign w:val="center"/>
          </w:tcPr>
          <w:p w14:paraId="083588DF"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color w:val="000000"/>
                <w:sz w:val="21"/>
                <w:szCs w:val="21"/>
              </w:rPr>
              <w:t>5</w:t>
            </w:r>
          </w:p>
        </w:tc>
        <w:tc>
          <w:tcPr>
            <w:tcW w:w="2686" w:type="dxa"/>
            <w:vAlign w:val="center"/>
          </w:tcPr>
          <w:p w14:paraId="08D08A16"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电控柜</w:t>
            </w:r>
          </w:p>
        </w:tc>
        <w:tc>
          <w:tcPr>
            <w:tcW w:w="2899" w:type="dxa"/>
            <w:vAlign w:val="center"/>
          </w:tcPr>
          <w:p w14:paraId="434E34E0" w14:textId="77777777" w:rsidR="00E579B9" w:rsidRDefault="00E579B9">
            <w:pPr>
              <w:widowControl w:val="0"/>
              <w:adjustRightInd w:val="0"/>
              <w:snapToGrid w:val="0"/>
              <w:spacing w:line="360" w:lineRule="exact"/>
              <w:ind w:firstLineChars="0" w:firstLine="0"/>
              <w:jc w:val="center"/>
              <w:rPr>
                <w:rFonts w:cs="Times New Roman"/>
                <w:color w:val="000000"/>
                <w:sz w:val="21"/>
                <w:szCs w:val="21"/>
              </w:rPr>
            </w:pPr>
          </w:p>
        </w:tc>
        <w:tc>
          <w:tcPr>
            <w:tcW w:w="1122" w:type="dxa"/>
            <w:vAlign w:val="center"/>
          </w:tcPr>
          <w:p w14:paraId="2A4F48C6"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套</w:t>
            </w:r>
          </w:p>
        </w:tc>
        <w:tc>
          <w:tcPr>
            <w:tcW w:w="1120" w:type="dxa"/>
            <w:vAlign w:val="center"/>
          </w:tcPr>
          <w:p w14:paraId="3EA78DC6"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1</w:t>
            </w:r>
          </w:p>
        </w:tc>
      </w:tr>
      <w:tr w:rsidR="00E579B9" w14:paraId="78ABCB66" w14:textId="77777777">
        <w:trPr>
          <w:trHeight w:val="284"/>
          <w:jc w:val="center"/>
        </w:trPr>
        <w:tc>
          <w:tcPr>
            <w:tcW w:w="1119" w:type="dxa"/>
            <w:vAlign w:val="center"/>
          </w:tcPr>
          <w:p w14:paraId="624ECE3C"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color w:val="000000"/>
                <w:sz w:val="21"/>
                <w:szCs w:val="21"/>
              </w:rPr>
              <w:t>6</w:t>
            </w:r>
          </w:p>
        </w:tc>
        <w:tc>
          <w:tcPr>
            <w:tcW w:w="2686" w:type="dxa"/>
            <w:vAlign w:val="center"/>
          </w:tcPr>
          <w:p w14:paraId="044AC1DF"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中枢控制柜</w:t>
            </w:r>
          </w:p>
        </w:tc>
        <w:tc>
          <w:tcPr>
            <w:tcW w:w="2899" w:type="dxa"/>
            <w:vAlign w:val="center"/>
          </w:tcPr>
          <w:p w14:paraId="42FC34F8" w14:textId="77777777" w:rsidR="00E579B9" w:rsidRDefault="00E579B9">
            <w:pPr>
              <w:widowControl w:val="0"/>
              <w:adjustRightInd w:val="0"/>
              <w:snapToGrid w:val="0"/>
              <w:spacing w:line="360" w:lineRule="exact"/>
              <w:ind w:firstLineChars="0" w:firstLine="0"/>
              <w:jc w:val="center"/>
              <w:rPr>
                <w:rFonts w:cs="Times New Roman"/>
                <w:color w:val="000000"/>
                <w:sz w:val="21"/>
                <w:szCs w:val="21"/>
              </w:rPr>
            </w:pPr>
          </w:p>
        </w:tc>
        <w:tc>
          <w:tcPr>
            <w:tcW w:w="1122" w:type="dxa"/>
            <w:vAlign w:val="center"/>
          </w:tcPr>
          <w:p w14:paraId="6088E755"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套</w:t>
            </w:r>
          </w:p>
        </w:tc>
        <w:tc>
          <w:tcPr>
            <w:tcW w:w="1120" w:type="dxa"/>
            <w:vAlign w:val="center"/>
          </w:tcPr>
          <w:p w14:paraId="7F1F8E87"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1</w:t>
            </w:r>
          </w:p>
        </w:tc>
      </w:tr>
      <w:tr w:rsidR="00E579B9" w14:paraId="4A5985D4" w14:textId="77777777">
        <w:trPr>
          <w:trHeight w:val="284"/>
          <w:jc w:val="center"/>
        </w:trPr>
        <w:tc>
          <w:tcPr>
            <w:tcW w:w="1119" w:type="dxa"/>
            <w:vAlign w:val="center"/>
          </w:tcPr>
          <w:p w14:paraId="71A6F9B8"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color w:val="000000"/>
                <w:sz w:val="21"/>
                <w:szCs w:val="21"/>
              </w:rPr>
              <w:t>7</w:t>
            </w:r>
          </w:p>
        </w:tc>
        <w:tc>
          <w:tcPr>
            <w:tcW w:w="2686" w:type="dxa"/>
            <w:vAlign w:val="center"/>
          </w:tcPr>
          <w:p w14:paraId="2DC6F6D0"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振动</w:t>
            </w:r>
            <w:r>
              <w:rPr>
                <w:rFonts w:cs="Times New Roman"/>
                <w:color w:val="000000"/>
                <w:sz w:val="21"/>
                <w:szCs w:val="21"/>
              </w:rPr>
              <w:t>给料机</w:t>
            </w:r>
          </w:p>
        </w:tc>
        <w:tc>
          <w:tcPr>
            <w:tcW w:w="2899" w:type="dxa"/>
            <w:vAlign w:val="center"/>
          </w:tcPr>
          <w:p w14:paraId="44F763DA"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F5X1660</w:t>
            </w:r>
          </w:p>
        </w:tc>
        <w:tc>
          <w:tcPr>
            <w:tcW w:w="1122" w:type="dxa"/>
            <w:vAlign w:val="center"/>
          </w:tcPr>
          <w:p w14:paraId="61BE7750"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台</w:t>
            </w:r>
          </w:p>
        </w:tc>
        <w:tc>
          <w:tcPr>
            <w:tcW w:w="1120" w:type="dxa"/>
            <w:vAlign w:val="center"/>
          </w:tcPr>
          <w:p w14:paraId="62F41F16" w14:textId="77777777" w:rsidR="00E579B9" w:rsidRDefault="006A1398">
            <w:pPr>
              <w:widowControl w:val="0"/>
              <w:adjustRightInd w:val="0"/>
              <w:snapToGrid w:val="0"/>
              <w:spacing w:line="360" w:lineRule="exact"/>
              <w:ind w:firstLineChars="0" w:firstLine="0"/>
              <w:jc w:val="center"/>
              <w:rPr>
                <w:rFonts w:cs="Times New Roman"/>
                <w:color w:val="000000"/>
                <w:sz w:val="21"/>
                <w:szCs w:val="21"/>
              </w:rPr>
            </w:pPr>
            <w:r>
              <w:rPr>
                <w:rFonts w:cs="Times New Roman" w:hint="eastAsia"/>
                <w:color w:val="000000"/>
                <w:sz w:val="21"/>
                <w:szCs w:val="21"/>
              </w:rPr>
              <w:t>2</w:t>
            </w:r>
          </w:p>
        </w:tc>
      </w:tr>
    </w:tbl>
    <w:p w14:paraId="676FF300" w14:textId="77777777" w:rsidR="00E579B9" w:rsidRDefault="006A1398">
      <w:pPr>
        <w:pStyle w:val="2"/>
        <w:ind w:firstLine="560"/>
      </w:pPr>
      <w:bookmarkStart w:id="153" w:name="_Toc33021798"/>
      <w:r>
        <w:t>3.8</w:t>
      </w:r>
      <w:r>
        <w:t>环境影响因素及污染</w:t>
      </w:r>
      <w:r>
        <w:rPr>
          <w:rFonts w:hint="eastAsia"/>
        </w:rPr>
        <w:t>源强核算</w:t>
      </w:r>
      <w:bookmarkEnd w:id="153"/>
    </w:p>
    <w:p w14:paraId="4CCA30CC" w14:textId="77777777" w:rsidR="00E579B9" w:rsidRDefault="006A1398">
      <w:pPr>
        <w:pStyle w:val="3"/>
        <w:ind w:firstLine="560"/>
      </w:pPr>
      <w:r>
        <w:t>3.8.1</w:t>
      </w:r>
      <w:r>
        <w:t>项目建设期环境影响因素</w:t>
      </w:r>
    </w:p>
    <w:p w14:paraId="03BEEE3C" w14:textId="77777777" w:rsidR="00E579B9" w:rsidRDefault="006A1398">
      <w:pPr>
        <w:rPr>
          <w:rFonts w:cs="宋体"/>
          <w:szCs w:val="24"/>
        </w:rPr>
      </w:pPr>
      <w:r>
        <w:rPr>
          <w:rFonts w:hint="eastAsia"/>
        </w:rPr>
        <w:t>本项目建设期主要将进行露天采矿区剥离开拓及矿区道路的修整，本项目建设期</w:t>
      </w:r>
      <w:r>
        <w:t>6</w:t>
      </w:r>
      <w:r>
        <w:rPr>
          <w:rFonts w:hint="eastAsia"/>
        </w:rPr>
        <w:t>个月。</w:t>
      </w:r>
      <w:r>
        <w:t>建设期环境影响主要包括大气、地表水、噪声和</w:t>
      </w:r>
      <w:r>
        <w:rPr>
          <w:rFonts w:hint="eastAsia"/>
        </w:rPr>
        <w:t>固体废物</w:t>
      </w:r>
      <w:r>
        <w:t>环境影响</w:t>
      </w:r>
      <w:r>
        <w:rPr>
          <w:rFonts w:hint="eastAsia"/>
        </w:rPr>
        <w:t>。</w:t>
      </w:r>
    </w:p>
    <w:p w14:paraId="4EC62B65" w14:textId="77777777" w:rsidR="00E579B9" w:rsidRDefault="006A1398">
      <w:r>
        <w:t>3.8.1.1</w:t>
      </w:r>
      <w:r>
        <w:rPr>
          <w:rFonts w:hint="eastAsia"/>
        </w:rPr>
        <w:t>大气污染源</w:t>
      </w:r>
    </w:p>
    <w:p w14:paraId="237B92FE" w14:textId="77777777" w:rsidR="00E579B9" w:rsidRDefault="006A1398">
      <w:pPr>
        <w:widowControl w:val="0"/>
        <w:spacing w:line="520" w:lineRule="exact"/>
        <w:jc w:val="both"/>
        <w:rPr>
          <w:rFonts w:cs="Times New Roman"/>
          <w:szCs w:val="24"/>
        </w:rPr>
      </w:pPr>
      <w:r>
        <w:rPr>
          <w:rFonts w:ascii="宋体" w:hAnsi="宋体" w:cs="Times New Roman"/>
          <w:szCs w:val="24"/>
        </w:rPr>
        <w:t>本工程建设期对环境空气产生的影响主要是来自</w:t>
      </w:r>
      <w:r>
        <w:rPr>
          <w:rFonts w:ascii="宋体" w:hAnsi="宋体" w:cs="Times New Roman" w:hint="eastAsia"/>
          <w:szCs w:val="24"/>
        </w:rPr>
        <w:t>露采场</w:t>
      </w:r>
      <w:r>
        <w:rPr>
          <w:rFonts w:ascii="宋体" w:hAnsi="宋体" w:cs="Times New Roman"/>
          <w:szCs w:val="24"/>
        </w:rPr>
        <w:t>基建剥离、表土运输及堆放、汽车运输等，</w:t>
      </w:r>
      <w:r>
        <w:rPr>
          <w:rFonts w:ascii="宋体" w:hAnsi="宋体" w:cs="Times New Roman" w:hint="eastAsia"/>
          <w:szCs w:val="24"/>
        </w:rPr>
        <w:t>主要为施工扬尘和燃油机械产生的尾气</w:t>
      </w:r>
      <w:r>
        <w:rPr>
          <w:rFonts w:ascii="宋体" w:hAnsi="宋体" w:cs="Times New Roman"/>
          <w:szCs w:val="24"/>
        </w:rPr>
        <w:t>，均为无组织排放。</w:t>
      </w:r>
    </w:p>
    <w:p w14:paraId="56C2D0D2" w14:textId="77777777" w:rsidR="00E579B9" w:rsidRDefault="006A1398">
      <w:pPr>
        <w:widowControl w:val="0"/>
        <w:spacing w:line="520" w:lineRule="exact"/>
        <w:jc w:val="both"/>
        <w:rPr>
          <w:rFonts w:ascii="宋体" w:hAnsi="宋体" w:cs="Times New Roman"/>
          <w:szCs w:val="24"/>
        </w:rPr>
      </w:pPr>
      <w:r>
        <w:rPr>
          <w:rFonts w:ascii="宋体" w:hAnsi="宋体" w:cs="Times New Roman"/>
          <w:szCs w:val="24"/>
        </w:rPr>
        <w:t>施工扬尘的污染程度与风速、粉尘颗粒、粉尘含水量等因素有关，风速增大，产生的起尘量呈正比或级数增加，粉尘污染范围相应扩大。施工扬尘会造成局部地段降尘量增多，对施工现场周围的大气环境会产生一定的影响。</w:t>
      </w:r>
    </w:p>
    <w:p w14:paraId="0AD1EB20" w14:textId="77777777" w:rsidR="00E579B9" w:rsidRDefault="006A1398">
      <w:pPr>
        <w:widowControl w:val="0"/>
        <w:adjustRightInd w:val="0"/>
        <w:snapToGrid w:val="0"/>
        <w:spacing w:line="480" w:lineRule="exact"/>
        <w:jc w:val="both"/>
        <w:rPr>
          <w:rFonts w:cs="Times New Roman"/>
          <w:bCs/>
          <w:szCs w:val="24"/>
        </w:rPr>
      </w:pPr>
      <w:r>
        <w:rPr>
          <w:rFonts w:ascii="宋体" w:hAnsi="宋体" w:cs="Times New Roman"/>
          <w:bCs/>
          <w:szCs w:val="24"/>
        </w:rPr>
        <w:t>各类燃油动力机械在建筑施工、物料运输等作业时，会排出各类燃油废气，排放的主要污染物为</w:t>
      </w:r>
      <w:r>
        <w:rPr>
          <w:rFonts w:cs="Times New Roman"/>
          <w:bCs/>
          <w:szCs w:val="24"/>
        </w:rPr>
        <w:t>CO</w:t>
      </w:r>
      <w:r>
        <w:rPr>
          <w:rFonts w:ascii="宋体" w:hAnsi="宋体" w:cs="Times New Roman"/>
          <w:bCs/>
          <w:szCs w:val="24"/>
        </w:rPr>
        <w:t>、</w:t>
      </w:r>
      <w:r>
        <w:rPr>
          <w:rFonts w:cs="Times New Roman"/>
          <w:bCs/>
          <w:szCs w:val="24"/>
        </w:rPr>
        <w:t>HC</w:t>
      </w:r>
      <w:r>
        <w:rPr>
          <w:rFonts w:ascii="宋体" w:hAnsi="宋体" w:cs="Times New Roman"/>
          <w:bCs/>
          <w:szCs w:val="24"/>
        </w:rPr>
        <w:t>、</w:t>
      </w:r>
      <w:r>
        <w:rPr>
          <w:rFonts w:cs="Times New Roman"/>
          <w:bCs/>
          <w:szCs w:val="24"/>
        </w:rPr>
        <w:t>NO</w:t>
      </w:r>
      <w:r>
        <w:rPr>
          <w:rFonts w:cs="Times New Roman"/>
          <w:bCs/>
          <w:szCs w:val="24"/>
          <w:vertAlign w:val="subscript"/>
        </w:rPr>
        <w:t>x</w:t>
      </w:r>
      <w:r>
        <w:rPr>
          <w:rFonts w:ascii="宋体" w:hAnsi="宋体" w:cs="Times New Roman"/>
          <w:bCs/>
          <w:szCs w:val="24"/>
        </w:rPr>
        <w:t>等。</w:t>
      </w:r>
    </w:p>
    <w:p w14:paraId="3235CE24" w14:textId="77777777" w:rsidR="00E579B9" w:rsidRDefault="006A1398">
      <w:r>
        <w:t>3</w:t>
      </w:r>
      <w:r>
        <w:rPr>
          <w:rFonts w:hint="eastAsia"/>
        </w:rPr>
        <w:t>.8.1.2</w:t>
      </w:r>
      <w:r>
        <w:rPr>
          <w:rFonts w:hint="eastAsia"/>
        </w:rPr>
        <w:t>水污染源</w:t>
      </w:r>
    </w:p>
    <w:p w14:paraId="553218AA" w14:textId="77777777" w:rsidR="00E579B9" w:rsidRDefault="006A1398">
      <w:pPr>
        <w:rPr>
          <w:rFonts w:ascii="宋体" w:hAnsi="宋体"/>
          <w:szCs w:val="24"/>
        </w:rPr>
      </w:pPr>
      <w:r>
        <w:rPr>
          <w:rFonts w:hint="eastAsia"/>
          <w:szCs w:val="24"/>
        </w:rPr>
        <w:t>建设期水污染源主要为施工人员生活污水。</w:t>
      </w:r>
      <w:r>
        <w:rPr>
          <w:rFonts w:ascii="宋体" w:hAnsi="宋体" w:hint="eastAsia"/>
          <w:szCs w:val="24"/>
        </w:rPr>
        <w:t>本项目建设期预计进场工人约</w:t>
      </w:r>
      <w:r>
        <w:rPr>
          <w:szCs w:val="24"/>
        </w:rPr>
        <w:t>20</w:t>
      </w:r>
      <w:r>
        <w:rPr>
          <w:rFonts w:ascii="宋体" w:hAnsi="宋体" w:hint="eastAsia"/>
          <w:spacing w:val="-20"/>
          <w:szCs w:val="24"/>
        </w:rPr>
        <w:t>人，建</w:t>
      </w:r>
      <w:r>
        <w:rPr>
          <w:rFonts w:ascii="宋体" w:hAnsi="宋体"/>
          <w:spacing w:val="2"/>
          <w:szCs w:val="24"/>
        </w:rPr>
        <w:t>设期日排放污水量</w:t>
      </w:r>
      <w:r>
        <w:rPr>
          <w:szCs w:val="24"/>
        </w:rPr>
        <w:t>0.8m</w:t>
      </w:r>
      <w:r>
        <w:rPr>
          <w:position w:val="8"/>
          <w:szCs w:val="24"/>
          <w:vertAlign w:val="superscript"/>
        </w:rPr>
        <w:t>3</w:t>
      </w:r>
      <w:r>
        <w:rPr>
          <w:szCs w:val="24"/>
        </w:rPr>
        <w:t>/d</w:t>
      </w:r>
      <w:r>
        <w:rPr>
          <w:rFonts w:ascii="宋体" w:hAnsi="宋体"/>
          <w:szCs w:val="24"/>
        </w:rPr>
        <w:t>，粪污水由周围村民拉走用于肥田。建设期水污染源主要为施工人员的洗漱废水，废水量较小，主要污染物为</w:t>
      </w:r>
      <w:r>
        <w:rPr>
          <w:szCs w:val="24"/>
        </w:rPr>
        <w:t>COD</w:t>
      </w:r>
      <w:r>
        <w:rPr>
          <w:rFonts w:ascii="宋体" w:hAnsi="宋体"/>
          <w:szCs w:val="24"/>
        </w:rPr>
        <w:t>和</w:t>
      </w:r>
      <w:r>
        <w:rPr>
          <w:szCs w:val="24"/>
        </w:rPr>
        <w:t>NH</w:t>
      </w:r>
      <w:r>
        <w:rPr>
          <w:szCs w:val="24"/>
          <w:vertAlign w:val="subscript"/>
        </w:rPr>
        <w:t>3</w:t>
      </w:r>
      <w:r>
        <w:rPr>
          <w:szCs w:val="24"/>
        </w:rPr>
        <w:t>-N</w:t>
      </w:r>
      <w:r>
        <w:rPr>
          <w:rFonts w:ascii="宋体" w:hAnsi="宋体"/>
          <w:szCs w:val="24"/>
        </w:rPr>
        <w:t>等，经收集池收集后用于洒水降尘，不外排。</w:t>
      </w:r>
    </w:p>
    <w:p w14:paraId="7DE90693" w14:textId="77777777" w:rsidR="00E579B9" w:rsidRDefault="006A1398">
      <w:r>
        <w:t>3.8.1.3</w:t>
      </w:r>
      <w:r>
        <w:t>噪声</w:t>
      </w:r>
      <w:r>
        <w:rPr>
          <w:rFonts w:hint="eastAsia"/>
        </w:rPr>
        <w:t>污染源</w:t>
      </w:r>
    </w:p>
    <w:p w14:paraId="6FAE26EB" w14:textId="77777777" w:rsidR="00E579B9" w:rsidRDefault="006A1398">
      <w:r>
        <w:rPr>
          <w:rFonts w:hint="eastAsia"/>
        </w:rPr>
        <w:t>本项目建设过程中，主要噪声源来自施工现场的各种机械设备运行噪声、物料运输的交通噪声以及施工人员的活动噪声。</w:t>
      </w:r>
    </w:p>
    <w:p w14:paraId="0717E668" w14:textId="77777777" w:rsidR="00E579B9" w:rsidRDefault="006A1398">
      <w:pPr>
        <w:rPr>
          <w:rFonts w:ascii="宋体" w:hAnsi="宋体" w:cs="Times New Roman"/>
          <w:szCs w:val="24"/>
        </w:rPr>
      </w:pPr>
      <w:r>
        <w:rPr>
          <w:rFonts w:hint="eastAsia"/>
        </w:rPr>
        <w:t>本项目施工设备主要为推土机、挖掘机、装载机、潜孔钻机及汽车等，噪声声级值在</w:t>
      </w:r>
      <w:r>
        <w:rPr>
          <w:rFonts w:hint="eastAsia"/>
        </w:rPr>
        <w:t>70</w:t>
      </w:r>
      <w:r>
        <w:rPr>
          <w:rFonts w:hint="eastAsia"/>
        </w:rPr>
        <w:t>～</w:t>
      </w:r>
      <w:r>
        <w:rPr>
          <w:rFonts w:hint="eastAsia"/>
        </w:rPr>
        <w:t>85dB(A)</w:t>
      </w:r>
      <w:r>
        <w:rPr>
          <w:rFonts w:hint="eastAsia"/>
        </w:rPr>
        <w:t>。</w:t>
      </w:r>
      <w:r>
        <w:rPr>
          <w:rFonts w:ascii="宋体" w:hAnsi="宋体" w:cs="Times New Roman"/>
          <w:szCs w:val="24"/>
        </w:rPr>
        <w:t>主要噪声源及声级值详见表</w:t>
      </w:r>
      <w:r>
        <w:rPr>
          <w:rFonts w:cs="Times New Roman"/>
          <w:szCs w:val="24"/>
        </w:rPr>
        <w:t>3.8-1</w:t>
      </w:r>
      <w:r>
        <w:rPr>
          <w:rFonts w:ascii="宋体" w:hAnsi="宋体" w:cs="Times New Roman"/>
          <w:szCs w:val="24"/>
        </w:rPr>
        <w:t>。</w:t>
      </w:r>
    </w:p>
    <w:p w14:paraId="3AEEDFF3" w14:textId="77777777" w:rsidR="00E579B9" w:rsidRDefault="006A1398">
      <w:pPr>
        <w:widowControl w:val="0"/>
        <w:spacing w:line="520" w:lineRule="exact"/>
        <w:jc w:val="center"/>
        <w:rPr>
          <w:rFonts w:ascii="黑体" w:eastAsia="黑体" w:hAnsi="黑体" w:cs="Times New Roman"/>
          <w:color w:val="000000"/>
          <w:szCs w:val="24"/>
        </w:rPr>
      </w:pPr>
      <w:r>
        <w:rPr>
          <w:rFonts w:ascii="黑体" w:eastAsia="黑体" w:hAnsi="黑体" w:cs="Times New Roman"/>
          <w:color w:val="000000"/>
          <w:szCs w:val="24"/>
        </w:rPr>
        <w:lastRenderedPageBreak/>
        <w:t>表</w:t>
      </w:r>
      <w:r>
        <w:rPr>
          <w:rFonts w:eastAsia="黑体" w:cs="Times New Roman"/>
          <w:color w:val="000000"/>
          <w:szCs w:val="24"/>
        </w:rPr>
        <w:t>3.8-1</w:t>
      </w:r>
      <w:r>
        <w:rPr>
          <w:rFonts w:ascii="黑体" w:eastAsia="黑体" w:hAnsi="黑体" w:cs="Times New Roman"/>
          <w:color w:val="000000"/>
          <w:szCs w:val="24"/>
        </w:rPr>
        <w:t>建设期主要噪声</w:t>
      </w:r>
      <w:proofErr w:type="gramStart"/>
      <w:r>
        <w:rPr>
          <w:rFonts w:ascii="黑体" w:eastAsia="黑体" w:hAnsi="黑体" w:cs="Times New Roman"/>
          <w:color w:val="000000"/>
          <w:szCs w:val="24"/>
        </w:rPr>
        <w:t>源情况</w:t>
      </w:r>
      <w:proofErr w:type="gramEnd"/>
      <w:r>
        <w:rPr>
          <w:rFonts w:ascii="黑体" w:eastAsia="黑体" w:hAnsi="黑体" w:cs="Times New Roman"/>
          <w:color w:val="000000"/>
          <w:szCs w:val="24"/>
        </w:rPr>
        <w:t>一览表</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975"/>
        <w:gridCol w:w="2127"/>
        <w:gridCol w:w="2176"/>
      </w:tblGrid>
      <w:tr w:rsidR="00E579B9" w14:paraId="20067025" w14:textId="77777777">
        <w:tc>
          <w:tcPr>
            <w:tcW w:w="1668" w:type="dxa"/>
            <w:vAlign w:val="center"/>
          </w:tcPr>
          <w:p w14:paraId="791241A5" w14:textId="77777777" w:rsidR="00E579B9" w:rsidRDefault="006A1398">
            <w:pPr>
              <w:pStyle w:val="226"/>
              <w:spacing w:line="360" w:lineRule="exact"/>
              <w:ind w:firstLineChars="0" w:firstLine="0"/>
              <w:jc w:val="center"/>
              <w:rPr>
                <w:rFonts w:cs="Times New Roman"/>
                <w:sz w:val="21"/>
                <w:szCs w:val="21"/>
              </w:rPr>
            </w:pPr>
            <w:r>
              <w:rPr>
                <w:rFonts w:cs="Times New Roman"/>
                <w:sz w:val="21"/>
                <w:szCs w:val="21"/>
              </w:rPr>
              <w:t>序号</w:t>
            </w:r>
          </w:p>
        </w:tc>
        <w:tc>
          <w:tcPr>
            <w:tcW w:w="2975" w:type="dxa"/>
            <w:vAlign w:val="center"/>
          </w:tcPr>
          <w:p w14:paraId="4C6D4503"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声源名称</w:t>
            </w:r>
          </w:p>
        </w:tc>
        <w:tc>
          <w:tcPr>
            <w:tcW w:w="2127" w:type="dxa"/>
            <w:vAlign w:val="center"/>
          </w:tcPr>
          <w:p w14:paraId="16FD577D"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噪声级</w:t>
            </w:r>
            <w:r>
              <w:rPr>
                <w:rFonts w:cs="Times New Roman" w:hint="eastAsia"/>
                <w:sz w:val="21"/>
                <w:szCs w:val="21"/>
              </w:rPr>
              <w:t>dB(A)</w:t>
            </w:r>
          </w:p>
        </w:tc>
        <w:tc>
          <w:tcPr>
            <w:tcW w:w="2176" w:type="dxa"/>
            <w:vAlign w:val="center"/>
          </w:tcPr>
          <w:p w14:paraId="10121042"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备注</w:t>
            </w:r>
          </w:p>
        </w:tc>
      </w:tr>
      <w:tr w:rsidR="00E579B9" w14:paraId="4A713C8B" w14:textId="77777777">
        <w:tc>
          <w:tcPr>
            <w:tcW w:w="1668" w:type="dxa"/>
            <w:vAlign w:val="center"/>
          </w:tcPr>
          <w:p w14:paraId="32090FD0"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1</w:t>
            </w:r>
          </w:p>
        </w:tc>
        <w:tc>
          <w:tcPr>
            <w:tcW w:w="2975" w:type="dxa"/>
            <w:vAlign w:val="center"/>
          </w:tcPr>
          <w:p w14:paraId="20B06645"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推土机</w:t>
            </w:r>
          </w:p>
        </w:tc>
        <w:tc>
          <w:tcPr>
            <w:tcW w:w="2127" w:type="dxa"/>
            <w:vAlign w:val="center"/>
          </w:tcPr>
          <w:p w14:paraId="2A503863"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85</w:t>
            </w:r>
          </w:p>
        </w:tc>
        <w:tc>
          <w:tcPr>
            <w:tcW w:w="2176" w:type="dxa"/>
            <w:vAlign w:val="center"/>
          </w:tcPr>
          <w:p w14:paraId="62900734"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距声源</w:t>
            </w:r>
            <w:r>
              <w:rPr>
                <w:rFonts w:cs="Times New Roman" w:hint="eastAsia"/>
                <w:sz w:val="21"/>
                <w:szCs w:val="21"/>
              </w:rPr>
              <w:t>3m</w:t>
            </w:r>
          </w:p>
        </w:tc>
      </w:tr>
      <w:tr w:rsidR="00E579B9" w14:paraId="2F9B2A21" w14:textId="77777777">
        <w:tc>
          <w:tcPr>
            <w:tcW w:w="1668" w:type="dxa"/>
            <w:vAlign w:val="center"/>
          </w:tcPr>
          <w:p w14:paraId="752C747D"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2</w:t>
            </w:r>
          </w:p>
        </w:tc>
        <w:tc>
          <w:tcPr>
            <w:tcW w:w="2975" w:type="dxa"/>
            <w:vAlign w:val="center"/>
          </w:tcPr>
          <w:p w14:paraId="457DD100"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挖掘机</w:t>
            </w:r>
          </w:p>
        </w:tc>
        <w:tc>
          <w:tcPr>
            <w:tcW w:w="2127" w:type="dxa"/>
            <w:vAlign w:val="center"/>
          </w:tcPr>
          <w:p w14:paraId="06C7D4EE"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80</w:t>
            </w:r>
          </w:p>
        </w:tc>
        <w:tc>
          <w:tcPr>
            <w:tcW w:w="2176" w:type="dxa"/>
            <w:vAlign w:val="center"/>
          </w:tcPr>
          <w:p w14:paraId="3B405F77"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距声源</w:t>
            </w:r>
            <w:r>
              <w:rPr>
                <w:rFonts w:cs="Times New Roman" w:hint="eastAsia"/>
                <w:sz w:val="21"/>
                <w:szCs w:val="21"/>
              </w:rPr>
              <w:t>3m</w:t>
            </w:r>
          </w:p>
        </w:tc>
      </w:tr>
      <w:tr w:rsidR="00E579B9" w14:paraId="76F93D79" w14:textId="77777777">
        <w:tc>
          <w:tcPr>
            <w:tcW w:w="1668" w:type="dxa"/>
            <w:vAlign w:val="center"/>
          </w:tcPr>
          <w:p w14:paraId="6EABFBEB"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3</w:t>
            </w:r>
          </w:p>
        </w:tc>
        <w:tc>
          <w:tcPr>
            <w:tcW w:w="2975" w:type="dxa"/>
            <w:vAlign w:val="center"/>
          </w:tcPr>
          <w:p w14:paraId="56EC4E98"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装载机</w:t>
            </w:r>
          </w:p>
        </w:tc>
        <w:tc>
          <w:tcPr>
            <w:tcW w:w="2127" w:type="dxa"/>
            <w:vAlign w:val="center"/>
          </w:tcPr>
          <w:p w14:paraId="42901089"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85</w:t>
            </w:r>
          </w:p>
        </w:tc>
        <w:tc>
          <w:tcPr>
            <w:tcW w:w="2176" w:type="dxa"/>
            <w:vAlign w:val="center"/>
          </w:tcPr>
          <w:p w14:paraId="2BD72027"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距声源</w:t>
            </w:r>
            <w:r>
              <w:rPr>
                <w:rFonts w:cs="Times New Roman" w:hint="eastAsia"/>
                <w:sz w:val="21"/>
                <w:szCs w:val="21"/>
              </w:rPr>
              <w:t>3m</w:t>
            </w:r>
          </w:p>
        </w:tc>
      </w:tr>
      <w:tr w:rsidR="00E579B9" w14:paraId="5C4ED37E" w14:textId="77777777">
        <w:tc>
          <w:tcPr>
            <w:tcW w:w="1668" w:type="dxa"/>
            <w:vAlign w:val="center"/>
          </w:tcPr>
          <w:p w14:paraId="52B84BD5"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4</w:t>
            </w:r>
          </w:p>
        </w:tc>
        <w:tc>
          <w:tcPr>
            <w:tcW w:w="2975" w:type="dxa"/>
            <w:vAlign w:val="center"/>
          </w:tcPr>
          <w:p w14:paraId="03421468"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汽车</w:t>
            </w:r>
          </w:p>
        </w:tc>
        <w:tc>
          <w:tcPr>
            <w:tcW w:w="2127" w:type="dxa"/>
            <w:vAlign w:val="center"/>
          </w:tcPr>
          <w:p w14:paraId="19158E15"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70~85</w:t>
            </w:r>
          </w:p>
        </w:tc>
        <w:tc>
          <w:tcPr>
            <w:tcW w:w="2176" w:type="dxa"/>
            <w:vAlign w:val="center"/>
          </w:tcPr>
          <w:p w14:paraId="6AF88D3A"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距声源</w:t>
            </w:r>
            <w:r>
              <w:rPr>
                <w:rFonts w:cs="Times New Roman" w:hint="eastAsia"/>
                <w:sz w:val="21"/>
                <w:szCs w:val="21"/>
              </w:rPr>
              <w:t>7.5m</w:t>
            </w:r>
          </w:p>
        </w:tc>
      </w:tr>
    </w:tbl>
    <w:p w14:paraId="5714787E" w14:textId="77777777" w:rsidR="00E579B9" w:rsidRDefault="006A1398">
      <w:r>
        <w:t>3.8.1.4</w:t>
      </w:r>
      <w:r>
        <w:t>固体</w:t>
      </w:r>
      <w:r>
        <w:rPr>
          <w:rFonts w:hint="eastAsia"/>
        </w:rPr>
        <w:t>污染源</w:t>
      </w:r>
    </w:p>
    <w:p w14:paraId="475F4CF2" w14:textId="77777777" w:rsidR="00E579B9" w:rsidRDefault="006A1398">
      <w:r>
        <w:t>本项目建设期产生的固体废物主要有</w:t>
      </w:r>
      <w:r>
        <w:rPr>
          <w:rFonts w:hint="eastAsia"/>
        </w:rPr>
        <w:t>两</w:t>
      </w:r>
      <w:r>
        <w:t>个方面：一是</w:t>
      </w:r>
      <w:r>
        <w:rPr>
          <w:rFonts w:hint="eastAsia"/>
        </w:rPr>
        <w:t>矿体基建期产生的固体废物</w:t>
      </w:r>
      <w:r>
        <w:t>；二是施工人员的生活垃圾。</w:t>
      </w:r>
    </w:p>
    <w:p w14:paraId="2E17AB38" w14:textId="77777777" w:rsidR="00E579B9" w:rsidRDefault="006A1398">
      <w:pPr>
        <w:rPr>
          <w:rFonts w:cs="Times New Roman"/>
          <w:szCs w:val="24"/>
        </w:rPr>
      </w:pPr>
      <w:r>
        <w:rPr>
          <w:rFonts w:cs="Times New Roman" w:hint="eastAsia"/>
          <w:szCs w:val="24"/>
        </w:rPr>
        <w:t>（</w:t>
      </w:r>
      <w:r>
        <w:rPr>
          <w:rFonts w:cs="Times New Roman" w:hint="eastAsia"/>
          <w:szCs w:val="24"/>
        </w:rPr>
        <w:t>1</w:t>
      </w:r>
      <w:r>
        <w:rPr>
          <w:rFonts w:cs="Times New Roman" w:hint="eastAsia"/>
          <w:szCs w:val="24"/>
        </w:rPr>
        <w:t>）矿体基建期产生的固体废物</w:t>
      </w:r>
    </w:p>
    <w:p w14:paraId="5D104BDF" w14:textId="77777777" w:rsidR="00E579B9" w:rsidRDefault="006A1398">
      <w:pPr>
        <w:rPr>
          <w:color w:val="000000"/>
        </w:rPr>
      </w:pPr>
      <w:r>
        <w:rPr>
          <w:rFonts w:hint="eastAsia"/>
          <w:color w:val="000000"/>
        </w:rPr>
        <w:t>建设期露天采场开挖土方</w:t>
      </w:r>
      <w:r>
        <w:rPr>
          <w:rFonts w:hint="eastAsia"/>
          <w:color w:val="000000"/>
        </w:rPr>
        <w:t>1.162</w:t>
      </w:r>
      <w:r>
        <w:rPr>
          <w:rFonts w:hint="eastAsia"/>
          <w:color w:val="000000"/>
        </w:rPr>
        <w:t>万</w:t>
      </w:r>
      <w:r>
        <w:rPr>
          <w:color w:val="000000"/>
          <w:szCs w:val="24"/>
        </w:rPr>
        <w:t>t</w:t>
      </w:r>
      <w:r>
        <w:rPr>
          <w:rFonts w:hint="eastAsia"/>
          <w:color w:val="000000"/>
          <w:szCs w:val="24"/>
        </w:rPr>
        <w:t>；运输道路修整开挖土方</w:t>
      </w:r>
      <w:r>
        <w:rPr>
          <w:rFonts w:hint="eastAsia"/>
          <w:color w:val="000000"/>
          <w:szCs w:val="24"/>
        </w:rPr>
        <w:t>0.42</w:t>
      </w:r>
      <w:r>
        <w:rPr>
          <w:rFonts w:hint="eastAsia"/>
          <w:color w:val="000000"/>
          <w:szCs w:val="24"/>
        </w:rPr>
        <w:t>万</w:t>
      </w:r>
      <w:r>
        <w:rPr>
          <w:color w:val="000000"/>
        </w:rPr>
        <w:t>t</w:t>
      </w:r>
      <w:r>
        <w:rPr>
          <w:rFonts w:hint="eastAsia"/>
          <w:color w:val="000000"/>
          <w:szCs w:val="24"/>
        </w:rPr>
        <w:t>、石方</w:t>
      </w:r>
      <w:r>
        <w:rPr>
          <w:rFonts w:hint="eastAsia"/>
          <w:color w:val="000000"/>
          <w:szCs w:val="24"/>
        </w:rPr>
        <w:t>0.785</w:t>
      </w:r>
      <w:r>
        <w:rPr>
          <w:rFonts w:hint="eastAsia"/>
          <w:color w:val="000000"/>
          <w:szCs w:val="24"/>
        </w:rPr>
        <w:t>万</w:t>
      </w:r>
      <w:r>
        <w:rPr>
          <w:color w:val="000000"/>
        </w:rPr>
        <w:t>t</w:t>
      </w:r>
      <w:r>
        <w:rPr>
          <w:rFonts w:hint="eastAsia"/>
          <w:color w:val="000000"/>
        </w:rPr>
        <w:t>；工业场地</w:t>
      </w:r>
      <w:r>
        <w:rPr>
          <w:rFonts w:hint="eastAsia"/>
          <w:color w:val="000000"/>
          <w:szCs w:val="24"/>
        </w:rPr>
        <w:t>开挖土方</w:t>
      </w:r>
      <w:r>
        <w:rPr>
          <w:rFonts w:hint="eastAsia"/>
          <w:color w:val="000000"/>
          <w:szCs w:val="24"/>
        </w:rPr>
        <w:t>0.07</w:t>
      </w:r>
      <w:r>
        <w:rPr>
          <w:rFonts w:hint="eastAsia"/>
          <w:color w:val="000000"/>
          <w:szCs w:val="24"/>
        </w:rPr>
        <w:t>万</w:t>
      </w:r>
      <w:r>
        <w:rPr>
          <w:color w:val="000000"/>
        </w:rPr>
        <w:t>t</w:t>
      </w:r>
      <w:r>
        <w:rPr>
          <w:rFonts w:hint="eastAsia"/>
          <w:color w:val="000000"/>
          <w:szCs w:val="24"/>
        </w:rPr>
        <w:t>、石方</w:t>
      </w:r>
      <w:r>
        <w:rPr>
          <w:rFonts w:hint="eastAsia"/>
          <w:color w:val="000000"/>
          <w:szCs w:val="24"/>
        </w:rPr>
        <w:t>0.08</w:t>
      </w:r>
      <w:r>
        <w:rPr>
          <w:rFonts w:hint="eastAsia"/>
          <w:color w:val="000000"/>
          <w:szCs w:val="24"/>
        </w:rPr>
        <w:t>万</w:t>
      </w:r>
      <w:r>
        <w:rPr>
          <w:color w:val="000000"/>
        </w:rPr>
        <w:t>t</w:t>
      </w:r>
      <w:r>
        <w:rPr>
          <w:rFonts w:hint="eastAsia"/>
          <w:color w:val="000000"/>
        </w:rPr>
        <w:t>；临时堆场</w:t>
      </w:r>
      <w:r>
        <w:rPr>
          <w:rFonts w:hint="eastAsia"/>
          <w:color w:val="000000"/>
          <w:szCs w:val="24"/>
        </w:rPr>
        <w:t>开挖土方</w:t>
      </w:r>
      <w:r>
        <w:rPr>
          <w:rFonts w:hint="eastAsia"/>
          <w:color w:val="000000"/>
          <w:szCs w:val="24"/>
        </w:rPr>
        <w:t>0.8</w:t>
      </w:r>
      <w:r>
        <w:rPr>
          <w:rFonts w:hint="eastAsia"/>
          <w:color w:val="000000"/>
          <w:szCs w:val="24"/>
        </w:rPr>
        <w:t>万</w:t>
      </w:r>
      <w:r>
        <w:rPr>
          <w:color w:val="000000"/>
        </w:rPr>
        <w:t>t</w:t>
      </w:r>
      <w:r>
        <w:rPr>
          <w:rFonts w:hint="eastAsia"/>
          <w:color w:val="000000"/>
        </w:rPr>
        <w:t>。其中表土暂存于矿区临时堆场附近，废石可回用于工业场地平整，道路碎石铺垫，亦可用于外售等。土方堆放期间</w:t>
      </w:r>
      <w:r>
        <w:rPr>
          <w:rFonts w:hint="eastAsia"/>
          <w:color w:val="000000"/>
          <w:kern w:val="0"/>
          <w:szCs w:val="24"/>
        </w:rPr>
        <w:t>，</w:t>
      </w:r>
      <w:r>
        <w:rPr>
          <w:color w:val="000000"/>
          <w:kern w:val="0"/>
          <w:szCs w:val="24"/>
        </w:rPr>
        <w:t>坡脚处实施袋装土拦挡措施</w:t>
      </w:r>
      <w:r>
        <w:rPr>
          <w:rFonts w:hint="eastAsia"/>
          <w:color w:val="000000"/>
          <w:kern w:val="0"/>
          <w:szCs w:val="24"/>
        </w:rPr>
        <w:t>，并在表层撒上草籽进行防护</w:t>
      </w:r>
      <w:r>
        <w:rPr>
          <w:rFonts w:hint="eastAsia"/>
          <w:color w:val="000000"/>
        </w:rPr>
        <w:t>。不会对外环境产生影响。</w:t>
      </w:r>
    </w:p>
    <w:p w14:paraId="553BA39F" w14:textId="77777777" w:rsidR="00E579B9" w:rsidRDefault="006A1398">
      <w:r>
        <w:rPr>
          <w:rFonts w:hint="eastAsia"/>
        </w:rPr>
        <w:t>（</w:t>
      </w:r>
      <w:r>
        <w:rPr>
          <w:rFonts w:hint="eastAsia"/>
        </w:rPr>
        <w:t>2</w:t>
      </w:r>
      <w:r>
        <w:rPr>
          <w:rFonts w:hint="eastAsia"/>
        </w:rPr>
        <w:t>）</w:t>
      </w:r>
      <w:r>
        <w:t>生活垃圾</w:t>
      </w:r>
    </w:p>
    <w:p w14:paraId="6C00DD08" w14:textId="77777777" w:rsidR="00E579B9" w:rsidRDefault="006A1398">
      <w:r>
        <w:t>本项目建设</w:t>
      </w:r>
      <w:proofErr w:type="gramStart"/>
      <w:r>
        <w:t>期</w:t>
      </w:r>
      <w:r>
        <w:rPr>
          <w:rFonts w:hint="eastAsia"/>
        </w:rPr>
        <w:t>施工</w:t>
      </w:r>
      <w:proofErr w:type="gramEnd"/>
      <w:r>
        <w:rPr>
          <w:rFonts w:hint="eastAsia"/>
        </w:rPr>
        <w:t>人员约为</w:t>
      </w:r>
      <w:r>
        <w:t>20</w:t>
      </w:r>
      <w:r>
        <w:rPr>
          <w:rFonts w:hint="eastAsia"/>
        </w:rPr>
        <w:t>人，生活垃圾产生量按</w:t>
      </w:r>
      <w:r>
        <w:rPr>
          <w:rFonts w:hint="eastAsia"/>
        </w:rPr>
        <w:t>0.5kg/</w:t>
      </w:r>
      <w:r>
        <w:rPr>
          <w:rFonts w:hint="eastAsia"/>
        </w:rPr>
        <w:t>人·</w:t>
      </w:r>
      <w:r>
        <w:rPr>
          <w:rFonts w:hint="eastAsia"/>
        </w:rPr>
        <w:t>d</w:t>
      </w:r>
      <w:r>
        <w:rPr>
          <w:rFonts w:hint="eastAsia"/>
        </w:rPr>
        <w:t>，则施工期</w:t>
      </w:r>
      <w:r>
        <w:t>生活垃圾产生量约为</w:t>
      </w:r>
      <w:r>
        <w:rPr>
          <w:rFonts w:hint="eastAsia"/>
        </w:rPr>
        <w:t>1.8t</w:t>
      </w:r>
      <w:r>
        <w:t>，</w:t>
      </w:r>
      <w:r>
        <w:rPr>
          <w:rFonts w:hint="eastAsia"/>
        </w:rPr>
        <w:t>设置若干垃圾桶，由环卫部门定期清运</w:t>
      </w:r>
      <w:r>
        <w:t>。</w:t>
      </w:r>
    </w:p>
    <w:p w14:paraId="782C66AD" w14:textId="77777777" w:rsidR="00E579B9" w:rsidRDefault="006A1398">
      <w:r>
        <w:rPr>
          <w:rFonts w:hint="eastAsia"/>
        </w:rPr>
        <w:t>3.8.1.5</w:t>
      </w:r>
      <w:r>
        <w:rPr>
          <w:rFonts w:hint="eastAsia"/>
        </w:rPr>
        <w:t>生态环境影响因素</w:t>
      </w:r>
    </w:p>
    <w:p w14:paraId="5A6BF4E8" w14:textId="77777777" w:rsidR="00E579B9" w:rsidRDefault="006A1398">
      <w:r>
        <w:rPr>
          <w:rFonts w:hint="eastAsia"/>
        </w:rPr>
        <w:t>项目基建过程中，要进行采区表土剥离、矿区道路建设、物料运输及堆放等，直接造成施工场地区域内地表植被的完全破坏和一定范围内植被不同程度的破坏；施工机械、材料的堆放、施工人员践踏、临时占地、弃土、弃渣的堆放等，将破坏一定区域内的植被，诱发水土流失，弃渣如果处置不当易污染环境。施工区域内大量植被的清除降低了其对土壤的固持性能，同时大量土石方的开挖、平整等都使得原有土壤有机质的矿化能力增强，其间的粘结力相应降低，且对土壤的扰动也破坏了土壤原有水稳性团聚体含量及其组成。项目施工过程中一系列的土壤性质的变化降低了土壤的抗蚀性，使得一定程度的水土流失得以发生。但由于项目采区施工期的影响持续时间较短，因此在施工的各个时段采取必要的生态保护和水土保持措</w:t>
      </w:r>
      <w:r>
        <w:rPr>
          <w:rFonts w:hint="eastAsia"/>
        </w:rPr>
        <w:lastRenderedPageBreak/>
        <w:t>施，在施工结束时及时做好恢复和补偿工作，加强绿化，可把水土流失控制在其所在区域的土壤侵蚀容许范围内。</w:t>
      </w:r>
    </w:p>
    <w:p w14:paraId="7A9F3E12" w14:textId="77777777" w:rsidR="00E579B9" w:rsidRDefault="006A1398">
      <w:pPr>
        <w:pStyle w:val="3"/>
        <w:ind w:firstLine="560"/>
      </w:pPr>
      <w:r>
        <w:t>3.8.2</w:t>
      </w:r>
      <w:r>
        <w:t>项目营运期环境影响因素</w:t>
      </w:r>
      <w:r>
        <w:rPr>
          <w:rFonts w:hint="eastAsia"/>
        </w:rPr>
        <w:t>及源强核算</w:t>
      </w:r>
    </w:p>
    <w:p w14:paraId="4A1D37EB" w14:textId="77777777" w:rsidR="00E579B9" w:rsidRDefault="006A1398">
      <w:r>
        <w:rPr>
          <w:rFonts w:hint="eastAsia"/>
        </w:rPr>
        <w:t>露采进行地表植被剥离，将导致地表裸露，造成生态破坏，水土流失加剧，且会产生一定量的固废；作业机械将产生噪声和尾气污染；挖掘机将引起粉尘污染；装载机铲装、挖掘机作业、排土等均会产生粉尘；装卸、运输及破碎作业也将产生粉尘等。露采全过程均产生噪声。</w:t>
      </w:r>
      <w:r>
        <w:t>项目运营</w:t>
      </w:r>
      <w:proofErr w:type="gramStart"/>
      <w:r>
        <w:t>期产污</w:t>
      </w:r>
      <w:proofErr w:type="gramEnd"/>
      <w:r>
        <w:t>环节示意图见图</w:t>
      </w:r>
      <w:r>
        <w:t>3.8-1</w:t>
      </w:r>
      <w:r>
        <w:t>。</w:t>
      </w:r>
    </w:p>
    <w:p w14:paraId="5DF7041E" w14:textId="77777777" w:rsidR="00E579B9" w:rsidRDefault="006A1398">
      <w:r>
        <w:object w:dxaOrig="8177" w:dyaOrig="2609" w14:anchorId="3F99B11A">
          <v:shape id="_x0000_i1033" type="#_x0000_t75" style="width:408.75pt;height:130.95pt" o:ole="">
            <v:imagedata r:id="rId34" o:title=""/>
          </v:shape>
          <o:OLEObject Type="Embed" ProgID="Visio.Drawing.11" ShapeID="_x0000_i1033" DrawAspect="Content" ObjectID="_1644327287" r:id="rId35"/>
        </w:object>
      </w:r>
    </w:p>
    <w:p w14:paraId="625BE423" w14:textId="77777777" w:rsidR="00E579B9" w:rsidRDefault="006A1398">
      <w:pPr>
        <w:pStyle w:val="21"/>
      </w:pPr>
      <w:r>
        <w:t>图</w:t>
      </w:r>
      <w:r>
        <w:t>3.8</w:t>
      </w:r>
      <w:r>
        <w:rPr>
          <w:rFonts w:hint="eastAsia"/>
        </w:rPr>
        <w:t>-</w:t>
      </w:r>
      <w:r>
        <w:t>1</w:t>
      </w:r>
      <w:bookmarkStart w:id="154" w:name="_Hlk535415140"/>
      <w:r>
        <w:t>项目运营期</w:t>
      </w:r>
      <w:r>
        <w:rPr>
          <w:rFonts w:hint="eastAsia"/>
        </w:rPr>
        <w:t>矿石</w:t>
      </w:r>
      <w:proofErr w:type="gramStart"/>
      <w:r>
        <w:rPr>
          <w:rFonts w:hint="eastAsia"/>
        </w:rPr>
        <w:t>开采</w:t>
      </w:r>
      <w:r>
        <w:t>产污环节</w:t>
      </w:r>
      <w:proofErr w:type="gramEnd"/>
      <w:r>
        <w:t>示意图</w:t>
      </w:r>
      <w:bookmarkEnd w:id="154"/>
    </w:p>
    <w:p w14:paraId="7A4C1037" w14:textId="77777777" w:rsidR="00E579B9" w:rsidRDefault="006A1398">
      <w:bookmarkStart w:id="155" w:name="_Hlk535403317"/>
      <w:r>
        <w:t>根据分析，项目运营期主要污染环节有</w:t>
      </w:r>
      <w:r>
        <w:rPr>
          <w:rFonts w:hint="eastAsia"/>
        </w:rPr>
        <w:t>表土剥离、</w:t>
      </w:r>
      <w:r>
        <w:t>钻孔爆破、矿石</w:t>
      </w:r>
      <w:r>
        <w:rPr>
          <w:rFonts w:hint="eastAsia"/>
        </w:rPr>
        <w:t>破碎</w:t>
      </w:r>
      <w:r>
        <w:t>筛分等，主要污染物为粉尘、噪声</w:t>
      </w:r>
      <w:r>
        <w:rPr>
          <w:rFonts w:hint="eastAsia"/>
        </w:rPr>
        <w:t>、生活污水</w:t>
      </w:r>
      <w:r>
        <w:t>等。</w:t>
      </w:r>
      <w:bookmarkEnd w:id="155"/>
      <w:r>
        <w:rPr>
          <w:rFonts w:hint="eastAsia"/>
        </w:rPr>
        <w:t>建议建设单位严格按照绿色矿山的标准和要求进行设计和建设，将绿色矿山的理念融入项目整个设计、建设和运行的全过程中。</w:t>
      </w:r>
      <w:r>
        <w:t>运营期环境影响因素如下：</w:t>
      </w:r>
    </w:p>
    <w:p w14:paraId="531717B3" w14:textId="77777777" w:rsidR="00E579B9" w:rsidRDefault="006A1398">
      <w:bookmarkStart w:id="156" w:name="_Toc17507"/>
      <w:r>
        <w:rPr>
          <w:bCs/>
        </w:rPr>
        <w:t>3.8.2.1</w:t>
      </w:r>
      <w:r>
        <w:t>大气</w:t>
      </w:r>
      <w:bookmarkEnd w:id="156"/>
      <w:r>
        <w:rPr>
          <w:rFonts w:hint="eastAsia"/>
        </w:rPr>
        <w:t>环境影响及源强核算</w:t>
      </w:r>
    </w:p>
    <w:p w14:paraId="37F50279" w14:textId="77777777" w:rsidR="00E579B9" w:rsidRDefault="006A1398">
      <w:pPr>
        <w:rPr>
          <w:rFonts w:ascii="宋体" w:hAnsi="宋体" w:cs="Times New Roman"/>
        </w:rPr>
      </w:pPr>
      <w:r>
        <w:rPr>
          <w:rFonts w:ascii="宋体" w:hAnsi="宋体" w:hint="eastAsia"/>
        </w:rPr>
        <w:t>项目运营期大气污染环节主要是</w:t>
      </w:r>
      <w:r>
        <w:rPr>
          <w:rFonts w:ascii="宋体" w:hAnsi="宋体" w:cs="Times New Roman" w:hint="eastAsia"/>
        </w:rPr>
        <w:t>露天开采过程中凿岩、爆破粉尘，破碎场地矿石破碎、筛分粉尘，矿石装卸及运输时产生的扬尘。</w:t>
      </w:r>
    </w:p>
    <w:p w14:paraId="4D6CAAA2" w14:textId="77777777" w:rsidR="00E579B9" w:rsidRDefault="006A1398">
      <w:pPr>
        <w:rPr>
          <w:rFonts w:cs="宋体"/>
          <w:szCs w:val="24"/>
        </w:rPr>
      </w:pPr>
      <w:r>
        <w:rPr>
          <w:rFonts w:cs="宋体" w:hint="eastAsia"/>
          <w:szCs w:val="24"/>
        </w:rPr>
        <w:t>（</w:t>
      </w:r>
      <w:r>
        <w:rPr>
          <w:rFonts w:cs="宋体" w:hint="eastAsia"/>
          <w:szCs w:val="24"/>
        </w:rPr>
        <w:t>1</w:t>
      </w:r>
      <w:r>
        <w:rPr>
          <w:rFonts w:cs="宋体" w:hint="eastAsia"/>
          <w:szCs w:val="24"/>
        </w:rPr>
        <w:t>）</w:t>
      </w:r>
      <w:r>
        <w:rPr>
          <w:rFonts w:ascii="宋体" w:hAnsi="宋体" w:cs="宋体" w:hint="eastAsia"/>
          <w:szCs w:val="24"/>
        </w:rPr>
        <w:t>钻孔、爆破粉尘</w:t>
      </w:r>
    </w:p>
    <w:p w14:paraId="5CDAD80D" w14:textId="77777777" w:rsidR="00E579B9" w:rsidRDefault="006A1398">
      <w:pPr>
        <w:rPr>
          <w:rFonts w:cs="宋体"/>
          <w:szCs w:val="24"/>
        </w:rPr>
      </w:pPr>
      <w:r>
        <w:rPr>
          <w:rFonts w:ascii="宋体" w:hAnsi="宋体" w:cs="宋体" w:hint="eastAsia"/>
          <w:szCs w:val="24"/>
        </w:rPr>
        <w:t>矿山开采采用潜孔钻进行凿岩作业，根据查询相关资料，钻机孔口附件有微细粉尘产生，也有粗颗粒产生，项目采用的凿岩机湿式凿岩，且自带有除尘器收集粉尘，爆破采取水封爆破法，可有效减少粉尘的产生。</w:t>
      </w:r>
    </w:p>
    <w:p w14:paraId="529F4456" w14:textId="77777777" w:rsidR="00E579B9" w:rsidRDefault="006A1398">
      <w:pPr>
        <w:rPr>
          <w:rFonts w:cs="宋体"/>
          <w:szCs w:val="24"/>
        </w:rPr>
      </w:pPr>
      <w:r>
        <w:rPr>
          <w:rFonts w:ascii="宋体" w:hAnsi="宋体" w:cs="宋体" w:hint="eastAsia"/>
          <w:szCs w:val="24"/>
        </w:rPr>
        <w:t>本项目采用深孔爆破产尘量较少，矿山爆破产尘量与爆破产生的矿石量有关。爆破后粒径大的粉尘在近距离内、短时间内沉降，粒径</w:t>
      </w:r>
      <w:r>
        <w:rPr>
          <w:rFonts w:cs="宋体"/>
          <w:szCs w:val="24"/>
        </w:rPr>
        <w:t>&lt;10</w:t>
      </w:r>
      <w:r>
        <w:rPr>
          <w:rFonts w:cs="宋体" w:hint="eastAsia"/>
          <w:szCs w:val="24"/>
        </w:rPr>
        <w:t>μ</w:t>
      </w:r>
      <w:r>
        <w:rPr>
          <w:rFonts w:cs="宋体"/>
          <w:szCs w:val="24"/>
        </w:rPr>
        <w:t>m</w:t>
      </w:r>
      <w:r>
        <w:rPr>
          <w:rFonts w:ascii="宋体" w:hAnsi="宋体" w:cs="宋体" w:hint="eastAsia"/>
          <w:szCs w:val="24"/>
        </w:rPr>
        <w:t>的飘尘不易沉降，</w:t>
      </w:r>
      <w:proofErr w:type="gramStart"/>
      <w:r>
        <w:rPr>
          <w:rFonts w:ascii="宋体" w:hAnsi="宋体" w:cs="宋体" w:hint="eastAsia"/>
          <w:szCs w:val="24"/>
        </w:rPr>
        <w:lastRenderedPageBreak/>
        <w:t>仅占产尘量</w:t>
      </w:r>
      <w:proofErr w:type="gramEnd"/>
      <w:r>
        <w:rPr>
          <w:rFonts w:ascii="宋体" w:hAnsi="宋体" w:cs="宋体" w:hint="eastAsia"/>
          <w:szCs w:val="24"/>
        </w:rPr>
        <w:t>的</w:t>
      </w:r>
      <w:r>
        <w:rPr>
          <w:rFonts w:cs="宋体"/>
          <w:szCs w:val="24"/>
        </w:rPr>
        <w:t>1%</w:t>
      </w:r>
      <w:r>
        <w:rPr>
          <w:rFonts w:ascii="宋体" w:hAnsi="宋体" w:cs="宋体" w:hint="eastAsia"/>
          <w:szCs w:val="24"/>
        </w:rPr>
        <w:t>以下。因此在未采取</w:t>
      </w:r>
      <w:proofErr w:type="gramStart"/>
      <w:r>
        <w:rPr>
          <w:rFonts w:ascii="宋体" w:hAnsi="宋体" w:cs="宋体" w:hint="eastAsia"/>
          <w:szCs w:val="24"/>
        </w:rPr>
        <w:t>抑尘措施</w:t>
      </w:r>
      <w:proofErr w:type="gramEnd"/>
      <w:r>
        <w:rPr>
          <w:rFonts w:ascii="宋体" w:hAnsi="宋体" w:cs="宋体" w:hint="eastAsia"/>
          <w:szCs w:val="24"/>
        </w:rPr>
        <w:t>的情况下，爆破粉尘主要影响采场下风向</w:t>
      </w:r>
      <w:r>
        <w:rPr>
          <w:rFonts w:cs="宋体"/>
          <w:szCs w:val="24"/>
        </w:rPr>
        <w:t>200m</w:t>
      </w:r>
      <w:r>
        <w:rPr>
          <w:rFonts w:ascii="宋体" w:hAnsi="宋体" w:cs="宋体" w:hint="eastAsia"/>
          <w:szCs w:val="24"/>
        </w:rPr>
        <w:t>范围内区域的大气环境质量。</w:t>
      </w:r>
    </w:p>
    <w:p w14:paraId="430D7A5F" w14:textId="77777777" w:rsidR="00E579B9" w:rsidRDefault="006A1398">
      <w:pPr>
        <w:rPr>
          <w:rFonts w:cs="宋体"/>
          <w:szCs w:val="24"/>
        </w:rPr>
      </w:pPr>
      <w:r>
        <w:rPr>
          <w:rFonts w:ascii="宋体" w:hAnsi="宋体" w:cs="宋体"/>
          <w:szCs w:val="24"/>
        </w:rPr>
        <w:t>评价根据《矿山企业污染防治与环境保护强制性标准执行手册》、</w:t>
      </w:r>
      <w:r>
        <w:rPr>
          <w:rFonts w:ascii="宋体" w:hAnsi="宋体" w:cs="宋体" w:hint="eastAsia"/>
          <w:szCs w:val="24"/>
        </w:rPr>
        <w:t>《露天矿开采过程中粉尘污染控制》（包钢科技，</w:t>
      </w:r>
      <w:r>
        <w:rPr>
          <w:rFonts w:cs="宋体" w:hint="eastAsia"/>
          <w:szCs w:val="24"/>
        </w:rPr>
        <w:t>2012</w:t>
      </w:r>
      <w:r>
        <w:rPr>
          <w:rFonts w:ascii="宋体" w:hAnsi="宋体" w:cs="宋体" w:hint="eastAsia"/>
          <w:szCs w:val="24"/>
        </w:rPr>
        <w:t>，第</w:t>
      </w:r>
      <w:r>
        <w:rPr>
          <w:rFonts w:cs="Times New Roman" w:hint="eastAsia"/>
          <w:szCs w:val="24"/>
        </w:rPr>
        <w:t>5</w:t>
      </w:r>
      <w:r>
        <w:rPr>
          <w:rFonts w:ascii="宋体" w:hAnsi="宋体" w:cs="宋体" w:hint="eastAsia"/>
          <w:szCs w:val="24"/>
        </w:rPr>
        <w:t>期第</w:t>
      </w:r>
      <w:r>
        <w:rPr>
          <w:rFonts w:cs="Times New Roman" w:hint="eastAsia"/>
          <w:szCs w:val="24"/>
        </w:rPr>
        <w:t>38</w:t>
      </w:r>
      <w:r>
        <w:rPr>
          <w:rFonts w:ascii="宋体" w:hAnsi="宋体" w:cs="宋体" w:hint="eastAsia"/>
          <w:szCs w:val="24"/>
        </w:rPr>
        <w:t>卷中</w:t>
      </w:r>
      <w:r>
        <w:rPr>
          <w:rFonts w:cs="Times New Roman" w:hint="eastAsia"/>
          <w:szCs w:val="24"/>
        </w:rPr>
        <w:t>P80-82</w:t>
      </w:r>
      <w:r>
        <w:rPr>
          <w:rFonts w:ascii="宋体" w:hAnsi="宋体" w:cs="宋体" w:hint="eastAsia"/>
          <w:szCs w:val="24"/>
        </w:rPr>
        <w:t>）</w:t>
      </w:r>
      <w:r>
        <w:rPr>
          <w:rFonts w:ascii="宋体" w:hAnsi="宋体" w:cs="宋体"/>
          <w:szCs w:val="24"/>
        </w:rPr>
        <w:t>等资料，</w:t>
      </w:r>
      <w:r>
        <w:rPr>
          <w:rFonts w:ascii="宋体" w:hAnsi="宋体" w:cs="宋体" w:hint="eastAsia"/>
          <w:szCs w:val="24"/>
        </w:rPr>
        <w:t>确定钻孔、爆破过程中大气污染物的产生系数见表</w:t>
      </w:r>
      <w:r>
        <w:rPr>
          <w:rFonts w:cs="宋体" w:hint="eastAsia"/>
          <w:szCs w:val="24"/>
        </w:rPr>
        <w:t>3.8-2</w:t>
      </w:r>
      <w:r>
        <w:rPr>
          <w:rFonts w:ascii="宋体" w:hAnsi="宋体" w:cs="宋体" w:hint="eastAsia"/>
          <w:szCs w:val="24"/>
        </w:rPr>
        <w:t>。</w:t>
      </w:r>
    </w:p>
    <w:p w14:paraId="771C7443" w14:textId="77777777" w:rsidR="00E579B9" w:rsidRDefault="006A1398">
      <w:pPr>
        <w:widowControl w:val="0"/>
        <w:spacing w:line="520" w:lineRule="exact"/>
        <w:ind w:firstLineChars="650" w:firstLine="1560"/>
        <w:jc w:val="both"/>
        <w:rPr>
          <w:rFonts w:eastAsia="黑体" w:cs="Times New Roman"/>
          <w:szCs w:val="24"/>
        </w:rPr>
      </w:pPr>
      <w:r>
        <w:rPr>
          <w:rFonts w:ascii="黑体" w:eastAsia="黑体" w:hAnsi="黑体" w:cs="Times New Roman" w:hint="eastAsia"/>
          <w:szCs w:val="24"/>
        </w:rPr>
        <w:t>表</w:t>
      </w:r>
      <w:r>
        <w:rPr>
          <w:rFonts w:eastAsia="黑体" w:cs="Times New Roman" w:hint="eastAsia"/>
          <w:szCs w:val="24"/>
        </w:rPr>
        <w:t>3.8-2</w:t>
      </w:r>
      <w:r>
        <w:rPr>
          <w:rFonts w:ascii="黑体" w:eastAsia="黑体" w:hAnsi="黑体" w:cs="Times New Roman" w:hint="eastAsia"/>
          <w:szCs w:val="24"/>
        </w:rPr>
        <w:t>露天开采</w:t>
      </w:r>
      <w:proofErr w:type="gramStart"/>
      <w:r>
        <w:rPr>
          <w:rFonts w:ascii="黑体" w:eastAsia="黑体" w:hAnsi="黑体" w:cs="Times New Roman" w:hint="eastAsia"/>
          <w:szCs w:val="24"/>
        </w:rPr>
        <w:t>废气产排情况</w:t>
      </w:r>
      <w:proofErr w:type="gramEnd"/>
      <w:r>
        <w:rPr>
          <w:rFonts w:ascii="黑体" w:eastAsia="黑体" w:hAnsi="黑体" w:cs="Times New Roman" w:hint="eastAsia"/>
          <w:szCs w:val="24"/>
        </w:rPr>
        <w:t>估算表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977"/>
        <w:gridCol w:w="854"/>
        <w:gridCol w:w="1220"/>
        <w:gridCol w:w="854"/>
        <w:gridCol w:w="2075"/>
        <w:gridCol w:w="1017"/>
        <w:gridCol w:w="1364"/>
      </w:tblGrid>
      <w:tr w:rsidR="00E579B9" w14:paraId="76F9AE67" w14:textId="77777777">
        <w:trPr>
          <w:jc w:val="center"/>
        </w:trPr>
        <w:tc>
          <w:tcPr>
            <w:tcW w:w="706" w:type="dxa"/>
            <w:vAlign w:val="center"/>
          </w:tcPr>
          <w:p w14:paraId="19A521CF"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序号</w:t>
            </w:r>
          </w:p>
        </w:tc>
        <w:tc>
          <w:tcPr>
            <w:tcW w:w="977" w:type="dxa"/>
            <w:vAlign w:val="center"/>
          </w:tcPr>
          <w:p w14:paraId="6F0EB23A" w14:textId="77777777" w:rsidR="00E579B9" w:rsidRDefault="006A1398">
            <w:pPr>
              <w:widowControl w:val="0"/>
              <w:spacing w:line="360" w:lineRule="exact"/>
              <w:ind w:firstLineChars="0" w:firstLine="0"/>
              <w:jc w:val="center"/>
              <w:rPr>
                <w:rFonts w:cs="Times New Roman"/>
                <w:kern w:val="0"/>
                <w:sz w:val="21"/>
                <w:szCs w:val="21"/>
              </w:rPr>
            </w:pPr>
            <w:proofErr w:type="gramStart"/>
            <w:r>
              <w:rPr>
                <w:rFonts w:cs="Times New Roman"/>
                <w:kern w:val="0"/>
                <w:sz w:val="21"/>
                <w:szCs w:val="21"/>
              </w:rPr>
              <w:t>产污节点</w:t>
            </w:r>
            <w:proofErr w:type="gramEnd"/>
          </w:p>
        </w:tc>
        <w:tc>
          <w:tcPr>
            <w:tcW w:w="854" w:type="dxa"/>
            <w:vAlign w:val="center"/>
          </w:tcPr>
          <w:p w14:paraId="21D84578"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污染物</w:t>
            </w:r>
          </w:p>
        </w:tc>
        <w:tc>
          <w:tcPr>
            <w:tcW w:w="1220" w:type="dxa"/>
            <w:vAlign w:val="center"/>
          </w:tcPr>
          <w:p w14:paraId="00EDE3BD" w14:textId="77777777" w:rsidR="00E579B9" w:rsidRDefault="006A1398">
            <w:pPr>
              <w:widowControl w:val="0"/>
              <w:spacing w:line="360" w:lineRule="exact"/>
              <w:ind w:firstLineChars="0" w:firstLine="0"/>
              <w:jc w:val="center"/>
              <w:rPr>
                <w:rFonts w:cs="Times New Roman"/>
                <w:kern w:val="0"/>
                <w:sz w:val="21"/>
                <w:szCs w:val="21"/>
              </w:rPr>
            </w:pPr>
            <w:proofErr w:type="gramStart"/>
            <w:r>
              <w:rPr>
                <w:rFonts w:cs="Times New Roman"/>
                <w:kern w:val="0"/>
                <w:sz w:val="21"/>
                <w:szCs w:val="21"/>
              </w:rPr>
              <w:t>产污系数</w:t>
            </w:r>
            <w:proofErr w:type="gramEnd"/>
          </w:p>
        </w:tc>
        <w:tc>
          <w:tcPr>
            <w:tcW w:w="854" w:type="dxa"/>
            <w:vAlign w:val="center"/>
          </w:tcPr>
          <w:p w14:paraId="414686A7"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产生量</w:t>
            </w:r>
          </w:p>
        </w:tc>
        <w:tc>
          <w:tcPr>
            <w:tcW w:w="2075" w:type="dxa"/>
            <w:vAlign w:val="center"/>
          </w:tcPr>
          <w:p w14:paraId="49A888F7"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治理措施</w:t>
            </w:r>
          </w:p>
        </w:tc>
        <w:tc>
          <w:tcPr>
            <w:tcW w:w="1017" w:type="dxa"/>
            <w:vAlign w:val="center"/>
          </w:tcPr>
          <w:p w14:paraId="619B37EE"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排放量</w:t>
            </w:r>
          </w:p>
        </w:tc>
        <w:tc>
          <w:tcPr>
            <w:tcW w:w="1364" w:type="dxa"/>
          </w:tcPr>
          <w:p w14:paraId="1ABD9B40" w14:textId="77777777" w:rsidR="00E579B9" w:rsidRDefault="006A1398">
            <w:pPr>
              <w:widowControl w:val="0"/>
              <w:spacing w:line="360" w:lineRule="exact"/>
              <w:ind w:firstLineChars="0" w:firstLine="0"/>
              <w:jc w:val="center"/>
              <w:rPr>
                <w:rFonts w:cs="Times New Roman"/>
                <w:kern w:val="0"/>
                <w:sz w:val="21"/>
                <w:szCs w:val="21"/>
              </w:rPr>
            </w:pPr>
            <w:r>
              <w:rPr>
                <w:rFonts w:cs="Times New Roman" w:hint="eastAsia"/>
                <w:kern w:val="0"/>
                <w:sz w:val="21"/>
                <w:szCs w:val="21"/>
              </w:rPr>
              <w:t>备注</w:t>
            </w:r>
          </w:p>
        </w:tc>
      </w:tr>
      <w:tr w:rsidR="00E579B9" w14:paraId="08E0614D" w14:textId="77777777">
        <w:trPr>
          <w:jc w:val="center"/>
        </w:trPr>
        <w:tc>
          <w:tcPr>
            <w:tcW w:w="706" w:type="dxa"/>
            <w:vAlign w:val="center"/>
          </w:tcPr>
          <w:p w14:paraId="63A4A28C"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1</w:t>
            </w:r>
          </w:p>
        </w:tc>
        <w:tc>
          <w:tcPr>
            <w:tcW w:w="977" w:type="dxa"/>
            <w:vAlign w:val="center"/>
          </w:tcPr>
          <w:p w14:paraId="3DFCBBE3" w14:textId="77777777" w:rsidR="00E579B9" w:rsidRDefault="006A1398">
            <w:pPr>
              <w:widowControl w:val="0"/>
              <w:spacing w:line="360" w:lineRule="exact"/>
              <w:ind w:firstLineChars="0" w:firstLine="0"/>
              <w:jc w:val="center"/>
              <w:rPr>
                <w:rFonts w:cs="Times New Roman"/>
                <w:kern w:val="0"/>
                <w:sz w:val="21"/>
                <w:szCs w:val="21"/>
              </w:rPr>
            </w:pPr>
            <w:r>
              <w:rPr>
                <w:rFonts w:cs="Times New Roman" w:hint="eastAsia"/>
                <w:kern w:val="0"/>
                <w:sz w:val="21"/>
                <w:szCs w:val="21"/>
              </w:rPr>
              <w:t>钻孔</w:t>
            </w:r>
          </w:p>
        </w:tc>
        <w:tc>
          <w:tcPr>
            <w:tcW w:w="854" w:type="dxa"/>
            <w:vAlign w:val="center"/>
          </w:tcPr>
          <w:p w14:paraId="23C0C3F1"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粉尘</w:t>
            </w:r>
          </w:p>
        </w:tc>
        <w:tc>
          <w:tcPr>
            <w:tcW w:w="1220" w:type="dxa"/>
            <w:vAlign w:val="center"/>
          </w:tcPr>
          <w:p w14:paraId="3529AB2D"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2g/t</w:t>
            </w:r>
            <w:r>
              <w:rPr>
                <w:rFonts w:ascii="宋体" w:hAnsi="宋体" w:cs="Times New Roman"/>
                <w:kern w:val="0"/>
                <w:sz w:val="21"/>
                <w:szCs w:val="21"/>
              </w:rPr>
              <w:t>矿（岩）</w:t>
            </w:r>
          </w:p>
        </w:tc>
        <w:tc>
          <w:tcPr>
            <w:tcW w:w="854" w:type="dxa"/>
            <w:vAlign w:val="center"/>
          </w:tcPr>
          <w:p w14:paraId="1A98A0C9"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4.6</w:t>
            </w:r>
            <w:r>
              <w:rPr>
                <w:rFonts w:cs="Times New Roman" w:hint="eastAsia"/>
                <w:kern w:val="0"/>
                <w:sz w:val="21"/>
                <w:szCs w:val="21"/>
              </w:rPr>
              <w:t>t</w:t>
            </w:r>
            <w:r>
              <w:rPr>
                <w:rFonts w:cs="Times New Roman"/>
                <w:kern w:val="0"/>
                <w:sz w:val="21"/>
                <w:szCs w:val="21"/>
              </w:rPr>
              <w:t>/a</w:t>
            </w:r>
          </w:p>
        </w:tc>
        <w:tc>
          <w:tcPr>
            <w:tcW w:w="2075" w:type="dxa"/>
            <w:vAlign w:val="center"/>
          </w:tcPr>
          <w:p w14:paraId="6C5D04C7"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湿式凿岩</w:t>
            </w:r>
            <w:r>
              <w:rPr>
                <w:rFonts w:cs="Times New Roman" w:hint="eastAsia"/>
                <w:kern w:val="0"/>
                <w:sz w:val="21"/>
                <w:szCs w:val="21"/>
              </w:rPr>
              <w:t>，自带收尘器</w:t>
            </w:r>
          </w:p>
        </w:tc>
        <w:tc>
          <w:tcPr>
            <w:tcW w:w="1017" w:type="dxa"/>
            <w:vAlign w:val="center"/>
          </w:tcPr>
          <w:p w14:paraId="478D2441"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0.046</w:t>
            </w:r>
            <w:r>
              <w:rPr>
                <w:rFonts w:cs="Times New Roman" w:hint="eastAsia"/>
                <w:kern w:val="0"/>
                <w:sz w:val="21"/>
                <w:szCs w:val="21"/>
              </w:rPr>
              <w:t>t</w:t>
            </w:r>
            <w:r>
              <w:rPr>
                <w:rFonts w:cs="Times New Roman"/>
                <w:kern w:val="0"/>
                <w:sz w:val="21"/>
                <w:szCs w:val="21"/>
              </w:rPr>
              <w:t>/a</w:t>
            </w:r>
          </w:p>
        </w:tc>
        <w:tc>
          <w:tcPr>
            <w:tcW w:w="1364" w:type="dxa"/>
          </w:tcPr>
          <w:p w14:paraId="0CB4A310" w14:textId="77777777" w:rsidR="00E579B9" w:rsidRDefault="006A1398">
            <w:pPr>
              <w:widowControl w:val="0"/>
              <w:spacing w:line="360" w:lineRule="exact"/>
              <w:ind w:firstLineChars="0" w:firstLine="0"/>
              <w:jc w:val="center"/>
              <w:rPr>
                <w:rFonts w:cs="Times New Roman"/>
                <w:kern w:val="0"/>
                <w:sz w:val="21"/>
                <w:szCs w:val="21"/>
              </w:rPr>
            </w:pPr>
            <w:r>
              <w:rPr>
                <w:rFonts w:cs="Times New Roman" w:hint="eastAsia"/>
                <w:kern w:val="0"/>
                <w:sz w:val="21"/>
                <w:szCs w:val="21"/>
              </w:rPr>
              <w:t>除尘效率</w:t>
            </w:r>
            <w:r>
              <w:rPr>
                <w:rFonts w:cs="Times New Roman" w:hint="eastAsia"/>
                <w:kern w:val="0"/>
                <w:sz w:val="21"/>
                <w:szCs w:val="21"/>
              </w:rPr>
              <w:t>99%</w:t>
            </w:r>
          </w:p>
        </w:tc>
      </w:tr>
      <w:tr w:rsidR="00E579B9" w14:paraId="23E5C8BB" w14:textId="77777777">
        <w:trPr>
          <w:jc w:val="center"/>
        </w:trPr>
        <w:tc>
          <w:tcPr>
            <w:tcW w:w="706" w:type="dxa"/>
            <w:vAlign w:val="center"/>
          </w:tcPr>
          <w:p w14:paraId="23017B33"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2</w:t>
            </w:r>
          </w:p>
        </w:tc>
        <w:tc>
          <w:tcPr>
            <w:tcW w:w="977" w:type="dxa"/>
            <w:vAlign w:val="center"/>
          </w:tcPr>
          <w:p w14:paraId="0AE01E29"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爆破</w:t>
            </w:r>
          </w:p>
        </w:tc>
        <w:tc>
          <w:tcPr>
            <w:tcW w:w="854" w:type="dxa"/>
            <w:vAlign w:val="center"/>
          </w:tcPr>
          <w:p w14:paraId="52F1BB13"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粉尘</w:t>
            </w:r>
          </w:p>
        </w:tc>
        <w:tc>
          <w:tcPr>
            <w:tcW w:w="1220" w:type="dxa"/>
            <w:vAlign w:val="center"/>
          </w:tcPr>
          <w:p w14:paraId="1EA299E0"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2</w:t>
            </w:r>
            <w:r>
              <w:rPr>
                <w:rFonts w:cs="Times New Roman" w:hint="eastAsia"/>
                <w:kern w:val="0"/>
                <w:sz w:val="21"/>
                <w:szCs w:val="21"/>
              </w:rPr>
              <w:t>0</w:t>
            </w:r>
            <w:r>
              <w:rPr>
                <w:rFonts w:cs="Times New Roman"/>
                <w:kern w:val="0"/>
                <w:sz w:val="21"/>
                <w:szCs w:val="21"/>
              </w:rPr>
              <w:t>g/t</w:t>
            </w:r>
            <w:r>
              <w:rPr>
                <w:rFonts w:ascii="宋体" w:hAnsi="宋体" w:cs="Times New Roman"/>
                <w:kern w:val="0"/>
                <w:sz w:val="21"/>
                <w:szCs w:val="21"/>
              </w:rPr>
              <w:t>矿（岩）</w:t>
            </w:r>
          </w:p>
        </w:tc>
        <w:tc>
          <w:tcPr>
            <w:tcW w:w="854" w:type="dxa"/>
            <w:vAlign w:val="center"/>
          </w:tcPr>
          <w:p w14:paraId="5EF5F546"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46t/a</w:t>
            </w:r>
          </w:p>
        </w:tc>
        <w:tc>
          <w:tcPr>
            <w:tcW w:w="2075" w:type="dxa"/>
            <w:vAlign w:val="center"/>
          </w:tcPr>
          <w:p w14:paraId="1CCF6289"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采用水封爆破法</w:t>
            </w:r>
          </w:p>
        </w:tc>
        <w:tc>
          <w:tcPr>
            <w:tcW w:w="1017" w:type="dxa"/>
            <w:vAlign w:val="center"/>
          </w:tcPr>
          <w:p w14:paraId="5B03EF05"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t>0.46</w:t>
            </w:r>
            <w:r>
              <w:rPr>
                <w:rFonts w:cs="Times New Roman" w:hint="eastAsia"/>
                <w:kern w:val="0"/>
                <w:sz w:val="21"/>
                <w:szCs w:val="21"/>
              </w:rPr>
              <w:t>t</w:t>
            </w:r>
            <w:r>
              <w:rPr>
                <w:rFonts w:cs="Times New Roman"/>
                <w:kern w:val="0"/>
                <w:sz w:val="21"/>
                <w:szCs w:val="21"/>
              </w:rPr>
              <w:t>/a</w:t>
            </w:r>
          </w:p>
        </w:tc>
        <w:tc>
          <w:tcPr>
            <w:tcW w:w="1364" w:type="dxa"/>
          </w:tcPr>
          <w:p w14:paraId="40F57712" w14:textId="77777777" w:rsidR="00E579B9" w:rsidRDefault="006A1398">
            <w:pPr>
              <w:widowControl w:val="0"/>
              <w:spacing w:line="360" w:lineRule="exact"/>
              <w:ind w:firstLineChars="0" w:firstLine="0"/>
              <w:jc w:val="center"/>
              <w:rPr>
                <w:rFonts w:cs="Times New Roman"/>
                <w:kern w:val="0"/>
                <w:sz w:val="21"/>
                <w:szCs w:val="21"/>
              </w:rPr>
            </w:pPr>
            <w:r>
              <w:rPr>
                <w:rFonts w:cs="Times New Roman" w:hint="eastAsia"/>
                <w:kern w:val="0"/>
                <w:sz w:val="21"/>
                <w:szCs w:val="21"/>
              </w:rPr>
              <w:t>除尘效率</w:t>
            </w:r>
            <w:r>
              <w:rPr>
                <w:rFonts w:cs="Times New Roman" w:hint="eastAsia"/>
                <w:kern w:val="0"/>
                <w:sz w:val="21"/>
                <w:szCs w:val="21"/>
              </w:rPr>
              <w:t>99%</w:t>
            </w:r>
            <w:r>
              <w:rPr>
                <w:rFonts w:cs="Times New Roman" w:hint="eastAsia"/>
                <w:kern w:val="0"/>
                <w:sz w:val="21"/>
                <w:szCs w:val="21"/>
              </w:rPr>
              <w:t>，每年</w:t>
            </w:r>
            <w:r>
              <w:rPr>
                <w:rFonts w:cs="Times New Roman"/>
                <w:kern w:val="0"/>
                <w:sz w:val="21"/>
                <w:szCs w:val="21"/>
              </w:rPr>
              <w:t>爆破</w:t>
            </w:r>
            <w:r>
              <w:rPr>
                <w:rFonts w:cs="Times New Roman" w:hint="eastAsia"/>
                <w:kern w:val="0"/>
                <w:sz w:val="21"/>
                <w:szCs w:val="21"/>
              </w:rPr>
              <w:t>40</w:t>
            </w:r>
            <w:r>
              <w:rPr>
                <w:rFonts w:cs="Times New Roman" w:hint="eastAsia"/>
                <w:kern w:val="0"/>
                <w:sz w:val="21"/>
                <w:szCs w:val="21"/>
              </w:rPr>
              <w:t>次</w:t>
            </w:r>
          </w:p>
        </w:tc>
      </w:tr>
    </w:tbl>
    <w:p w14:paraId="41526395" w14:textId="77777777" w:rsidR="00E579B9" w:rsidRDefault="006A1398">
      <w:pPr>
        <w:widowControl w:val="0"/>
        <w:spacing w:line="520" w:lineRule="exact"/>
        <w:jc w:val="both"/>
        <w:rPr>
          <w:rFonts w:cs="宋体"/>
          <w:szCs w:val="24"/>
        </w:rPr>
      </w:pPr>
      <w:r>
        <w:rPr>
          <w:rFonts w:cs="宋体" w:hint="eastAsia"/>
          <w:szCs w:val="24"/>
        </w:rPr>
        <w:t>（</w:t>
      </w:r>
      <w:r>
        <w:rPr>
          <w:rFonts w:cs="宋体" w:hint="eastAsia"/>
          <w:szCs w:val="24"/>
        </w:rPr>
        <w:t>2</w:t>
      </w:r>
      <w:r>
        <w:rPr>
          <w:rFonts w:cs="宋体" w:hint="eastAsia"/>
          <w:szCs w:val="24"/>
        </w:rPr>
        <w:t>）</w:t>
      </w:r>
      <w:r>
        <w:rPr>
          <w:rFonts w:ascii="宋体" w:hAnsi="宋体" w:cs="宋体" w:hint="eastAsia"/>
          <w:szCs w:val="24"/>
        </w:rPr>
        <w:t>破碎筛分粉尘</w:t>
      </w:r>
    </w:p>
    <w:p w14:paraId="10C32712" w14:textId="77777777" w:rsidR="00E579B9" w:rsidRDefault="006A1398">
      <w:r>
        <w:rPr>
          <w:rFonts w:hint="eastAsia"/>
        </w:rPr>
        <w:t>项目使用液压碎石锤对爆破后的少量大块矿石进行破碎，设计采取洒水的措施减少粉尘的产生和排放，粉尘产生量较少，对周围环境的不利影响较小。</w:t>
      </w:r>
    </w:p>
    <w:p w14:paraId="29BE8C25" w14:textId="3F312FA7" w:rsidR="00E579B9" w:rsidRDefault="006A1398">
      <w:r>
        <w:rPr>
          <w:rFonts w:hint="eastAsia"/>
        </w:rPr>
        <w:t>本项目破碎场地采取二段破碎三级筛分工艺。破碎场地设置密闭破碎车间、筛分车间、产品仓库，破碎场地物料转运采用密封皮带运输机，筛分后产品进入密闭产品仓库储存，产品仓库设置喷雾洒水装置，因此破碎场地物料输送、产品存放过程中粉尘产生量较小。项目在颚式破碎机进料口处设置喷雾洒水装置，同时根据各</w:t>
      </w:r>
      <w:proofErr w:type="gramStart"/>
      <w:r>
        <w:rPr>
          <w:rFonts w:hint="eastAsia"/>
        </w:rPr>
        <w:t>产尘点</w:t>
      </w:r>
      <w:proofErr w:type="gramEnd"/>
      <w:r>
        <w:rPr>
          <w:rFonts w:hint="eastAsia"/>
        </w:rPr>
        <w:t>位置关系，项目在颚式破碎机（一段破碎）出料口、圆锥破碎机（二段破碎）出料口、一级筛分机进出料口处分别设置集气罩，粉尘经收集后进入</w:t>
      </w:r>
      <w:r>
        <w:rPr>
          <w:rFonts w:hint="eastAsia"/>
        </w:rPr>
        <w:t>1</w:t>
      </w:r>
      <w:r>
        <w:rPr>
          <w:rFonts w:hint="eastAsia"/>
        </w:rPr>
        <w:t>台脉冲袋式除尘器处理，处理后由</w:t>
      </w:r>
      <w:r>
        <w:rPr>
          <w:rFonts w:cs="Times New Roman" w:hint="eastAsia"/>
        </w:rPr>
        <w:t>15m</w:t>
      </w:r>
      <w:r>
        <w:rPr>
          <w:rFonts w:hint="eastAsia"/>
        </w:rPr>
        <w:t>高排气筒排放；在二级筛分机、三级筛分机进出料口处分别设置集气罩，粉尘经收集后进入</w:t>
      </w:r>
      <w:r>
        <w:rPr>
          <w:rFonts w:cs="Times New Roman" w:hint="eastAsia"/>
        </w:rPr>
        <w:t>1</w:t>
      </w:r>
      <w:r>
        <w:rPr>
          <w:rFonts w:hint="eastAsia"/>
        </w:rPr>
        <w:t>台脉冲袋式除尘器处理，处理后由</w:t>
      </w:r>
      <w:r>
        <w:rPr>
          <w:rFonts w:cs="Times New Roman" w:hint="eastAsia"/>
        </w:rPr>
        <w:t>15m</w:t>
      </w:r>
      <w:r>
        <w:rPr>
          <w:rFonts w:hint="eastAsia"/>
        </w:rPr>
        <w:t>高排气筒排放。</w:t>
      </w:r>
      <w:r w:rsidR="005D4F83">
        <w:rPr>
          <w:rFonts w:hint="eastAsia"/>
        </w:rPr>
        <w:t>本项目建成后，破碎场地一破、二破、</w:t>
      </w:r>
      <w:proofErr w:type="gramStart"/>
      <w:r w:rsidR="005D4F83">
        <w:rPr>
          <w:rFonts w:hint="eastAsia"/>
        </w:rPr>
        <w:t>一</w:t>
      </w:r>
      <w:proofErr w:type="gramEnd"/>
      <w:r w:rsidR="005D4F83">
        <w:rPr>
          <w:rFonts w:hint="eastAsia"/>
        </w:rPr>
        <w:t>筛工序的</w:t>
      </w:r>
      <w:proofErr w:type="gramStart"/>
      <w:r w:rsidR="005D4F83">
        <w:rPr>
          <w:rFonts w:hint="eastAsia"/>
        </w:rPr>
        <w:t>大理岩矿量为</w:t>
      </w:r>
      <w:proofErr w:type="gramEnd"/>
      <w:r w:rsidR="005D4F83">
        <w:t>230</w:t>
      </w:r>
      <w:r w:rsidR="005D4F83">
        <w:rPr>
          <w:rFonts w:hint="eastAsia"/>
        </w:rPr>
        <w:t>万</w:t>
      </w:r>
      <w:r w:rsidR="005D4F83">
        <w:rPr>
          <w:rFonts w:hint="eastAsia"/>
        </w:rPr>
        <w:t>t/a</w:t>
      </w:r>
      <w:r w:rsidR="005D4F83">
        <w:rPr>
          <w:rFonts w:hint="eastAsia"/>
        </w:rPr>
        <w:t>，二筛、三筛工序的</w:t>
      </w:r>
      <w:proofErr w:type="gramStart"/>
      <w:r w:rsidR="005D4F83" w:rsidRPr="005D4F83">
        <w:rPr>
          <w:rFonts w:hint="eastAsia"/>
        </w:rPr>
        <w:t>大理岩矿量为</w:t>
      </w:r>
      <w:proofErr w:type="gramEnd"/>
      <w:r w:rsidR="00CF43D5">
        <w:rPr>
          <w:rFonts w:hint="eastAsia"/>
        </w:rPr>
        <w:t>230</w:t>
      </w:r>
      <w:r w:rsidR="00CF43D5">
        <w:rPr>
          <w:rFonts w:hint="eastAsia"/>
        </w:rPr>
        <w:t>万</w:t>
      </w:r>
      <w:r w:rsidR="00CF43D5">
        <w:rPr>
          <w:rFonts w:hint="eastAsia"/>
        </w:rPr>
        <w:t>t</w:t>
      </w:r>
      <w:r w:rsidR="00CF43D5">
        <w:t>/a</w:t>
      </w:r>
      <w:r w:rsidR="00CF43D5">
        <w:rPr>
          <w:rFonts w:hint="eastAsia"/>
        </w:rPr>
        <w:t>。</w:t>
      </w:r>
    </w:p>
    <w:p w14:paraId="0E134089" w14:textId="77777777" w:rsidR="00E579B9" w:rsidRDefault="006A1398">
      <w:r>
        <w:rPr>
          <w:rFonts w:hint="eastAsia"/>
        </w:rPr>
        <w:t>根据</w:t>
      </w:r>
      <w:r>
        <w:t>《</w:t>
      </w:r>
      <w:r>
        <w:rPr>
          <w:rFonts w:hint="eastAsia"/>
        </w:rPr>
        <w:t>郏县中联天广水泥有限公司采石场水泥用石灰岩矿项目环境</w:t>
      </w:r>
      <w:r>
        <w:t>影响报告书》</w:t>
      </w:r>
      <w:r>
        <w:rPr>
          <w:rFonts w:hint="eastAsia"/>
        </w:rPr>
        <w:t>中，</w:t>
      </w:r>
      <w:proofErr w:type="gramStart"/>
      <w:r>
        <w:rPr>
          <w:rFonts w:hint="eastAsia"/>
        </w:rPr>
        <w:t>中析源</w:t>
      </w:r>
      <w:proofErr w:type="gramEnd"/>
      <w:r>
        <w:rPr>
          <w:rFonts w:hint="eastAsia"/>
        </w:rPr>
        <w:t>科技有限公司于</w:t>
      </w:r>
      <w:r>
        <w:rPr>
          <w:rFonts w:hint="eastAsia"/>
        </w:rPr>
        <w:t>2019</w:t>
      </w:r>
      <w:r>
        <w:rPr>
          <w:rFonts w:hint="eastAsia"/>
        </w:rPr>
        <w:t>年</w:t>
      </w:r>
      <w:r>
        <w:rPr>
          <w:rFonts w:cs="Times New Roman" w:hint="eastAsia"/>
        </w:rPr>
        <w:t>5</w:t>
      </w:r>
      <w:r>
        <w:rPr>
          <w:rFonts w:hint="eastAsia"/>
        </w:rPr>
        <w:t>月</w:t>
      </w:r>
      <w:r>
        <w:rPr>
          <w:rFonts w:cs="Times New Roman" w:hint="eastAsia"/>
        </w:rPr>
        <w:t>1</w:t>
      </w:r>
      <w:r>
        <w:rPr>
          <w:rFonts w:hint="eastAsia"/>
        </w:rPr>
        <w:t>日</w:t>
      </w:r>
      <w:r>
        <w:rPr>
          <w:rFonts w:cs="Times New Roman" w:hint="eastAsia"/>
        </w:rPr>
        <w:t>~5</w:t>
      </w:r>
      <w:r>
        <w:rPr>
          <w:rFonts w:hint="eastAsia"/>
        </w:rPr>
        <w:t>月</w:t>
      </w:r>
      <w:r>
        <w:rPr>
          <w:rFonts w:cs="Times New Roman" w:hint="eastAsia"/>
        </w:rPr>
        <w:t>2</w:t>
      </w:r>
      <w:r>
        <w:rPr>
          <w:rFonts w:hint="eastAsia"/>
        </w:rPr>
        <w:t>日对项目破碎场地现有</w:t>
      </w:r>
      <w:r>
        <w:rPr>
          <w:rFonts w:cs="Times New Roman" w:hint="eastAsia"/>
        </w:rPr>
        <w:t>2</w:t>
      </w:r>
      <w:r>
        <w:rPr>
          <w:rFonts w:hint="eastAsia"/>
        </w:rPr>
        <w:t>套脉冲袋式除尘器的进出口分别进行了监测，一破、二破、</w:t>
      </w:r>
      <w:proofErr w:type="gramStart"/>
      <w:r>
        <w:rPr>
          <w:rFonts w:hint="eastAsia"/>
        </w:rPr>
        <w:t>一</w:t>
      </w:r>
      <w:proofErr w:type="gramEnd"/>
      <w:r>
        <w:rPr>
          <w:rFonts w:hint="eastAsia"/>
        </w:rPr>
        <w:t>筛工序的粉尘产生系</w:t>
      </w:r>
      <w:r>
        <w:rPr>
          <w:rFonts w:hint="eastAsia"/>
        </w:rPr>
        <w:lastRenderedPageBreak/>
        <w:t>数为</w:t>
      </w:r>
      <w:r>
        <w:rPr>
          <w:rFonts w:cs="Times New Roman" w:hint="eastAsia"/>
        </w:rPr>
        <w:t>0.033kg/t</w:t>
      </w:r>
      <w:r>
        <w:rPr>
          <w:rFonts w:cs="Times New Roman"/>
        </w:rPr>
        <w:t>·</w:t>
      </w:r>
      <w:r>
        <w:rPr>
          <w:rFonts w:hint="eastAsia"/>
        </w:rPr>
        <w:t>矿石，二筛、三筛工序的粉尘产生系数为</w:t>
      </w:r>
      <w:r>
        <w:rPr>
          <w:rFonts w:hint="eastAsia"/>
        </w:rPr>
        <w:t>0.034kg/t</w:t>
      </w:r>
      <w:r>
        <w:rPr>
          <w:rFonts w:cs="Times New Roman"/>
        </w:rPr>
        <w:t>·</w:t>
      </w:r>
      <w:r>
        <w:rPr>
          <w:rFonts w:hint="eastAsia"/>
        </w:rPr>
        <w:t>矿石。评价根据现状监测情况，类比各工序污染物产生系数，经计算，本项目建成后，破碎场地一破、二破、</w:t>
      </w:r>
      <w:proofErr w:type="gramStart"/>
      <w:r>
        <w:rPr>
          <w:rFonts w:hint="eastAsia"/>
        </w:rPr>
        <w:t>一</w:t>
      </w:r>
      <w:proofErr w:type="gramEnd"/>
      <w:r>
        <w:rPr>
          <w:rFonts w:hint="eastAsia"/>
        </w:rPr>
        <w:t>筛工序的粉尘产生量为</w:t>
      </w:r>
      <w:r>
        <w:t>75.9</w:t>
      </w:r>
      <w:r>
        <w:rPr>
          <w:rFonts w:hint="eastAsia"/>
        </w:rPr>
        <w:t>t/a</w:t>
      </w:r>
      <w:r>
        <w:rPr>
          <w:rFonts w:hint="eastAsia"/>
        </w:rPr>
        <w:t>，二筛、三筛工序的粉尘产生量为</w:t>
      </w:r>
      <w:r>
        <w:rPr>
          <w:rFonts w:cs="Times New Roman"/>
        </w:rPr>
        <w:t>78.2</w:t>
      </w:r>
      <w:r>
        <w:rPr>
          <w:rFonts w:cs="Times New Roman" w:hint="eastAsia"/>
        </w:rPr>
        <w:t>t/a</w:t>
      </w:r>
      <w:r>
        <w:rPr>
          <w:rFonts w:hint="eastAsia"/>
        </w:rPr>
        <w:t>。</w:t>
      </w:r>
    </w:p>
    <w:p w14:paraId="139F7A20" w14:textId="171EAEEA" w:rsidR="00E579B9" w:rsidRDefault="006A1398">
      <w:r>
        <w:rPr>
          <w:rFonts w:hint="eastAsia"/>
        </w:rPr>
        <w:t>项目破碎、筛分设备均设置了密闭的破碎车间、筛分车间，项目一破、二破、</w:t>
      </w:r>
      <w:proofErr w:type="gramStart"/>
      <w:r>
        <w:rPr>
          <w:rFonts w:hint="eastAsia"/>
        </w:rPr>
        <w:t>一</w:t>
      </w:r>
      <w:proofErr w:type="gramEnd"/>
      <w:r>
        <w:rPr>
          <w:rFonts w:hint="eastAsia"/>
        </w:rPr>
        <w:t>筛工序的粉尘经集气罩收集后进入</w:t>
      </w:r>
      <w:r>
        <w:rPr>
          <w:rFonts w:hint="eastAsia"/>
        </w:rPr>
        <w:t>1</w:t>
      </w:r>
      <w:r>
        <w:rPr>
          <w:rFonts w:hint="eastAsia"/>
        </w:rPr>
        <w:t>套脉冲袋式除尘器（</w:t>
      </w:r>
      <w:r>
        <w:rPr>
          <w:rFonts w:cs="Times New Roman" w:hint="eastAsia"/>
        </w:rPr>
        <w:t>1#</w:t>
      </w:r>
      <w:r>
        <w:rPr>
          <w:rFonts w:hint="eastAsia"/>
        </w:rPr>
        <w:t>）处理，集</w:t>
      </w:r>
      <w:proofErr w:type="gramStart"/>
      <w:r>
        <w:rPr>
          <w:rFonts w:hint="eastAsia"/>
        </w:rPr>
        <w:t>气罩对粉尘</w:t>
      </w:r>
      <w:proofErr w:type="gramEnd"/>
      <w:r>
        <w:rPr>
          <w:rFonts w:hint="eastAsia"/>
        </w:rPr>
        <w:t>的捕集效率约</w:t>
      </w:r>
      <w:r>
        <w:rPr>
          <w:rFonts w:cs="Times New Roman" w:hint="eastAsia"/>
        </w:rPr>
        <w:t>95%</w:t>
      </w:r>
      <w:r>
        <w:rPr>
          <w:rFonts w:hint="eastAsia"/>
        </w:rPr>
        <w:t>，脉冲袋式除尘器去除效率约</w:t>
      </w:r>
      <w:r>
        <w:rPr>
          <w:rFonts w:cs="Times New Roman" w:hint="eastAsia"/>
        </w:rPr>
        <w:t>9</w:t>
      </w:r>
      <w:r>
        <w:rPr>
          <w:rFonts w:cs="Times New Roman"/>
        </w:rPr>
        <w:t>9</w:t>
      </w:r>
      <w:r>
        <w:rPr>
          <w:rFonts w:cs="Times New Roman" w:hint="eastAsia"/>
        </w:rPr>
        <w:t>.9</w:t>
      </w:r>
      <w:r>
        <w:rPr>
          <w:rFonts w:cs="Times New Roman"/>
        </w:rPr>
        <w:t>%</w:t>
      </w:r>
      <w:r>
        <w:rPr>
          <w:rFonts w:cs="Times New Roman"/>
        </w:rPr>
        <w:t>，风机风量约为</w:t>
      </w:r>
      <w:r>
        <w:rPr>
          <w:rFonts w:cs="Times New Roman"/>
        </w:rPr>
        <w:t>2×10</w:t>
      </w:r>
      <w:r>
        <w:rPr>
          <w:rFonts w:cs="Times New Roman"/>
          <w:vertAlign w:val="superscript"/>
        </w:rPr>
        <w:t>4</w:t>
      </w:r>
      <w:r>
        <w:rPr>
          <w:rFonts w:cs="Times New Roman"/>
        </w:rPr>
        <w:t>m</w:t>
      </w:r>
      <w:r>
        <w:rPr>
          <w:rFonts w:cs="Times New Roman"/>
          <w:vertAlign w:val="superscript"/>
        </w:rPr>
        <w:t>3</w:t>
      </w:r>
      <w:r>
        <w:rPr>
          <w:rFonts w:cs="Times New Roman"/>
        </w:rPr>
        <w:t>/h</w:t>
      </w:r>
      <w:r>
        <w:rPr>
          <w:rFonts w:cs="Times New Roman"/>
        </w:rPr>
        <w:t>，经计算，处理后一破、二破、</w:t>
      </w:r>
      <w:proofErr w:type="gramStart"/>
      <w:r>
        <w:rPr>
          <w:rFonts w:cs="Times New Roman"/>
        </w:rPr>
        <w:t>一</w:t>
      </w:r>
      <w:proofErr w:type="gramEnd"/>
      <w:r>
        <w:rPr>
          <w:rFonts w:cs="Times New Roman"/>
        </w:rPr>
        <w:t>筛工序的粉尘排放量为</w:t>
      </w:r>
      <w:r>
        <w:rPr>
          <w:rFonts w:cs="Times New Roman"/>
        </w:rPr>
        <w:t>0.0721t/a</w:t>
      </w:r>
      <w:r>
        <w:rPr>
          <w:rFonts w:cs="Times New Roman" w:hint="eastAsia"/>
        </w:rPr>
        <w:t>（</w:t>
      </w:r>
      <w:r>
        <w:rPr>
          <w:rFonts w:cs="Times New Roman" w:hint="eastAsia"/>
        </w:rPr>
        <w:t>0.</w:t>
      </w:r>
      <w:r>
        <w:rPr>
          <w:rFonts w:cs="Times New Roman"/>
        </w:rPr>
        <w:t>0</w:t>
      </w:r>
      <w:r>
        <w:rPr>
          <w:rFonts w:cs="Times New Roman" w:hint="eastAsia"/>
        </w:rPr>
        <w:t>16kg/h</w:t>
      </w:r>
      <w:r>
        <w:rPr>
          <w:rFonts w:cs="Times New Roman" w:hint="eastAsia"/>
        </w:rPr>
        <w:t>）</w:t>
      </w:r>
      <w:r>
        <w:rPr>
          <w:rFonts w:cs="Times New Roman"/>
        </w:rPr>
        <w:t>、排放浓度为</w:t>
      </w:r>
      <w:r>
        <w:rPr>
          <w:rFonts w:cs="Times New Roman" w:hint="eastAsia"/>
        </w:rPr>
        <w:t>0.</w:t>
      </w:r>
      <w:r>
        <w:rPr>
          <w:rFonts w:cs="Times New Roman"/>
        </w:rPr>
        <w:t>805mg/m</w:t>
      </w:r>
      <w:r>
        <w:rPr>
          <w:rFonts w:cs="Times New Roman"/>
          <w:vertAlign w:val="superscript"/>
        </w:rPr>
        <w:t>3</w:t>
      </w:r>
      <w:r>
        <w:rPr>
          <w:rFonts w:cs="Times New Roman"/>
        </w:rPr>
        <w:t>，</w:t>
      </w:r>
      <w:r>
        <w:rPr>
          <w:rFonts w:hint="eastAsia"/>
        </w:rPr>
        <w:t>处理后粉尘由</w:t>
      </w:r>
      <w:r>
        <w:rPr>
          <w:rFonts w:hint="eastAsia"/>
        </w:rPr>
        <w:t>1</w:t>
      </w:r>
      <w:r>
        <w:rPr>
          <w:rFonts w:hint="eastAsia"/>
        </w:rPr>
        <w:t>根</w:t>
      </w:r>
      <w:r>
        <w:rPr>
          <w:rFonts w:cs="Times New Roman" w:hint="eastAsia"/>
        </w:rPr>
        <w:t>15m</w:t>
      </w:r>
      <w:r>
        <w:rPr>
          <w:rFonts w:hint="eastAsia"/>
        </w:rPr>
        <w:t>高排气筒排放；项目破碎场地二级、三级筛分粉尘经集气罩收集后进入</w:t>
      </w:r>
      <w:r>
        <w:rPr>
          <w:rFonts w:cs="Times New Roman" w:hint="eastAsia"/>
        </w:rPr>
        <w:t>1</w:t>
      </w:r>
      <w:r>
        <w:rPr>
          <w:rFonts w:hint="eastAsia"/>
        </w:rPr>
        <w:t>套脉冲袋式除尘器（</w:t>
      </w:r>
      <w:r>
        <w:rPr>
          <w:rFonts w:cs="Times New Roman" w:hint="eastAsia"/>
        </w:rPr>
        <w:t>2#</w:t>
      </w:r>
      <w:r>
        <w:rPr>
          <w:rFonts w:hint="eastAsia"/>
        </w:rPr>
        <w:t>）处理，集</w:t>
      </w:r>
      <w:proofErr w:type="gramStart"/>
      <w:r>
        <w:rPr>
          <w:rFonts w:hint="eastAsia"/>
        </w:rPr>
        <w:t>气罩对粉尘</w:t>
      </w:r>
      <w:proofErr w:type="gramEnd"/>
      <w:r>
        <w:rPr>
          <w:rFonts w:hint="eastAsia"/>
        </w:rPr>
        <w:t>的捕集效率约</w:t>
      </w:r>
      <w:r>
        <w:rPr>
          <w:rFonts w:cs="Times New Roman" w:hint="eastAsia"/>
        </w:rPr>
        <w:t>95%</w:t>
      </w:r>
      <w:r>
        <w:rPr>
          <w:rFonts w:hint="eastAsia"/>
        </w:rPr>
        <w:t>，脉冲袋式除尘器去除效率约</w:t>
      </w:r>
      <w:r>
        <w:rPr>
          <w:rFonts w:cs="Times New Roman" w:hint="eastAsia"/>
        </w:rPr>
        <w:t>99</w:t>
      </w:r>
      <w:r>
        <w:rPr>
          <w:rFonts w:cs="Times New Roman"/>
        </w:rPr>
        <w:t>.9</w:t>
      </w:r>
      <w:r>
        <w:rPr>
          <w:rFonts w:cs="Times New Roman" w:hint="eastAsia"/>
        </w:rPr>
        <w:t>%</w:t>
      </w:r>
      <w:r>
        <w:rPr>
          <w:rFonts w:hint="eastAsia"/>
        </w:rPr>
        <w:t>，风机风量约为</w:t>
      </w:r>
      <w:r>
        <w:rPr>
          <w:rFonts w:cs="Times New Roman"/>
        </w:rPr>
        <w:t>2</w:t>
      </w:r>
      <w:r>
        <w:rPr>
          <w:rFonts w:hint="eastAsia"/>
        </w:rPr>
        <w:t>×</w:t>
      </w:r>
      <w:r>
        <w:rPr>
          <w:rFonts w:cs="Times New Roman" w:hint="eastAsia"/>
        </w:rPr>
        <w:t>10</w:t>
      </w:r>
      <w:r>
        <w:rPr>
          <w:rFonts w:hint="eastAsia"/>
          <w:vertAlign w:val="superscript"/>
        </w:rPr>
        <w:t>4</w:t>
      </w:r>
      <w:r>
        <w:rPr>
          <w:rFonts w:hint="eastAsia"/>
        </w:rPr>
        <w:t>m</w:t>
      </w:r>
      <w:r>
        <w:rPr>
          <w:rFonts w:hint="eastAsia"/>
          <w:vertAlign w:val="superscript"/>
        </w:rPr>
        <w:t>3</w:t>
      </w:r>
      <w:r>
        <w:rPr>
          <w:rFonts w:hint="eastAsia"/>
        </w:rPr>
        <w:t>/h</w:t>
      </w:r>
      <w:r>
        <w:rPr>
          <w:rFonts w:hint="eastAsia"/>
        </w:rPr>
        <w:t>，经计算，处理后二筛、三筛工序的粉尘排放量为</w:t>
      </w:r>
      <w:r>
        <w:rPr>
          <w:rFonts w:cs="Times New Roman" w:hint="eastAsia"/>
        </w:rPr>
        <w:t>0.</w:t>
      </w:r>
      <w:r>
        <w:rPr>
          <w:rFonts w:cs="Times New Roman"/>
        </w:rPr>
        <w:t>0743</w:t>
      </w:r>
      <w:r>
        <w:rPr>
          <w:rFonts w:cs="Times New Roman" w:hint="eastAsia"/>
        </w:rPr>
        <w:t>t/a</w:t>
      </w:r>
      <w:r>
        <w:rPr>
          <w:rFonts w:cs="Times New Roman"/>
        </w:rPr>
        <w:t>(0.0166kg/h)</w:t>
      </w:r>
      <w:r>
        <w:rPr>
          <w:rFonts w:hint="eastAsia"/>
        </w:rPr>
        <w:t>、排放浓度为</w:t>
      </w:r>
      <w:r>
        <w:rPr>
          <w:rFonts w:cs="Times New Roman" w:hint="eastAsia"/>
        </w:rPr>
        <w:t>0.829mg/m</w:t>
      </w:r>
      <w:r>
        <w:rPr>
          <w:rFonts w:hint="eastAsia"/>
          <w:vertAlign w:val="superscript"/>
        </w:rPr>
        <w:t>3</w:t>
      </w:r>
      <w:r>
        <w:rPr>
          <w:rFonts w:hint="eastAsia"/>
        </w:rPr>
        <w:t>，处理后粉尘由</w:t>
      </w:r>
      <w:r>
        <w:rPr>
          <w:rFonts w:hint="eastAsia"/>
        </w:rPr>
        <w:t>1</w:t>
      </w:r>
      <w:r>
        <w:rPr>
          <w:rFonts w:hint="eastAsia"/>
        </w:rPr>
        <w:t>根</w:t>
      </w:r>
      <w:r>
        <w:rPr>
          <w:rFonts w:cs="Times New Roman" w:hint="eastAsia"/>
        </w:rPr>
        <w:t>15m</w:t>
      </w:r>
      <w:r>
        <w:rPr>
          <w:rFonts w:hint="eastAsia"/>
        </w:rPr>
        <w:t>高排气筒排放。</w:t>
      </w:r>
      <w:r w:rsidR="003B0C72">
        <w:rPr>
          <w:rFonts w:hint="eastAsia"/>
        </w:rPr>
        <w:t>均</w:t>
      </w:r>
      <w:r w:rsidR="003B0C72" w:rsidRPr="00CF43D5">
        <w:rPr>
          <w:rFonts w:cs="Times New Roman"/>
          <w:bCs/>
        </w:rPr>
        <w:t>满足</w:t>
      </w:r>
      <w:r w:rsidR="003B0C72" w:rsidRPr="003B0C72">
        <w:rPr>
          <w:rFonts w:cs="Times New Roman"/>
          <w:szCs w:val="21"/>
        </w:rPr>
        <w:t>《</w:t>
      </w:r>
      <w:r w:rsidR="003B0C72" w:rsidRPr="003B0C72">
        <w:rPr>
          <w:rFonts w:cs="Times New Roman" w:hint="eastAsia"/>
          <w:szCs w:val="21"/>
        </w:rPr>
        <w:t>水泥工业大气</w:t>
      </w:r>
      <w:r w:rsidR="003B0C72" w:rsidRPr="003B0C72">
        <w:rPr>
          <w:rFonts w:cs="Times New Roman"/>
          <w:szCs w:val="21"/>
        </w:rPr>
        <w:t>污染物排放标准》（</w:t>
      </w:r>
      <w:r w:rsidR="003B0C72" w:rsidRPr="003B0C72">
        <w:rPr>
          <w:rFonts w:cs="Times New Roman"/>
          <w:szCs w:val="21"/>
        </w:rPr>
        <w:t>GB</w:t>
      </w:r>
      <w:r w:rsidR="003B0C72" w:rsidRPr="003B0C72">
        <w:rPr>
          <w:rFonts w:cs="Times New Roman" w:hint="eastAsia"/>
          <w:szCs w:val="21"/>
        </w:rPr>
        <w:t>4915</w:t>
      </w:r>
      <w:r w:rsidR="003B0C72" w:rsidRPr="003B0C72">
        <w:rPr>
          <w:rFonts w:cs="Times New Roman"/>
          <w:szCs w:val="21"/>
        </w:rPr>
        <w:t>-</w:t>
      </w:r>
      <w:r w:rsidR="003B0C72" w:rsidRPr="003B0C72">
        <w:rPr>
          <w:rFonts w:cs="Times New Roman" w:hint="eastAsia"/>
          <w:szCs w:val="21"/>
        </w:rPr>
        <w:t>2013</w:t>
      </w:r>
      <w:r w:rsidR="003B0C72" w:rsidRPr="003B0C72">
        <w:rPr>
          <w:rFonts w:cs="Times New Roman"/>
          <w:szCs w:val="21"/>
        </w:rPr>
        <w:t>）表</w:t>
      </w:r>
      <w:r w:rsidR="003B0C72" w:rsidRPr="003B0C72">
        <w:rPr>
          <w:rFonts w:cs="Times New Roman" w:hint="eastAsia"/>
          <w:szCs w:val="21"/>
        </w:rPr>
        <w:t>2</w:t>
      </w:r>
      <w:r w:rsidR="003B0C72" w:rsidRPr="003B0C72">
        <w:rPr>
          <w:rFonts w:cs="Times New Roman" w:hint="eastAsia"/>
          <w:szCs w:val="21"/>
        </w:rPr>
        <w:t>中矿山开采大气污染</w:t>
      </w:r>
      <w:proofErr w:type="gramStart"/>
      <w:r w:rsidR="003B0C72" w:rsidRPr="003B0C72">
        <w:rPr>
          <w:rFonts w:cs="Times New Roman" w:hint="eastAsia"/>
          <w:szCs w:val="21"/>
        </w:rPr>
        <w:t>物特别</w:t>
      </w:r>
      <w:proofErr w:type="gramEnd"/>
      <w:r w:rsidR="003B0C72" w:rsidRPr="003B0C72">
        <w:rPr>
          <w:rFonts w:cs="Times New Roman" w:hint="eastAsia"/>
          <w:szCs w:val="21"/>
        </w:rPr>
        <w:t>排放限值要求及表</w:t>
      </w:r>
      <w:r w:rsidR="003B0C72" w:rsidRPr="003B0C72">
        <w:rPr>
          <w:rFonts w:cs="Times New Roman" w:hint="eastAsia"/>
          <w:szCs w:val="21"/>
        </w:rPr>
        <w:t>3</w:t>
      </w:r>
      <w:r w:rsidR="003B0C72" w:rsidRPr="003B0C72">
        <w:rPr>
          <w:rFonts w:cs="Times New Roman" w:hint="eastAsia"/>
          <w:szCs w:val="21"/>
        </w:rPr>
        <w:t>中标准、</w:t>
      </w:r>
      <w:r w:rsidR="003B0C72" w:rsidRPr="00CF43D5">
        <w:rPr>
          <w:rFonts w:hint="eastAsia"/>
          <w:bCs/>
        </w:rPr>
        <w:t>《</w:t>
      </w:r>
      <w:r w:rsidR="003B0C72" w:rsidRPr="00CF43D5">
        <w:rPr>
          <w:bCs/>
        </w:rPr>
        <w:t>大气污染物综合排放标准</w:t>
      </w:r>
      <w:r w:rsidR="003B0C72" w:rsidRPr="00CF43D5">
        <w:rPr>
          <w:rFonts w:hint="eastAsia"/>
          <w:bCs/>
        </w:rPr>
        <w:t>》（</w:t>
      </w:r>
      <w:r w:rsidR="003B0C72" w:rsidRPr="00CF43D5">
        <w:rPr>
          <w:bCs/>
        </w:rPr>
        <w:t>GB16297-1996</w:t>
      </w:r>
      <w:r w:rsidR="003B0C72" w:rsidRPr="00CF43D5">
        <w:rPr>
          <w:rFonts w:hint="eastAsia"/>
          <w:bCs/>
        </w:rPr>
        <w:t>）表</w:t>
      </w:r>
      <w:r w:rsidR="003B0C72" w:rsidRPr="00CF43D5">
        <w:rPr>
          <w:rFonts w:hint="eastAsia"/>
          <w:bCs/>
        </w:rPr>
        <w:t>2</w:t>
      </w:r>
      <w:r w:rsidR="003B0C72" w:rsidRPr="00CF43D5">
        <w:rPr>
          <w:rFonts w:hint="eastAsia"/>
          <w:bCs/>
        </w:rPr>
        <w:t>中二级标准及《</w:t>
      </w:r>
      <w:hyperlink r:id="rId36" w:tgtFrame="https://www.so.com/_blank" w:history="1">
        <w:r w:rsidR="003B0C72" w:rsidRPr="00CF43D5">
          <w:rPr>
            <w:rFonts w:hint="eastAsia"/>
            <w:bCs/>
          </w:rPr>
          <w:t>建筑石料、石材矿绿色矿山建设规范</w:t>
        </w:r>
      </w:hyperlink>
      <w:r w:rsidR="003B0C72" w:rsidRPr="00CF43D5">
        <w:rPr>
          <w:rFonts w:hint="eastAsia"/>
          <w:bCs/>
        </w:rPr>
        <w:t>》</w:t>
      </w:r>
      <w:r w:rsidR="003B0C72" w:rsidRPr="00CF43D5">
        <w:rPr>
          <w:rFonts w:hint="eastAsia"/>
          <w:bCs/>
        </w:rPr>
        <w:t>DB41/T1665-2018</w:t>
      </w:r>
      <w:r w:rsidR="003B0C72" w:rsidRPr="00CF43D5">
        <w:rPr>
          <w:rFonts w:hint="eastAsia"/>
          <w:bCs/>
        </w:rPr>
        <w:t>中附录</w:t>
      </w:r>
      <w:r w:rsidR="003B0C72" w:rsidRPr="00CF43D5">
        <w:rPr>
          <w:rFonts w:hint="eastAsia"/>
          <w:bCs/>
        </w:rPr>
        <w:t>A</w:t>
      </w:r>
      <w:r w:rsidR="003B0C72" w:rsidRPr="00CF43D5">
        <w:rPr>
          <w:rFonts w:hint="eastAsia"/>
          <w:bCs/>
        </w:rPr>
        <w:t>要求（有组织</w:t>
      </w:r>
      <w:r w:rsidR="003B0C72" w:rsidRPr="00CF43D5">
        <w:rPr>
          <w:rFonts w:hint="eastAsia"/>
          <w:bCs/>
        </w:rPr>
        <w:t>10</w:t>
      </w:r>
      <w:r w:rsidR="003B0C72" w:rsidRPr="00CF43D5">
        <w:rPr>
          <w:rFonts w:cs="Times New Roman"/>
          <w:bCs/>
        </w:rPr>
        <w:t>mg/m</w:t>
      </w:r>
      <w:r w:rsidR="003B0C72" w:rsidRPr="00CF43D5">
        <w:rPr>
          <w:rFonts w:cs="Times New Roman"/>
          <w:bCs/>
          <w:vertAlign w:val="superscript"/>
        </w:rPr>
        <w:t>3</w:t>
      </w:r>
      <w:r w:rsidR="003B0C72" w:rsidRPr="00CF43D5">
        <w:rPr>
          <w:rFonts w:cs="Times New Roman" w:hint="eastAsia"/>
          <w:bCs/>
        </w:rPr>
        <w:t>和无组织</w:t>
      </w:r>
      <w:r w:rsidR="003B0C72" w:rsidRPr="00CF43D5">
        <w:rPr>
          <w:rFonts w:cs="Times New Roman" w:hint="eastAsia"/>
          <w:bCs/>
        </w:rPr>
        <w:t>0.5</w:t>
      </w:r>
      <w:r w:rsidR="003B0C72" w:rsidRPr="00CF43D5">
        <w:rPr>
          <w:rFonts w:cs="Times New Roman"/>
          <w:bCs/>
        </w:rPr>
        <w:t>mg/m</w:t>
      </w:r>
      <w:r w:rsidR="003B0C72" w:rsidRPr="00CF43D5">
        <w:rPr>
          <w:rFonts w:cs="Times New Roman"/>
          <w:bCs/>
          <w:vertAlign w:val="superscript"/>
        </w:rPr>
        <w:t>3</w:t>
      </w:r>
      <w:r w:rsidR="003B0C72" w:rsidRPr="00CF43D5">
        <w:rPr>
          <w:rFonts w:hint="eastAsia"/>
          <w:bCs/>
        </w:rPr>
        <w:t>）</w:t>
      </w:r>
      <w:r w:rsidR="003B0C72" w:rsidRPr="00CF43D5">
        <w:rPr>
          <w:rFonts w:cs="Times New Roman"/>
          <w:bCs/>
        </w:rPr>
        <w:t>。</w:t>
      </w:r>
    </w:p>
    <w:p w14:paraId="681CD37F" w14:textId="77777777" w:rsidR="00E579B9" w:rsidRDefault="006A1398">
      <w:bookmarkStart w:id="157" w:name="_Hlk33194500"/>
      <w:r>
        <w:rPr>
          <w:rFonts w:hint="eastAsia"/>
        </w:rPr>
        <w:t>项目破碎、筛分设备均设置了密闭的破碎车间、筛分车间，集</w:t>
      </w:r>
      <w:proofErr w:type="gramStart"/>
      <w:r>
        <w:rPr>
          <w:rFonts w:hint="eastAsia"/>
        </w:rPr>
        <w:t>气罩对粉尘</w:t>
      </w:r>
      <w:proofErr w:type="gramEnd"/>
      <w:r>
        <w:rPr>
          <w:rFonts w:hint="eastAsia"/>
        </w:rPr>
        <w:t>的捕集效率按</w:t>
      </w:r>
      <w:r>
        <w:rPr>
          <w:rFonts w:hint="eastAsia"/>
        </w:rPr>
        <w:t>95%</w:t>
      </w:r>
      <w:r>
        <w:rPr>
          <w:rFonts w:hint="eastAsia"/>
        </w:rPr>
        <w:t>计算，则项目破碎场地无组织粉尘产生量为</w:t>
      </w:r>
      <w:r>
        <w:rPr>
          <w:rFonts w:cs="Times New Roman"/>
        </w:rPr>
        <w:t>7.705</w:t>
      </w:r>
      <w:r>
        <w:rPr>
          <w:rFonts w:cs="Times New Roman" w:hint="eastAsia"/>
        </w:rPr>
        <w:t>t/a</w:t>
      </w:r>
      <w:r>
        <w:rPr>
          <w:rFonts w:hint="eastAsia"/>
        </w:rPr>
        <w:t>，考虑到各</w:t>
      </w:r>
      <w:proofErr w:type="gramStart"/>
      <w:r>
        <w:rPr>
          <w:rFonts w:hint="eastAsia"/>
        </w:rPr>
        <w:t>产尘设备</w:t>
      </w:r>
      <w:proofErr w:type="gramEnd"/>
      <w:r>
        <w:rPr>
          <w:rFonts w:hint="eastAsia"/>
        </w:rPr>
        <w:t>均位于密闭车间内，车间对粉尘的沉降</w:t>
      </w:r>
      <w:proofErr w:type="gramStart"/>
      <w:r>
        <w:rPr>
          <w:rFonts w:hint="eastAsia"/>
        </w:rPr>
        <w:t>作用按</w:t>
      </w:r>
      <w:proofErr w:type="gramEnd"/>
      <w:r>
        <w:rPr>
          <w:rFonts w:cs="Times New Roman" w:hint="eastAsia"/>
        </w:rPr>
        <w:t>90%</w:t>
      </w:r>
      <w:r>
        <w:rPr>
          <w:rFonts w:hint="eastAsia"/>
        </w:rPr>
        <w:t>计算，则破碎场地无组织粉尘排放量为</w:t>
      </w:r>
      <w:r>
        <w:rPr>
          <w:rFonts w:cs="Times New Roman" w:hint="eastAsia"/>
        </w:rPr>
        <w:t>0.77t/a</w:t>
      </w:r>
      <w:r>
        <w:rPr>
          <w:rFonts w:hint="eastAsia"/>
        </w:rPr>
        <w:t>。</w:t>
      </w:r>
    </w:p>
    <w:bookmarkEnd w:id="157"/>
    <w:p w14:paraId="34EA9FFB" w14:textId="77777777" w:rsidR="00E579B9" w:rsidRDefault="006A1398">
      <w:pPr>
        <w:widowControl w:val="0"/>
        <w:spacing w:line="520" w:lineRule="exact"/>
        <w:jc w:val="both"/>
        <w:rPr>
          <w:rFonts w:cs="宋体"/>
          <w:szCs w:val="24"/>
        </w:rPr>
      </w:pPr>
      <w:r>
        <w:rPr>
          <w:rFonts w:cs="宋体" w:hint="eastAsia"/>
          <w:szCs w:val="24"/>
        </w:rPr>
        <w:t>（</w:t>
      </w:r>
      <w:r>
        <w:rPr>
          <w:rFonts w:cs="宋体" w:hint="eastAsia"/>
          <w:szCs w:val="24"/>
        </w:rPr>
        <w:t>3</w:t>
      </w:r>
      <w:r>
        <w:rPr>
          <w:rFonts w:cs="宋体" w:hint="eastAsia"/>
          <w:szCs w:val="24"/>
        </w:rPr>
        <w:t>）产品装车及运输扬尘</w:t>
      </w:r>
    </w:p>
    <w:p w14:paraId="280828CA" w14:textId="77777777" w:rsidR="00E579B9" w:rsidRDefault="006A1398">
      <w:pPr>
        <w:widowControl w:val="0"/>
        <w:spacing w:line="520" w:lineRule="exact"/>
        <w:jc w:val="both"/>
        <w:rPr>
          <w:rFonts w:cs="宋体"/>
          <w:szCs w:val="24"/>
        </w:rPr>
      </w:pPr>
      <w:r>
        <w:rPr>
          <w:rFonts w:cs="宋体" w:hint="eastAsia"/>
          <w:szCs w:val="24"/>
        </w:rPr>
        <w:t>1</w:t>
      </w:r>
      <w:r>
        <w:rPr>
          <w:rFonts w:ascii="宋体" w:hAnsi="宋体" w:cs="宋体" w:hint="eastAsia"/>
          <w:szCs w:val="24"/>
        </w:rPr>
        <w:t>）装卸扬尘</w:t>
      </w:r>
    </w:p>
    <w:p w14:paraId="5C11A798" w14:textId="77777777" w:rsidR="00E579B9" w:rsidRDefault="006A1398">
      <w:pPr>
        <w:widowControl w:val="0"/>
        <w:spacing w:line="520" w:lineRule="exact"/>
        <w:jc w:val="both"/>
        <w:rPr>
          <w:rFonts w:cs="宋体"/>
          <w:szCs w:val="24"/>
        </w:rPr>
      </w:pPr>
      <w:r>
        <w:rPr>
          <w:rFonts w:ascii="宋体" w:hAnsi="宋体" w:cs="宋体" w:hint="eastAsia"/>
          <w:szCs w:val="24"/>
        </w:rPr>
        <w:t>项目筛分后的产品暂存在密闭产品仓库内，仓库顶部设置有喷雾洒水装置，产品在装车时产生的粉尘量较小，评价不再考虑。评价主要考虑露天采场矿石装卸产生的扬尘。</w:t>
      </w:r>
    </w:p>
    <w:p w14:paraId="2C5766BC" w14:textId="77777777" w:rsidR="00E579B9" w:rsidRDefault="006A1398">
      <w:pPr>
        <w:widowControl w:val="0"/>
        <w:spacing w:line="520" w:lineRule="exact"/>
        <w:jc w:val="both"/>
        <w:rPr>
          <w:rFonts w:cs="宋体"/>
          <w:szCs w:val="24"/>
        </w:rPr>
      </w:pPr>
      <w:r>
        <w:rPr>
          <w:rFonts w:ascii="宋体" w:hAnsi="宋体" w:cs="宋体" w:hint="eastAsia"/>
          <w:szCs w:val="24"/>
        </w:rPr>
        <w:t>评价要求对开采后矿石进行洒水降尘，使原矿石含水率在</w:t>
      </w:r>
      <w:r>
        <w:rPr>
          <w:rFonts w:cs="宋体"/>
          <w:szCs w:val="24"/>
        </w:rPr>
        <w:t>8%</w:t>
      </w:r>
      <w:r>
        <w:rPr>
          <w:rFonts w:ascii="宋体" w:hAnsi="宋体" w:cs="宋体" w:hint="eastAsia"/>
          <w:szCs w:val="24"/>
        </w:rPr>
        <w:t>以上，以降低装卸</w:t>
      </w:r>
      <w:r>
        <w:rPr>
          <w:rFonts w:ascii="宋体" w:hAnsi="宋体" w:cs="宋体" w:hint="eastAsia"/>
          <w:szCs w:val="24"/>
        </w:rPr>
        <w:lastRenderedPageBreak/>
        <w:t>粉尘的产生量。物料装卸机械落差的起尘量采用经验公式进行计算：</w:t>
      </w:r>
    </w:p>
    <w:p w14:paraId="300CFF15" w14:textId="77777777" w:rsidR="00E579B9" w:rsidRDefault="006A1398">
      <w:pPr>
        <w:widowControl w:val="0"/>
        <w:spacing w:beforeLines="50" w:before="120" w:afterLines="50" w:after="120" w:line="520" w:lineRule="exact"/>
        <w:ind w:firstLineChars="500" w:firstLine="1200"/>
        <w:jc w:val="both"/>
        <w:rPr>
          <w:rFonts w:cs="Times New Roman"/>
          <w:kern w:val="0"/>
          <w:szCs w:val="24"/>
        </w:rPr>
      </w:pPr>
      <w:r>
        <w:rPr>
          <w:rFonts w:cs="Times New Roman"/>
          <w:kern w:val="0"/>
          <w:szCs w:val="24"/>
        </w:rPr>
        <w:t>Q</w:t>
      </w:r>
      <w:r>
        <w:rPr>
          <w:rFonts w:cs="Times New Roman"/>
          <w:kern w:val="0"/>
          <w:szCs w:val="24"/>
          <w:vertAlign w:val="subscript"/>
        </w:rPr>
        <w:t>2</w:t>
      </w:r>
      <w:r>
        <w:rPr>
          <w:rFonts w:cs="Times New Roman"/>
          <w:kern w:val="0"/>
          <w:szCs w:val="24"/>
        </w:rPr>
        <w:t>=M·e</w:t>
      </w:r>
      <w:r>
        <w:rPr>
          <w:rFonts w:cs="Times New Roman"/>
          <w:kern w:val="0"/>
          <w:szCs w:val="24"/>
          <w:vertAlign w:val="superscript"/>
        </w:rPr>
        <w:t>0.6U</w:t>
      </w:r>
      <w:r>
        <w:rPr>
          <w:rFonts w:cs="Times New Roman"/>
          <w:kern w:val="0"/>
          <w:szCs w:val="24"/>
        </w:rPr>
        <w:t>·e</w:t>
      </w:r>
      <w:r>
        <w:rPr>
          <w:rFonts w:cs="Times New Roman"/>
          <w:kern w:val="0"/>
          <w:szCs w:val="24"/>
          <w:vertAlign w:val="superscript"/>
        </w:rPr>
        <w:t>-0.27</w:t>
      </w:r>
      <w:r>
        <w:rPr>
          <w:rFonts w:cs="Times New Roman"/>
          <w:kern w:val="0"/>
          <w:szCs w:val="24"/>
        </w:rPr>
        <w:t>·H</w:t>
      </w:r>
      <w:r>
        <w:rPr>
          <w:rFonts w:cs="Times New Roman"/>
          <w:kern w:val="0"/>
          <w:szCs w:val="24"/>
          <w:vertAlign w:val="superscript"/>
        </w:rPr>
        <w:t>1.283</w:t>
      </w:r>
    </w:p>
    <w:p w14:paraId="7DA298B9" w14:textId="77777777" w:rsidR="00E579B9" w:rsidRDefault="006A1398">
      <w:pPr>
        <w:widowControl w:val="0"/>
        <w:spacing w:line="520" w:lineRule="exact"/>
        <w:jc w:val="both"/>
        <w:rPr>
          <w:rFonts w:cs="Times New Roman"/>
          <w:kern w:val="0"/>
          <w:szCs w:val="24"/>
        </w:rPr>
      </w:pPr>
      <w:r>
        <w:rPr>
          <w:rFonts w:ascii="宋体" w:hAnsi="宋体" w:cs="Times New Roman" w:hint="eastAsia"/>
          <w:kern w:val="0"/>
          <w:szCs w:val="24"/>
        </w:rPr>
        <w:t>式中：</w:t>
      </w:r>
      <w:r>
        <w:rPr>
          <w:rFonts w:cs="Times New Roman"/>
          <w:kern w:val="0"/>
          <w:szCs w:val="24"/>
        </w:rPr>
        <w:t>Q</w:t>
      </w:r>
      <w:r>
        <w:rPr>
          <w:rFonts w:cs="Times New Roman"/>
          <w:kern w:val="0"/>
          <w:szCs w:val="24"/>
          <w:vertAlign w:val="subscript"/>
        </w:rPr>
        <w:t>2</w:t>
      </w:r>
      <w:r>
        <w:rPr>
          <w:rFonts w:cs="Times New Roman"/>
          <w:kern w:val="0"/>
          <w:szCs w:val="24"/>
        </w:rPr>
        <w:t>—</w:t>
      </w:r>
      <w:r>
        <w:rPr>
          <w:rFonts w:ascii="宋体" w:hAnsi="宋体" w:cs="Times New Roman"/>
          <w:kern w:val="0"/>
          <w:szCs w:val="24"/>
        </w:rPr>
        <w:t>装卸扬尘，</w:t>
      </w:r>
      <w:r>
        <w:rPr>
          <w:rFonts w:cs="Times New Roman"/>
          <w:kern w:val="0"/>
          <w:szCs w:val="24"/>
        </w:rPr>
        <w:t>g/</w:t>
      </w:r>
      <w:r>
        <w:rPr>
          <w:rFonts w:ascii="宋体" w:hAnsi="宋体" w:cs="Times New Roman"/>
          <w:kern w:val="0"/>
          <w:szCs w:val="24"/>
        </w:rPr>
        <w:t>次；</w:t>
      </w:r>
    </w:p>
    <w:p w14:paraId="61C9F814" w14:textId="77777777" w:rsidR="00E579B9" w:rsidRDefault="006A1398">
      <w:pPr>
        <w:widowControl w:val="0"/>
        <w:spacing w:line="520" w:lineRule="exact"/>
        <w:ind w:firstLineChars="500" w:firstLine="1200"/>
        <w:jc w:val="both"/>
        <w:rPr>
          <w:rFonts w:cs="Times New Roman"/>
          <w:kern w:val="0"/>
          <w:szCs w:val="24"/>
        </w:rPr>
      </w:pPr>
      <w:r>
        <w:rPr>
          <w:rFonts w:cs="Times New Roman"/>
          <w:kern w:val="0"/>
          <w:szCs w:val="24"/>
        </w:rPr>
        <w:t>M</w:t>
      </w:r>
      <w:proofErr w:type="gramStart"/>
      <w:r>
        <w:rPr>
          <w:rFonts w:cs="Times New Roman"/>
          <w:kern w:val="0"/>
          <w:szCs w:val="24"/>
        </w:rPr>
        <w:t>—</w:t>
      </w:r>
      <w:r>
        <w:rPr>
          <w:rFonts w:ascii="宋体" w:hAnsi="宋体" w:cs="Times New Roman"/>
          <w:kern w:val="0"/>
          <w:szCs w:val="24"/>
        </w:rPr>
        <w:t>车辆</w:t>
      </w:r>
      <w:proofErr w:type="gramEnd"/>
      <w:r>
        <w:rPr>
          <w:rFonts w:ascii="宋体" w:hAnsi="宋体" w:cs="Times New Roman"/>
          <w:kern w:val="0"/>
          <w:szCs w:val="24"/>
        </w:rPr>
        <w:t>吨位（</w:t>
      </w:r>
      <w:r>
        <w:rPr>
          <w:rFonts w:cs="Times New Roman"/>
          <w:kern w:val="0"/>
          <w:szCs w:val="24"/>
        </w:rPr>
        <w:t>32t</w:t>
      </w:r>
      <w:r>
        <w:rPr>
          <w:rFonts w:ascii="宋体" w:hAnsi="宋体" w:cs="Times New Roman"/>
          <w:kern w:val="0"/>
          <w:szCs w:val="24"/>
        </w:rPr>
        <w:t>）；</w:t>
      </w:r>
    </w:p>
    <w:p w14:paraId="1C3EEF4F" w14:textId="77777777" w:rsidR="00E579B9" w:rsidRDefault="006A1398">
      <w:pPr>
        <w:widowControl w:val="0"/>
        <w:spacing w:line="520" w:lineRule="exact"/>
        <w:ind w:firstLineChars="500" w:firstLine="1200"/>
        <w:jc w:val="both"/>
        <w:rPr>
          <w:rFonts w:cs="Times New Roman"/>
          <w:kern w:val="0"/>
          <w:szCs w:val="24"/>
        </w:rPr>
      </w:pPr>
      <w:r>
        <w:rPr>
          <w:rFonts w:cs="Times New Roman"/>
          <w:kern w:val="0"/>
          <w:szCs w:val="24"/>
        </w:rPr>
        <w:t>H—</w:t>
      </w:r>
      <w:r>
        <w:rPr>
          <w:rFonts w:ascii="宋体" w:hAnsi="宋体" w:cs="Times New Roman"/>
          <w:kern w:val="0"/>
          <w:szCs w:val="24"/>
        </w:rPr>
        <w:t>矿石装卸高度（</w:t>
      </w:r>
      <w:r>
        <w:rPr>
          <w:rFonts w:cs="Times New Roman"/>
          <w:kern w:val="0"/>
          <w:szCs w:val="24"/>
        </w:rPr>
        <w:t>2m</w:t>
      </w:r>
      <w:r>
        <w:rPr>
          <w:rFonts w:ascii="宋体" w:hAnsi="宋体" w:cs="Times New Roman"/>
          <w:kern w:val="0"/>
          <w:szCs w:val="24"/>
        </w:rPr>
        <w:t>）；</w:t>
      </w:r>
    </w:p>
    <w:p w14:paraId="356F6D96" w14:textId="77777777" w:rsidR="00E579B9" w:rsidRDefault="006A1398">
      <w:pPr>
        <w:widowControl w:val="0"/>
        <w:spacing w:line="520" w:lineRule="exact"/>
        <w:ind w:firstLineChars="500" w:firstLine="1200"/>
        <w:jc w:val="both"/>
        <w:rPr>
          <w:rFonts w:cs="Times New Roman"/>
          <w:kern w:val="0"/>
          <w:szCs w:val="24"/>
        </w:rPr>
      </w:pPr>
      <w:r>
        <w:rPr>
          <w:rFonts w:cs="Times New Roman"/>
          <w:kern w:val="0"/>
          <w:szCs w:val="24"/>
        </w:rPr>
        <w:t>U——</w:t>
      </w:r>
      <w:r>
        <w:rPr>
          <w:rFonts w:ascii="宋体" w:hAnsi="宋体" w:cs="Times New Roman"/>
          <w:kern w:val="0"/>
          <w:szCs w:val="24"/>
        </w:rPr>
        <w:t>风速（</w:t>
      </w:r>
      <w:r>
        <w:rPr>
          <w:rFonts w:cs="Times New Roman"/>
          <w:kern w:val="0"/>
          <w:szCs w:val="24"/>
        </w:rPr>
        <w:t>2.</w:t>
      </w:r>
      <w:r>
        <w:rPr>
          <w:rFonts w:cs="Times New Roman" w:hint="eastAsia"/>
          <w:kern w:val="0"/>
          <w:szCs w:val="24"/>
        </w:rPr>
        <w:t>4</w:t>
      </w:r>
      <w:r>
        <w:rPr>
          <w:rFonts w:cs="Times New Roman"/>
          <w:kern w:val="0"/>
          <w:szCs w:val="24"/>
        </w:rPr>
        <w:t>m/s</w:t>
      </w:r>
      <w:r>
        <w:rPr>
          <w:rFonts w:ascii="宋体" w:hAnsi="宋体" w:cs="Times New Roman"/>
          <w:kern w:val="0"/>
          <w:szCs w:val="24"/>
        </w:rPr>
        <w:t>）；</w:t>
      </w:r>
    </w:p>
    <w:p w14:paraId="0ECBDCB3" w14:textId="77777777" w:rsidR="00E579B9" w:rsidRDefault="006A1398">
      <w:pPr>
        <w:widowControl w:val="0"/>
        <w:spacing w:line="520" w:lineRule="exact"/>
        <w:rPr>
          <w:rFonts w:cs="宋体"/>
          <w:szCs w:val="24"/>
        </w:rPr>
      </w:pPr>
      <w:r>
        <w:rPr>
          <w:rFonts w:ascii="宋体" w:hAnsi="宋体" w:cs="宋体" w:hint="eastAsia"/>
          <w:szCs w:val="24"/>
        </w:rPr>
        <w:t>经计算，</w:t>
      </w:r>
      <w:r>
        <w:rPr>
          <w:rFonts w:ascii="宋体" w:hAnsi="宋体" w:cs="Times New Roman" w:hint="eastAsia"/>
          <w:szCs w:val="24"/>
        </w:rPr>
        <w:t>矿石装卸扬尘产生量为</w:t>
      </w:r>
      <w:r>
        <w:rPr>
          <w:rFonts w:cs="Times New Roman"/>
          <w:szCs w:val="24"/>
        </w:rPr>
        <w:t>250.88g/</w:t>
      </w:r>
      <w:r>
        <w:rPr>
          <w:rFonts w:ascii="宋体" w:hAnsi="宋体" w:cs="Times New Roman" w:hint="eastAsia"/>
          <w:szCs w:val="24"/>
        </w:rPr>
        <w:t>次，</w:t>
      </w:r>
      <w:r>
        <w:rPr>
          <w:rFonts w:ascii="宋体" w:hAnsi="宋体" w:cs="宋体" w:hint="eastAsia"/>
          <w:szCs w:val="24"/>
        </w:rPr>
        <w:t>项目年开采矿石量为</w:t>
      </w:r>
      <w:r w:rsidRPr="00D20BCC">
        <w:rPr>
          <w:rFonts w:cs="Times New Roman"/>
          <w:szCs w:val="24"/>
        </w:rPr>
        <w:t>230</w:t>
      </w:r>
      <w:r w:rsidRPr="00D20BCC">
        <w:rPr>
          <w:rFonts w:cs="Times New Roman"/>
          <w:szCs w:val="24"/>
        </w:rPr>
        <w:t>万</w:t>
      </w:r>
      <w:r w:rsidRPr="00D20BCC">
        <w:rPr>
          <w:rFonts w:cs="Times New Roman"/>
          <w:szCs w:val="24"/>
        </w:rPr>
        <w:t>t</w:t>
      </w:r>
      <w:r>
        <w:rPr>
          <w:rFonts w:ascii="宋体" w:hAnsi="宋体" w:cs="宋体" w:hint="eastAsia"/>
          <w:szCs w:val="24"/>
        </w:rPr>
        <w:t>，则矿石装卸起尘量为</w:t>
      </w:r>
      <w:r>
        <w:rPr>
          <w:rFonts w:cs="宋体"/>
          <w:szCs w:val="24"/>
        </w:rPr>
        <w:t>18.03t/a</w:t>
      </w:r>
      <w:r>
        <w:rPr>
          <w:rFonts w:ascii="宋体" w:hAnsi="宋体" w:cs="宋体" w:hint="eastAsia"/>
          <w:szCs w:val="24"/>
        </w:rPr>
        <w:t>。</w:t>
      </w:r>
      <w:r>
        <w:rPr>
          <w:rFonts w:ascii="宋体" w:hAnsi="宋体" w:cs="Times New Roman" w:hint="eastAsia"/>
          <w:szCs w:val="24"/>
        </w:rPr>
        <w:t>通过装卸点在设置雾炮车喷雾进行控制，预计可减少</w:t>
      </w:r>
      <w:r>
        <w:rPr>
          <w:rFonts w:cs="Times New Roman"/>
          <w:szCs w:val="24"/>
        </w:rPr>
        <w:t>90%</w:t>
      </w:r>
      <w:r>
        <w:rPr>
          <w:rFonts w:ascii="宋体" w:hAnsi="宋体" w:cs="Times New Roman" w:hint="eastAsia"/>
          <w:szCs w:val="24"/>
        </w:rPr>
        <w:t>的扬尘，因此装卸扬尘排放量为</w:t>
      </w:r>
      <w:r>
        <w:rPr>
          <w:rFonts w:cs="Times New Roman"/>
          <w:szCs w:val="24"/>
        </w:rPr>
        <w:t>1.8t/a</w:t>
      </w:r>
      <w:r>
        <w:rPr>
          <w:rFonts w:ascii="宋体" w:hAnsi="宋体" w:cs="Times New Roman" w:hint="eastAsia"/>
          <w:szCs w:val="24"/>
        </w:rPr>
        <w:t>。</w:t>
      </w:r>
    </w:p>
    <w:p w14:paraId="3DDE8443" w14:textId="77777777" w:rsidR="00E579B9" w:rsidRDefault="006A1398">
      <w:pPr>
        <w:widowControl w:val="0"/>
        <w:spacing w:line="520" w:lineRule="exact"/>
        <w:jc w:val="both"/>
        <w:rPr>
          <w:rFonts w:cs="宋体"/>
          <w:szCs w:val="24"/>
        </w:rPr>
      </w:pPr>
      <w:r>
        <w:rPr>
          <w:rFonts w:cs="宋体" w:hint="eastAsia"/>
          <w:szCs w:val="24"/>
        </w:rPr>
        <w:t>2</w:t>
      </w:r>
      <w:r>
        <w:rPr>
          <w:rFonts w:ascii="宋体" w:hAnsi="宋体" w:cs="宋体" w:hint="eastAsia"/>
          <w:szCs w:val="24"/>
        </w:rPr>
        <w:t>）运输扬尘</w:t>
      </w:r>
    </w:p>
    <w:p w14:paraId="1C84D1E3" w14:textId="77777777" w:rsidR="00E579B9" w:rsidRDefault="006A1398">
      <w:pPr>
        <w:widowControl w:val="0"/>
        <w:spacing w:line="520" w:lineRule="exact"/>
        <w:jc w:val="both"/>
        <w:rPr>
          <w:rFonts w:cs="宋体"/>
          <w:szCs w:val="24"/>
        </w:rPr>
      </w:pPr>
      <w:r>
        <w:rPr>
          <w:rFonts w:ascii="宋体" w:hAnsi="宋体" w:cs="宋体" w:hint="eastAsia"/>
          <w:szCs w:val="24"/>
        </w:rPr>
        <w:t>矿区内运输：矿区内运输主要为废土石、原料的运输，矿区内的运输距离约为</w:t>
      </w:r>
      <w:r>
        <w:rPr>
          <w:rFonts w:cs="宋体"/>
          <w:szCs w:val="24"/>
        </w:rPr>
        <w:t>1</w:t>
      </w:r>
      <w:r>
        <w:rPr>
          <w:rFonts w:cs="宋体" w:hint="eastAsia"/>
          <w:szCs w:val="24"/>
        </w:rPr>
        <w:t>k</w:t>
      </w:r>
      <w:r>
        <w:rPr>
          <w:rFonts w:cs="宋体"/>
          <w:szCs w:val="24"/>
        </w:rPr>
        <w:t>m</w:t>
      </w:r>
      <w:r>
        <w:rPr>
          <w:rFonts w:ascii="宋体" w:hAnsi="宋体" w:cs="宋体" w:hint="eastAsia"/>
          <w:szCs w:val="24"/>
        </w:rPr>
        <w:t>。项目厂区内设置洒水车，对运输道路经常洒水，减少矿区内运输扬尘的产生量。</w:t>
      </w:r>
    </w:p>
    <w:p w14:paraId="2E74B93F" w14:textId="77777777" w:rsidR="00E579B9" w:rsidRDefault="006A1398">
      <w:pPr>
        <w:widowControl w:val="0"/>
        <w:spacing w:line="520" w:lineRule="exact"/>
        <w:rPr>
          <w:rFonts w:cs="宋体"/>
          <w:szCs w:val="24"/>
        </w:rPr>
      </w:pPr>
      <w:r>
        <w:rPr>
          <w:rFonts w:ascii="宋体" w:hAnsi="宋体" w:cs="宋体" w:hint="eastAsia"/>
          <w:szCs w:val="24"/>
        </w:rPr>
        <w:t>产品外运：项目产品外运采用汽车运输，运输路线为通过</w:t>
      </w:r>
      <w:r>
        <w:rPr>
          <w:rFonts w:cs="宋体" w:hint="eastAsia"/>
          <w:szCs w:val="24"/>
        </w:rPr>
        <w:t>1</w:t>
      </w:r>
      <w:r>
        <w:rPr>
          <w:rFonts w:cs="宋体"/>
          <w:szCs w:val="24"/>
        </w:rPr>
        <w:t>.5</w:t>
      </w:r>
      <w:r>
        <w:rPr>
          <w:rFonts w:cs="宋体" w:hint="eastAsia"/>
          <w:szCs w:val="24"/>
        </w:rPr>
        <w:t>km</w:t>
      </w:r>
      <w:r>
        <w:rPr>
          <w:rFonts w:ascii="宋体" w:hAnsi="宋体" w:cs="宋体" w:hint="eastAsia"/>
          <w:szCs w:val="24"/>
        </w:rPr>
        <w:t>自建水泥路与村村通道路连接。</w:t>
      </w:r>
    </w:p>
    <w:p w14:paraId="4EF3802D" w14:textId="77777777" w:rsidR="00E579B9" w:rsidRDefault="006A1398">
      <w:pPr>
        <w:widowControl w:val="0"/>
        <w:spacing w:line="520" w:lineRule="exact"/>
        <w:jc w:val="both"/>
        <w:rPr>
          <w:rFonts w:cs="宋体"/>
          <w:szCs w:val="24"/>
        </w:rPr>
      </w:pPr>
      <w:r>
        <w:rPr>
          <w:rFonts w:ascii="宋体" w:hAnsi="宋体" w:cs="宋体" w:hint="eastAsia"/>
          <w:szCs w:val="24"/>
        </w:rPr>
        <w:t>项目产品出厂采用汽车运输会产生运输扬尘，道路起尘量计算如下：</w:t>
      </w:r>
    </w:p>
    <w:p w14:paraId="6E891377" w14:textId="77777777" w:rsidR="00E579B9" w:rsidRDefault="006A1398">
      <w:pPr>
        <w:ind w:firstLineChars="0"/>
        <w:rPr>
          <w:rFonts w:ascii="宋体" w:hAnsi="宋体" w:cs="Times New Roman"/>
          <w:kern w:val="0"/>
          <w:szCs w:val="24"/>
        </w:rPr>
      </w:pPr>
      <w:r>
        <w:rPr>
          <w:rFonts w:cs="Times New Roman"/>
          <w:noProof/>
          <w:szCs w:val="24"/>
        </w:rPr>
        <w:drawing>
          <wp:inline distT="0" distB="0" distL="0" distR="0" wp14:anchorId="772B147B" wp14:editId="4ABD9D88">
            <wp:extent cx="2743200" cy="495300"/>
            <wp:effectExtent l="0" t="0" r="0" b="0"/>
            <wp:docPr id="3" name="图片 3" descr="C:\Users\ADMINI~1\AppData\Local\Temp\ksohtml6544\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6544\wps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43200" cy="495300"/>
                    </a:xfrm>
                    <a:prstGeom prst="rect">
                      <a:avLst/>
                    </a:prstGeom>
                    <a:noFill/>
                    <a:ln>
                      <a:noFill/>
                    </a:ln>
                  </pic:spPr>
                </pic:pic>
              </a:graphicData>
            </a:graphic>
          </wp:inline>
        </w:drawing>
      </w:r>
    </w:p>
    <w:p w14:paraId="1BBCA342" w14:textId="77777777" w:rsidR="00E579B9" w:rsidRDefault="006A1398">
      <w:pPr>
        <w:widowControl w:val="0"/>
        <w:spacing w:line="520" w:lineRule="exact"/>
        <w:jc w:val="both"/>
        <w:rPr>
          <w:rFonts w:cs="宋体"/>
          <w:szCs w:val="24"/>
        </w:rPr>
      </w:pPr>
      <w:r>
        <w:rPr>
          <w:rFonts w:ascii="宋体" w:hAnsi="宋体" w:cs="宋体" w:hint="eastAsia"/>
          <w:szCs w:val="24"/>
        </w:rPr>
        <w:t>式中：</w:t>
      </w:r>
      <w:r>
        <w:rPr>
          <w:rFonts w:cs="宋体"/>
          <w:szCs w:val="24"/>
        </w:rPr>
        <w:t>E—</w:t>
      </w:r>
      <w:r>
        <w:rPr>
          <w:rFonts w:ascii="宋体" w:hAnsi="宋体" w:cs="宋体" w:hint="eastAsia"/>
          <w:szCs w:val="24"/>
        </w:rPr>
        <w:t>单辆车引起的道路起尘量散发因子，</w:t>
      </w:r>
      <w:r>
        <w:rPr>
          <w:rFonts w:cs="宋体"/>
          <w:szCs w:val="24"/>
        </w:rPr>
        <w:t>kg/km</w:t>
      </w:r>
      <w:r>
        <w:rPr>
          <w:rFonts w:ascii="宋体" w:hAnsi="宋体" w:cs="宋体" w:hint="eastAsia"/>
          <w:szCs w:val="24"/>
        </w:rPr>
        <w:t>；</w:t>
      </w:r>
    </w:p>
    <w:p w14:paraId="2ECFEB87" w14:textId="77777777" w:rsidR="00E579B9" w:rsidRDefault="006A1398">
      <w:pPr>
        <w:widowControl w:val="0"/>
        <w:spacing w:line="520" w:lineRule="exact"/>
        <w:ind w:firstLineChars="500" w:firstLine="1200"/>
        <w:jc w:val="both"/>
        <w:rPr>
          <w:rFonts w:cs="宋体"/>
          <w:szCs w:val="24"/>
        </w:rPr>
      </w:pPr>
      <w:r>
        <w:rPr>
          <w:rFonts w:cs="宋体"/>
          <w:szCs w:val="24"/>
        </w:rPr>
        <w:t>V</w:t>
      </w:r>
      <w:proofErr w:type="gramStart"/>
      <w:r>
        <w:rPr>
          <w:rFonts w:cs="宋体"/>
          <w:szCs w:val="24"/>
        </w:rPr>
        <w:t>—</w:t>
      </w:r>
      <w:r>
        <w:rPr>
          <w:rFonts w:ascii="宋体" w:hAnsi="宋体" w:cs="宋体" w:hint="eastAsia"/>
          <w:szCs w:val="24"/>
        </w:rPr>
        <w:t>车辆</w:t>
      </w:r>
      <w:proofErr w:type="gramEnd"/>
      <w:r>
        <w:rPr>
          <w:rFonts w:ascii="宋体" w:hAnsi="宋体" w:cs="宋体" w:hint="eastAsia"/>
          <w:szCs w:val="24"/>
        </w:rPr>
        <w:t>驶过的平均车速，</w:t>
      </w:r>
      <w:r>
        <w:rPr>
          <w:rFonts w:cs="宋体"/>
          <w:szCs w:val="24"/>
        </w:rPr>
        <w:t>km/h</w:t>
      </w:r>
      <w:r>
        <w:rPr>
          <w:rFonts w:ascii="宋体" w:hAnsi="宋体" w:cs="宋体" w:hint="eastAsia"/>
          <w:szCs w:val="24"/>
        </w:rPr>
        <w:t>；</w:t>
      </w:r>
      <w:r>
        <w:rPr>
          <w:rFonts w:cs="宋体"/>
          <w:szCs w:val="24"/>
        </w:rPr>
        <w:t>20km/h</w:t>
      </w:r>
    </w:p>
    <w:p w14:paraId="798B57A1" w14:textId="77777777" w:rsidR="00E579B9" w:rsidRDefault="006A1398">
      <w:pPr>
        <w:widowControl w:val="0"/>
        <w:spacing w:line="520" w:lineRule="exact"/>
        <w:ind w:firstLineChars="500" w:firstLine="1200"/>
        <w:jc w:val="both"/>
        <w:rPr>
          <w:rFonts w:cs="宋体"/>
          <w:szCs w:val="24"/>
        </w:rPr>
      </w:pPr>
      <w:r>
        <w:rPr>
          <w:rFonts w:cs="宋体"/>
          <w:szCs w:val="24"/>
        </w:rPr>
        <w:t>U—</w:t>
      </w:r>
      <w:r>
        <w:rPr>
          <w:rFonts w:ascii="宋体" w:hAnsi="宋体" w:cs="宋体" w:hint="eastAsia"/>
          <w:szCs w:val="24"/>
        </w:rPr>
        <w:t>起尘风速，一般取</w:t>
      </w:r>
      <w:r>
        <w:rPr>
          <w:rFonts w:cs="宋体"/>
          <w:szCs w:val="24"/>
        </w:rPr>
        <w:t>5m/s</w:t>
      </w:r>
      <w:r>
        <w:rPr>
          <w:rFonts w:ascii="宋体" w:hAnsi="宋体" w:cs="宋体" w:hint="eastAsia"/>
          <w:szCs w:val="24"/>
        </w:rPr>
        <w:t>；</w:t>
      </w:r>
    </w:p>
    <w:p w14:paraId="71ADC787" w14:textId="77777777" w:rsidR="00E579B9" w:rsidRDefault="006A1398">
      <w:pPr>
        <w:widowControl w:val="0"/>
        <w:spacing w:line="520" w:lineRule="exact"/>
        <w:ind w:firstLineChars="500" w:firstLine="1200"/>
        <w:jc w:val="both"/>
        <w:rPr>
          <w:rFonts w:cs="宋体"/>
          <w:szCs w:val="24"/>
        </w:rPr>
      </w:pPr>
      <w:r>
        <w:rPr>
          <w:rFonts w:cs="宋体"/>
          <w:szCs w:val="24"/>
        </w:rPr>
        <w:t>T—</w:t>
      </w:r>
      <w:r>
        <w:rPr>
          <w:rFonts w:ascii="宋体" w:hAnsi="宋体" w:cs="宋体" w:hint="eastAsia"/>
          <w:szCs w:val="24"/>
        </w:rPr>
        <w:t>每辆车的平均轮胎数，一般取</w:t>
      </w:r>
      <w:r>
        <w:rPr>
          <w:rFonts w:cs="宋体"/>
          <w:szCs w:val="24"/>
        </w:rPr>
        <w:t>6</w:t>
      </w:r>
      <w:r>
        <w:rPr>
          <w:rFonts w:ascii="宋体" w:hAnsi="宋体" w:cs="宋体" w:hint="eastAsia"/>
          <w:szCs w:val="24"/>
        </w:rPr>
        <w:t>。</w:t>
      </w:r>
    </w:p>
    <w:p w14:paraId="32CC729D" w14:textId="77777777" w:rsidR="00E579B9" w:rsidRDefault="006A1398">
      <w:r>
        <w:rPr>
          <w:rFonts w:hint="eastAsia"/>
        </w:rPr>
        <w:t>由上式计算结果可得，单辆车引起的道路起尘量散发因子为</w:t>
      </w:r>
      <w:r>
        <w:t>0.0086kg/km</w:t>
      </w:r>
      <w:r>
        <w:rPr>
          <w:rFonts w:hint="eastAsia"/>
        </w:rPr>
        <w:t>；本项目产品外运使用</w:t>
      </w:r>
      <w:r>
        <w:rPr>
          <w:rFonts w:hint="eastAsia"/>
        </w:rPr>
        <w:t>32</w:t>
      </w:r>
      <w:r>
        <w:t>t</w:t>
      </w:r>
      <w:r>
        <w:rPr>
          <w:rFonts w:hint="eastAsia"/>
        </w:rPr>
        <w:t>汽车外运，年运输次数为</w:t>
      </w:r>
      <w:r>
        <w:rPr>
          <w:rFonts w:hint="eastAsia"/>
        </w:rPr>
        <w:t>7.19</w:t>
      </w:r>
      <w:r>
        <w:rPr>
          <w:rFonts w:hint="eastAsia"/>
        </w:rPr>
        <w:t>万次，则本项目运输车辆产生的扬尘量约为</w:t>
      </w:r>
      <w:r>
        <w:rPr>
          <w:rFonts w:cs="Times New Roman" w:hint="eastAsia"/>
        </w:rPr>
        <w:t>0.9275</w:t>
      </w:r>
      <w:r>
        <w:t>t/a</w:t>
      </w:r>
      <w:r>
        <w:rPr>
          <w:rFonts w:hint="eastAsia"/>
        </w:rPr>
        <w:t>。</w:t>
      </w:r>
    </w:p>
    <w:p w14:paraId="6855D284" w14:textId="77777777" w:rsidR="00E579B9" w:rsidRDefault="006A1398">
      <w:pPr>
        <w:rPr>
          <w:rFonts w:ascii="宋体" w:hAnsi="宋体" w:cs="宋体"/>
          <w:szCs w:val="24"/>
        </w:rPr>
      </w:pPr>
      <w:r>
        <w:rPr>
          <w:rFonts w:ascii="宋体" w:hAnsi="宋体" w:cs="宋体" w:hint="eastAsia"/>
          <w:szCs w:val="24"/>
        </w:rPr>
        <w:lastRenderedPageBreak/>
        <w:t>为减轻车辆扬尘污染，评价要求对运矿道路定期清扫、洒水，并对运输的矿石进行遮盖，装卸作业面洒水降尘，尽量降低物料落差。粉状物料外运采用密闭罐车运输或加湿后运输；其他成品外运车辆采用箱式并加盖篷布以防止物料洒落，严禁石料超出箱板。厂区出入口附近应修建车轮清洗池，对进出厂车辆轮胎进行清洗。以有效减轻运输扬尘污染。采取以上措施后，可降低</w:t>
      </w:r>
      <w:r>
        <w:rPr>
          <w:rFonts w:cs="宋体"/>
          <w:szCs w:val="24"/>
        </w:rPr>
        <w:t>90%</w:t>
      </w:r>
      <w:r>
        <w:rPr>
          <w:rFonts w:ascii="宋体" w:hAnsi="宋体" w:cs="宋体" w:hint="eastAsia"/>
          <w:szCs w:val="24"/>
        </w:rPr>
        <w:t>起尘量，则本项目运输车辆产尘量约为</w:t>
      </w:r>
      <w:r>
        <w:rPr>
          <w:rFonts w:cs="宋体"/>
          <w:szCs w:val="24"/>
        </w:rPr>
        <w:t>0.</w:t>
      </w:r>
      <w:r>
        <w:rPr>
          <w:rFonts w:cs="宋体" w:hint="eastAsia"/>
          <w:szCs w:val="24"/>
        </w:rPr>
        <w:t>09</w:t>
      </w:r>
      <w:r>
        <w:rPr>
          <w:rFonts w:cs="宋体"/>
          <w:szCs w:val="24"/>
        </w:rPr>
        <w:t>t/a</w:t>
      </w:r>
      <w:r>
        <w:rPr>
          <w:rFonts w:ascii="宋体" w:hAnsi="宋体" w:cs="宋体" w:hint="eastAsia"/>
          <w:szCs w:val="24"/>
        </w:rPr>
        <w:t>。</w:t>
      </w:r>
    </w:p>
    <w:p w14:paraId="3F79F7DB" w14:textId="77777777" w:rsidR="00E579B9" w:rsidRDefault="006A1398">
      <w:r>
        <w:rPr>
          <w:rFonts w:hint="eastAsia"/>
        </w:rPr>
        <w:t>（</w:t>
      </w:r>
      <w:r>
        <w:rPr>
          <w:rFonts w:hint="eastAsia"/>
        </w:rPr>
        <w:t>4</w:t>
      </w:r>
      <w:r>
        <w:rPr>
          <w:rFonts w:hint="eastAsia"/>
        </w:rPr>
        <w:t>）表土场</w:t>
      </w:r>
    </w:p>
    <w:p w14:paraId="45266799" w14:textId="77777777" w:rsidR="00E579B9" w:rsidRDefault="006A1398">
      <w:r>
        <w:rPr>
          <w:rFonts w:hint="eastAsia"/>
          <w:bCs/>
        </w:rPr>
        <w:t>本项目对</w:t>
      </w:r>
      <w:proofErr w:type="gramStart"/>
      <w:r>
        <w:rPr>
          <w:rFonts w:hint="eastAsia"/>
          <w:bCs/>
        </w:rPr>
        <w:t>表土场</w:t>
      </w:r>
      <w:r>
        <w:rPr>
          <w:rFonts w:hint="eastAsia"/>
        </w:rPr>
        <w:t>及时</w:t>
      </w:r>
      <w:proofErr w:type="gramEnd"/>
      <w:r>
        <w:rPr>
          <w:rFonts w:hint="eastAsia"/>
        </w:rPr>
        <w:t>进行覆盖并设置有水泵</w:t>
      </w:r>
      <w:r>
        <w:t>定期对堆场洒水，洒水次数根据天气情况而定，干燥大风天气多洒水，多雨时可适当减少洒水次数，使堆</w:t>
      </w:r>
      <w:r>
        <w:rPr>
          <w:rFonts w:hint="eastAsia"/>
        </w:rPr>
        <w:t>场</w:t>
      </w:r>
      <w:r>
        <w:t>表面保持一定水分。</w:t>
      </w:r>
    </w:p>
    <w:p w14:paraId="6D6126A8" w14:textId="77777777" w:rsidR="00E579B9" w:rsidRDefault="006A1398">
      <w:r>
        <w:t>评价引用西安冶金建筑学院给出的北方起尘公式进行计算。</w:t>
      </w:r>
    </w:p>
    <w:p w14:paraId="4314DF36" w14:textId="77777777" w:rsidR="00E579B9" w:rsidRDefault="006A1398">
      <w:r>
        <w:object w:dxaOrig="2863" w:dyaOrig="419" w14:anchorId="204BCAE8">
          <v:shape id="_x0000_i1034" type="#_x0000_t75" style="width:143.45pt;height:21pt" o:ole="">
            <v:imagedata r:id="rId22" o:title=""/>
          </v:shape>
          <o:OLEObject Type="Embed" ProgID="Equation.3" ShapeID="_x0000_i1034" DrawAspect="Content" ObjectID="_1644327288" r:id="rId38"/>
        </w:object>
      </w:r>
    </w:p>
    <w:p w14:paraId="1105877E" w14:textId="77777777" w:rsidR="00E579B9" w:rsidRDefault="006A1398">
      <w:r>
        <w:t>式中：</w:t>
      </w:r>
      <w:r>
        <w:rPr>
          <w:i/>
        </w:rPr>
        <w:t>Q</w:t>
      </w:r>
      <w:r>
        <w:t>—</w:t>
      </w:r>
      <w:r>
        <w:t>堆场起尘量，</w:t>
      </w:r>
      <w:r>
        <w:t>mg/s</w:t>
      </w:r>
      <w:r>
        <w:t>；</w:t>
      </w:r>
    </w:p>
    <w:p w14:paraId="1C2B9636" w14:textId="77777777" w:rsidR="00E579B9" w:rsidRDefault="006A1398">
      <w:r>
        <w:rPr>
          <w:i/>
        </w:rPr>
        <w:t>U</w:t>
      </w:r>
      <w:r>
        <w:t>—</w:t>
      </w:r>
      <w:r>
        <w:t>堆场平均风速，</w:t>
      </w:r>
      <w:r>
        <w:t>m/s</w:t>
      </w:r>
      <w:r>
        <w:t>（评价选取</w:t>
      </w:r>
      <w:r>
        <w:t>U=2.</w:t>
      </w:r>
      <w:r>
        <w:rPr>
          <w:rFonts w:hint="eastAsia"/>
        </w:rPr>
        <w:t>2</w:t>
      </w:r>
      <w:r>
        <w:t>m/s</w:t>
      </w:r>
      <w:r>
        <w:t>（年均风速））；</w:t>
      </w:r>
    </w:p>
    <w:p w14:paraId="4F2E5A40" w14:textId="77777777" w:rsidR="00E579B9" w:rsidRDefault="006A1398">
      <w:r>
        <w:rPr>
          <w:i/>
        </w:rPr>
        <w:t>A</w:t>
      </w:r>
      <w:r>
        <w:rPr>
          <w:i/>
          <w:vertAlign w:val="subscript"/>
        </w:rPr>
        <w:t>p</w:t>
      </w:r>
      <w:r>
        <w:t>—</w:t>
      </w:r>
      <w:r>
        <w:t>堆场的面积</w:t>
      </w:r>
      <w:r>
        <w:rPr>
          <w:rFonts w:cs="Times New Roman"/>
          <w:szCs w:val="24"/>
        </w:rPr>
        <w:t>，表土临时堆场占地</w:t>
      </w:r>
      <w:r>
        <w:rPr>
          <w:rFonts w:cs="Times New Roman" w:hint="eastAsia"/>
          <w:szCs w:val="24"/>
        </w:rPr>
        <w:t>1000</w:t>
      </w:r>
      <w:r>
        <w:rPr>
          <w:rFonts w:cs="Times New Roman"/>
          <w:szCs w:val="24"/>
        </w:rPr>
        <w:t>0m</w:t>
      </w:r>
      <w:r>
        <w:rPr>
          <w:rFonts w:cs="Times New Roman"/>
          <w:szCs w:val="24"/>
          <w:vertAlign w:val="superscript"/>
        </w:rPr>
        <w:t>2</w:t>
      </w:r>
      <w:r>
        <w:rPr>
          <w:rFonts w:cs="Times New Roman"/>
          <w:szCs w:val="24"/>
        </w:rPr>
        <w:t>。</w:t>
      </w:r>
      <w:r>
        <w:t>；</w:t>
      </w:r>
    </w:p>
    <w:p w14:paraId="404931C6" w14:textId="77777777" w:rsidR="00E579B9" w:rsidRDefault="006A1398">
      <w:r>
        <w:rPr>
          <w:i/>
        </w:rPr>
        <w:t>η</w:t>
      </w:r>
      <w:r>
        <w:t>—</w:t>
      </w:r>
      <w:proofErr w:type="gramStart"/>
      <w:r>
        <w:t>堆场抑尘效率</w:t>
      </w:r>
      <w:proofErr w:type="gramEnd"/>
      <w:r>
        <w:t>，对产品进行洒水抑尘，</w:t>
      </w:r>
      <w:proofErr w:type="gramStart"/>
      <w:r>
        <w:t>堆场抑尘效率</w:t>
      </w:r>
      <w:proofErr w:type="gramEnd"/>
      <w:r>
        <w:t>按</w:t>
      </w:r>
      <w:r>
        <w:rPr>
          <w:rFonts w:hint="eastAsia"/>
        </w:rPr>
        <w:t>9</w:t>
      </w:r>
      <w:r>
        <w:t>0%</w:t>
      </w:r>
      <w:r>
        <w:t>计。</w:t>
      </w:r>
    </w:p>
    <w:p w14:paraId="530761AE" w14:textId="77777777" w:rsidR="00E579B9" w:rsidRDefault="006A1398">
      <w:pPr>
        <w:jc w:val="both"/>
        <w:rPr>
          <w:spacing w:val="-30"/>
        </w:rPr>
      </w:pPr>
      <w:r>
        <w:t>根据核算，本项目</w:t>
      </w:r>
      <w:proofErr w:type="gramStart"/>
      <w:r>
        <w:t>表土场</w:t>
      </w:r>
      <w:proofErr w:type="gramEnd"/>
      <w:r>
        <w:t>起尘量约为</w:t>
      </w:r>
      <w:r>
        <w:t>0.</w:t>
      </w:r>
      <w:r>
        <w:rPr>
          <w:rFonts w:hint="eastAsia"/>
        </w:rPr>
        <w:t>1</w:t>
      </w:r>
      <w:r>
        <w:t>1kg/h</w:t>
      </w:r>
      <w:r>
        <w:t>，</w:t>
      </w:r>
      <w:r>
        <w:rPr>
          <w:rFonts w:hint="eastAsia"/>
        </w:rPr>
        <w:t>0.48</w:t>
      </w:r>
      <w:r>
        <w:t>t/a</w:t>
      </w:r>
      <w:r>
        <w:t>（一天以</w:t>
      </w:r>
      <w:r>
        <w:rPr>
          <w:rFonts w:eastAsia="Times New Roman" w:cs="Times New Roman"/>
        </w:rPr>
        <w:t>16</w:t>
      </w:r>
      <w:r>
        <w:t>小时计，一年以</w:t>
      </w:r>
      <w:r>
        <w:rPr>
          <w:rFonts w:eastAsia="Times New Roman" w:cs="Times New Roman"/>
        </w:rPr>
        <w:t>280</w:t>
      </w:r>
      <w:r>
        <w:rPr>
          <w:spacing w:val="-30"/>
        </w:rPr>
        <w:t>天计）。</w:t>
      </w:r>
    </w:p>
    <w:p w14:paraId="5D3B2780" w14:textId="77777777" w:rsidR="00E579B9" w:rsidRDefault="006A1398">
      <w:pPr>
        <w:ind w:firstLine="360"/>
        <w:jc w:val="both"/>
      </w:pPr>
      <w:r>
        <w:rPr>
          <w:spacing w:val="-30"/>
        </w:rPr>
        <w:t>(5)</w:t>
      </w:r>
      <w:r>
        <w:rPr>
          <w:rFonts w:hint="eastAsia"/>
        </w:rPr>
        <w:t>燃油机械尾气</w:t>
      </w:r>
    </w:p>
    <w:p w14:paraId="41674ACB" w14:textId="77777777" w:rsidR="00E579B9" w:rsidRDefault="006A1398">
      <w:pPr>
        <w:jc w:val="both"/>
      </w:pPr>
      <w:r>
        <w:rPr>
          <w:rFonts w:hint="eastAsia"/>
        </w:rPr>
        <w:t>各类燃油动力机械在开采、运输作业时，会排出各类燃油废气，排放的主要污染物为</w:t>
      </w:r>
      <w:r>
        <w:rPr>
          <w:rFonts w:hint="eastAsia"/>
        </w:rPr>
        <w:t>CO</w:t>
      </w:r>
      <w:r>
        <w:rPr>
          <w:rFonts w:hint="eastAsia"/>
        </w:rPr>
        <w:t>、</w:t>
      </w:r>
      <w:r>
        <w:rPr>
          <w:rFonts w:hint="eastAsia"/>
        </w:rPr>
        <w:t>HC</w:t>
      </w:r>
      <w:r>
        <w:rPr>
          <w:rFonts w:hint="eastAsia"/>
        </w:rPr>
        <w:t>、</w:t>
      </w:r>
      <w:r>
        <w:rPr>
          <w:rFonts w:hint="eastAsia"/>
        </w:rPr>
        <w:t>NOx</w:t>
      </w:r>
      <w:r>
        <w:rPr>
          <w:rFonts w:hint="eastAsia"/>
        </w:rPr>
        <w:t>等。</w:t>
      </w:r>
    </w:p>
    <w:p w14:paraId="32AD19CD" w14:textId="77777777" w:rsidR="00E579B9" w:rsidRDefault="006A1398">
      <w:pPr>
        <w:jc w:val="both"/>
      </w:pPr>
      <w:r>
        <w:t>3.8.2.2</w:t>
      </w:r>
      <w:r>
        <w:tab/>
      </w:r>
      <w:r>
        <w:rPr>
          <w:rFonts w:hint="eastAsia"/>
        </w:rPr>
        <w:t>废水环境影响及源强核算</w:t>
      </w:r>
    </w:p>
    <w:p w14:paraId="35C38EF6" w14:textId="77777777" w:rsidR="00E579B9" w:rsidRDefault="006A1398">
      <w:r>
        <w:rPr>
          <w:rFonts w:ascii="宋体" w:hAnsi="宋体" w:hint="eastAsia"/>
        </w:rPr>
        <w:t>项目运营期用水主要是露天采场防尘洒水、破碎车间防尘洒水、厂区出入口车辆冲洗装置用水及职工生活用水。</w:t>
      </w:r>
    </w:p>
    <w:p w14:paraId="2A5043C4" w14:textId="77777777" w:rsidR="00E579B9" w:rsidRDefault="006A1398">
      <w:pPr>
        <w:pStyle w:val="226"/>
        <w:spacing w:line="360" w:lineRule="auto"/>
        <w:ind w:left="840" w:firstLineChars="0" w:firstLine="0"/>
      </w:pP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露天采场防尘洒水</w:t>
      </w:r>
    </w:p>
    <w:p w14:paraId="64448C38" w14:textId="77777777" w:rsidR="00E579B9" w:rsidRDefault="006A1398">
      <w:pPr>
        <w:pStyle w:val="226"/>
        <w:spacing w:line="360" w:lineRule="auto"/>
      </w:pPr>
      <w:r>
        <w:rPr>
          <w:rFonts w:ascii="宋体" w:hAnsi="宋体" w:hint="eastAsia"/>
        </w:rPr>
        <w:t>本项目运营期露天采场凿岩、爆破、运输、装卸等各个环节中均需洒水，这部分水均被物料吸收或自然蒸发，不会产生外排废水，无生产废水产生。</w:t>
      </w:r>
      <w:proofErr w:type="gramStart"/>
      <w:r>
        <w:rPr>
          <w:rFonts w:ascii="宋体" w:hAnsi="宋体" w:hint="eastAsia"/>
        </w:rPr>
        <w:t>道路抑尘洒水</w:t>
      </w:r>
      <w:proofErr w:type="gramEnd"/>
      <w:r>
        <w:rPr>
          <w:rFonts w:ascii="宋体" w:hAnsi="宋体" w:hint="eastAsia"/>
        </w:rPr>
        <w:t>按</w:t>
      </w:r>
      <w:r>
        <w:rPr>
          <w:rFonts w:hint="eastAsia"/>
        </w:rPr>
        <w:t>1.5</w:t>
      </w:r>
      <w:r>
        <w:t>L/m</w:t>
      </w:r>
      <w:r>
        <w:rPr>
          <w:vertAlign w:val="superscript"/>
        </w:rPr>
        <w:t>2</w:t>
      </w:r>
      <w:r>
        <w:rPr>
          <w:rFonts w:cs="Times New Roman"/>
        </w:rPr>
        <w:t>·</w:t>
      </w:r>
      <w:r>
        <w:t>d</w:t>
      </w:r>
      <w:r>
        <w:rPr>
          <w:rFonts w:ascii="宋体" w:hAnsi="宋体" w:hint="eastAsia"/>
        </w:rPr>
        <w:t>计，矿区运输道路长</w:t>
      </w:r>
      <w:r>
        <w:t>2.5</w:t>
      </w:r>
      <w:r>
        <w:rPr>
          <w:rFonts w:hint="eastAsia"/>
        </w:rPr>
        <w:t>km</w:t>
      </w:r>
      <w:r>
        <w:rPr>
          <w:rFonts w:ascii="宋体" w:hAnsi="宋体" w:hint="eastAsia"/>
        </w:rPr>
        <w:t>，</w:t>
      </w:r>
      <w:proofErr w:type="gramStart"/>
      <w:r>
        <w:rPr>
          <w:rFonts w:ascii="宋体" w:hAnsi="宋体" w:hint="eastAsia"/>
        </w:rPr>
        <w:t>则道路抑尘</w:t>
      </w:r>
      <w:proofErr w:type="gramEnd"/>
      <w:r>
        <w:rPr>
          <w:rFonts w:ascii="宋体" w:hAnsi="宋体" w:hint="eastAsia"/>
        </w:rPr>
        <w:t>洒水约</w:t>
      </w:r>
      <w:r>
        <w:t>3.75m</w:t>
      </w:r>
      <w:r>
        <w:rPr>
          <w:vertAlign w:val="superscript"/>
        </w:rPr>
        <w:t>3</w:t>
      </w:r>
      <w:r>
        <w:t>/d</w:t>
      </w:r>
      <w:r>
        <w:rPr>
          <w:rFonts w:ascii="宋体" w:hAnsi="宋体" w:hint="eastAsia"/>
        </w:rPr>
        <w:t>；露采后矿石装卸</w:t>
      </w:r>
      <w:r>
        <w:rPr>
          <w:rFonts w:ascii="宋体" w:hAnsi="宋体" w:hint="eastAsia"/>
        </w:rPr>
        <w:lastRenderedPageBreak/>
        <w:t>防尘洒水量按</w:t>
      </w:r>
      <w:r>
        <w:rPr>
          <w:rFonts w:hint="eastAsia"/>
        </w:rPr>
        <w:t>10L/t</w:t>
      </w:r>
      <w:r>
        <w:rPr>
          <w:rFonts w:cs="Times New Roman"/>
        </w:rPr>
        <w:t>·</w:t>
      </w:r>
      <w:r>
        <w:rPr>
          <w:rFonts w:ascii="宋体" w:hAnsi="宋体" w:hint="eastAsia"/>
        </w:rPr>
        <w:t>矿石算，则项目露天采场装卸防尘洒水量为</w:t>
      </w:r>
      <w:r>
        <w:t>82.14</w:t>
      </w:r>
      <w:r>
        <w:rPr>
          <w:rFonts w:hint="eastAsia"/>
        </w:rPr>
        <w:t>m</w:t>
      </w:r>
      <w:r>
        <w:rPr>
          <w:rFonts w:hint="eastAsia"/>
          <w:vertAlign w:val="superscript"/>
        </w:rPr>
        <w:t>3</w:t>
      </w:r>
      <w:r>
        <w:rPr>
          <w:rFonts w:hint="eastAsia"/>
        </w:rPr>
        <w:t>/d</w:t>
      </w:r>
      <w:r>
        <w:rPr>
          <w:rFonts w:ascii="宋体" w:hAnsi="宋体" w:hint="eastAsia"/>
        </w:rPr>
        <w:t>；矿区凿岩、爆破过程洒水量约为</w:t>
      </w:r>
      <w:r>
        <w:rPr>
          <w:rFonts w:cs="Times New Roman" w:hint="eastAsia"/>
        </w:rPr>
        <w:t>5m</w:t>
      </w:r>
      <w:r>
        <w:rPr>
          <w:rFonts w:hint="eastAsia"/>
          <w:vertAlign w:val="superscript"/>
        </w:rPr>
        <w:t>3</w:t>
      </w:r>
      <w:r>
        <w:rPr>
          <w:rFonts w:hint="eastAsia"/>
        </w:rPr>
        <w:t>/d</w:t>
      </w:r>
      <w:r>
        <w:rPr>
          <w:rFonts w:ascii="宋体" w:hAnsi="宋体" w:hint="eastAsia"/>
        </w:rPr>
        <w:t>，则项目露天采场防尘洒水总量为</w:t>
      </w:r>
      <w:r>
        <w:rPr>
          <w:rFonts w:cs="Times New Roman"/>
        </w:rPr>
        <w:t>90.89</w:t>
      </w:r>
      <w:r>
        <w:t>m</w:t>
      </w:r>
      <w:r>
        <w:rPr>
          <w:vertAlign w:val="superscript"/>
        </w:rPr>
        <w:t>3</w:t>
      </w:r>
      <w:r>
        <w:t>/d</w:t>
      </w:r>
      <w:r>
        <w:rPr>
          <w:rFonts w:ascii="宋体" w:hAnsi="宋体" w:hint="eastAsia"/>
        </w:rPr>
        <w:t>。矿区设置</w:t>
      </w:r>
      <w:r>
        <w:rPr>
          <w:rFonts w:hint="eastAsia"/>
        </w:rPr>
        <w:t>1</w:t>
      </w:r>
      <w:r>
        <w:rPr>
          <w:rFonts w:ascii="宋体" w:hAnsi="宋体" w:hint="eastAsia"/>
        </w:rPr>
        <w:t>台</w:t>
      </w:r>
      <w:r>
        <w:rPr>
          <w:rFonts w:cs="Times New Roman" w:hint="eastAsia"/>
        </w:rPr>
        <w:t>20m</w:t>
      </w:r>
      <w:r>
        <w:rPr>
          <w:rFonts w:hint="eastAsia"/>
          <w:vertAlign w:val="superscript"/>
        </w:rPr>
        <w:t>3</w:t>
      </w:r>
      <w:r>
        <w:rPr>
          <w:rFonts w:ascii="宋体" w:hAnsi="宋体" w:hint="eastAsia"/>
        </w:rPr>
        <w:t>的洒水车对露天采场各</w:t>
      </w:r>
      <w:proofErr w:type="gramStart"/>
      <w:r>
        <w:rPr>
          <w:rFonts w:ascii="宋体" w:hAnsi="宋体" w:hint="eastAsia"/>
        </w:rPr>
        <w:t>产尘点</w:t>
      </w:r>
      <w:proofErr w:type="gramEnd"/>
      <w:r>
        <w:rPr>
          <w:rFonts w:ascii="宋体" w:hAnsi="宋体" w:hint="eastAsia"/>
        </w:rPr>
        <w:t>进行防尘洒水。</w:t>
      </w:r>
    </w:p>
    <w:p w14:paraId="34C42E44" w14:textId="77777777" w:rsidR="00E579B9" w:rsidRDefault="006A1398">
      <w:pPr>
        <w:pStyle w:val="226"/>
        <w:spacing w:line="360" w:lineRule="auto"/>
        <w:ind w:firstLineChars="0"/>
      </w:pP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破碎车间防尘洒水</w:t>
      </w:r>
    </w:p>
    <w:p w14:paraId="652FAC16" w14:textId="77777777" w:rsidR="00E579B9" w:rsidRDefault="006A1398">
      <w:pPr>
        <w:adjustRightInd w:val="0"/>
        <w:snapToGrid w:val="0"/>
        <w:rPr>
          <w:rFonts w:ascii="宋体" w:hAnsi="宋体" w:cs="Times New Roman"/>
          <w:szCs w:val="24"/>
        </w:rPr>
      </w:pPr>
      <w:r>
        <w:rPr>
          <w:rFonts w:ascii="宋体" w:hAnsi="宋体" w:hint="eastAsia"/>
        </w:rPr>
        <w:t>项目破碎车间进料口、产品仓库均设置喷雾洒水装置，</w:t>
      </w:r>
      <w:r>
        <w:rPr>
          <w:rFonts w:ascii="宋体" w:hAnsi="宋体" w:cs="Times New Roman"/>
          <w:szCs w:val="24"/>
        </w:rPr>
        <w:t>本项目料场面积为</w:t>
      </w:r>
      <w:r>
        <w:rPr>
          <w:rFonts w:cs="Times New Roman"/>
          <w:szCs w:val="24"/>
        </w:rPr>
        <w:t>26666.8m</w:t>
      </w:r>
      <w:r>
        <w:rPr>
          <w:rFonts w:cs="Times New Roman"/>
          <w:szCs w:val="24"/>
          <w:vertAlign w:val="superscript"/>
        </w:rPr>
        <w:t>2</w:t>
      </w:r>
      <w:r>
        <w:rPr>
          <w:rFonts w:ascii="宋体" w:hAnsi="宋体" w:cs="Times New Roman"/>
          <w:szCs w:val="24"/>
        </w:rPr>
        <w:t>，</w:t>
      </w:r>
      <w:proofErr w:type="gramStart"/>
      <w:r>
        <w:rPr>
          <w:rFonts w:ascii="宋体" w:hAnsi="宋体" w:cs="Times New Roman"/>
          <w:szCs w:val="24"/>
        </w:rPr>
        <w:t>洒水抑尘用水</w:t>
      </w:r>
      <w:proofErr w:type="gramEnd"/>
      <w:r>
        <w:rPr>
          <w:rFonts w:ascii="宋体" w:hAnsi="宋体" w:cs="Times New Roman"/>
          <w:szCs w:val="24"/>
        </w:rPr>
        <w:t>定额按照</w:t>
      </w:r>
      <w:r>
        <w:rPr>
          <w:rFonts w:cs="Times New Roman"/>
          <w:szCs w:val="24"/>
        </w:rPr>
        <w:t>1m</w:t>
      </w:r>
      <w:r>
        <w:rPr>
          <w:rFonts w:cs="Times New Roman"/>
          <w:szCs w:val="24"/>
          <w:vertAlign w:val="superscript"/>
        </w:rPr>
        <w:t>3</w:t>
      </w:r>
      <w:r>
        <w:rPr>
          <w:rFonts w:cs="Times New Roman"/>
          <w:szCs w:val="24"/>
        </w:rPr>
        <w:t>/</w:t>
      </w:r>
      <w:r>
        <w:rPr>
          <w:rFonts w:ascii="宋体" w:hAnsi="宋体" w:cs="Times New Roman"/>
          <w:szCs w:val="24"/>
        </w:rPr>
        <w:t>每</w:t>
      </w:r>
      <w:r>
        <w:rPr>
          <w:rFonts w:cs="Times New Roman"/>
          <w:szCs w:val="24"/>
        </w:rPr>
        <w:t>m</w:t>
      </w:r>
      <w:r>
        <w:rPr>
          <w:rFonts w:cs="Times New Roman"/>
          <w:szCs w:val="24"/>
          <w:vertAlign w:val="superscript"/>
        </w:rPr>
        <w:t>2</w:t>
      </w:r>
      <w:r>
        <w:rPr>
          <w:rFonts w:cs="Times New Roman"/>
          <w:szCs w:val="24"/>
        </w:rPr>
        <w:t>·</w:t>
      </w:r>
      <w:r>
        <w:rPr>
          <w:rFonts w:ascii="宋体" w:hAnsi="宋体" w:cs="Times New Roman"/>
          <w:szCs w:val="24"/>
        </w:rPr>
        <w:t>每年计算，</w:t>
      </w:r>
      <w:proofErr w:type="gramStart"/>
      <w:r>
        <w:rPr>
          <w:rFonts w:ascii="宋体" w:hAnsi="宋体" w:cs="Times New Roman"/>
          <w:szCs w:val="24"/>
        </w:rPr>
        <w:t>抑尘洒水</w:t>
      </w:r>
      <w:proofErr w:type="gramEnd"/>
      <w:r>
        <w:rPr>
          <w:rFonts w:ascii="宋体" w:hAnsi="宋体" w:cs="Times New Roman"/>
          <w:szCs w:val="24"/>
        </w:rPr>
        <w:t>用水量约</w:t>
      </w:r>
      <w:r>
        <w:rPr>
          <w:rFonts w:cs="Times New Roman"/>
          <w:szCs w:val="24"/>
        </w:rPr>
        <w:t>26666.8m</w:t>
      </w:r>
      <w:r>
        <w:rPr>
          <w:rFonts w:cs="Times New Roman"/>
          <w:szCs w:val="24"/>
          <w:vertAlign w:val="superscript"/>
        </w:rPr>
        <w:t>3</w:t>
      </w:r>
      <w:r>
        <w:rPr>
          <w:rFonts w:cs="Times New Roman"/>
          <w:szCs w:val="24"/>
        </w:rPr>
        <w:t>/a</w:t>
      </w:r>
      <w:r>
        <w:rPr>
          <w:rFonts w:ascii="宋体" w:hAnsi="宋体" w:cs="Times New Roman"/>
          <w:szCs w:val="24"/>
        </w:rPr>
        <w:t>（即</w:t>
      </w:r>
      <w:r>
        <w:rPr>
          <w:rFonts w:cs="Times New Roman"/>
          <w:szCs w:val="24"/>
        </w:rPr>
        <w:t>95.24m</w:t>
      </w:r>
      <w:r>
        <w:rPr>
          <w:rFonts w:cs="Times New Roman"/>
          <w:szCs w:val="24"/>
          <w:vertAlign w:val="superscript"/>
        </w:rPr>
        <w:t>3</w:t>
      </w:r>
      <w:r>
        <w:rPr>
          <w:rFonts w:cs="Times New Roman"/>
          <w:szCs w:val="24"/>
        </w:rPr>
        <w:t>/d</w:t>
      </w:r>
      <w:r>
        <w:rPr>
          <w:rFonts w:ascii="宋体" w:hAnsi="宋体" w:cs="Times New Roman"/>
          <w:szCs w:val="24"/>
        </w:rPr>
        <w:t>）。</w:t>
      </w:r>
      <w:proofErr w:type="gramStart"/>
      <w:r>
        <w:rPr>
          <w:rFonts w:ascii="宋体" w:hAnsi="宋体" w:cs="Times New Roman" w:hint="eastAsia"/>
          <w:szCs w:val="24"/>
        </w:rPr>
        <w:t>其中</w:t>
      </w:r>
      <w:r>
        <w:rPr>
          <w:rFonts w:ascii="宋体" w:hAnsi="宋体" w:cs="Times New Roman"/>
          <w:szCs w:val="24"/>
        </w:rPr>
        <w:t>回</w:t>
      </w:r>
      <w:proofErr w:type="gramEnd"/>
      <w:r>
        <w:rPr>
          <w:rFonts w:ascii="宋体" w:hAnsi="宋体" w:cs="Times New Roman"/>
          <w:szCs w:val="24"/>
        </w:rPr>
        <w:t>用水量</w:t>
      </w:r>
      <w:r>
        <w:rPr>
          <w:rFonts w:ascii="宋体" w:hAnsi="宋体" w:cs="Times New Roman" w:hint="eastAsia"/>
          <w:szCs w:val="24"/>
        </w:rPr>
        <w:t>用量</w:t>
      </w:r>
      <w:r>
        <w:rPr>
          <w:rFonts w:ascii="宋体" w:hAnsi="宋体" w:cs="Times New Roman"/>
          <w:szCs w:val="24"/>
        </w:rPr>
        <w:t>为</w:t>
      </w:r>
      <w:r>
        <w:rPr>
          <w:rFonts w:ascii="宋体" w:hAnsi="宋体" w:cs="Times New Roman" w:hint="eastAsia"/>
          <w:szCs w:val="24"/>
        </w:rPr>
        <w:t>7.632</w:t>
      </w:r>
      <w:r>
        <w:rPr>
          <w:rFonts w:cs="Times New Roman"/>
          <w:szCs w:val="24"/>
        </w:rPr>
        <w:t>m</w:t>
      </w:r>
      <w:r>
        <w:rPr>
          <w:rFonts w:cs="Times New Roman"/>
          <w:szCs w:val="24"/>
          <w:vertAlign w:val="superscript"/>
        </w:rPr>
        <w:t>3</w:t>
      </w:r>
      <w:r>
        <w:rPr>
          <w:rFonts w:cs="Times New Roman"/>
          <w:szCs w:val="24"/>
        </w:rPr>
        <w:t>/d</w:t>
      </w:r>
      <w:r>
        <w:rPr>
          <w:rFonts w:cs="Times New Roman" w:hint="eastAsia"/>
          <w:szCs w:val="24"/>
        </w:rPr>
        <w:t>（</w:t>
      </w:r>
      <w:r>
        <w:rPr>
          <w:rFonts w:cs="Times New Roman" w:hint="eastAsia"/>
          <w:szCs w:val="24"/>
        </w:rPr>
        <w:t>1831.68</w:t>
      </w:r>
      <w:r>
        <w:rPr>
          <w:rFonts w:cs="Times New Roman"/>
          <w:szCs w:val="24"/>
        </w:rPr>
        <w:t>m</w:t>
      </w:r>
      <w:r>
        <w:rPr>
          <w:rFonts w:cs="Times New Roman"/>
          <w:szCs w:val="24"/>
          <w:vertAlign w:val="superscript"/>
        </w:rPr>
        <w:t>3</w:t>
      </w:r>
      <w:r>
        <w:rPr>
          <w:rFonts w:cs="Times New Roman"/>
          <w:szCs w:val="24"/>
        </w:rPr>
        <w:t>/a</w:t>
      </w:r>
      <w:r>
        <w:rPr>
          <w:rFonts w:cs="Times New Roman" w:hint="eastAsia"/>
          <w:szCs w:val="24"/>
        </w:rPr>
        <w:t>），</w:t>
      </w:r>
      <w:r>
        <w:rPr>
          <w:rFonts w:cs="Times New Roman"/>
          <w:szCs w:val="24"/>
        </w:rPr>
        <w:t>新鲜水用量为</w:t>
      </w:r>
      <w:r>
        <w:rPr>
          <w:rFonts w:cs="Times New Roman" w:hint="eastAsia"/>
          <w:szCs w:val="24"/>
        </w:rPr>
        <w:t>87.608</w:t>
      </w:r>
      <w:r>
        <w:rPr>
          <w:rFonts w:cs="Times New Roman"/>
          <w:szCs w:val="24"/>
        </w:rPr>
        <w:t>m</w:t>
      </w:r>
      <w:r>
        <w:rPr>
          <w:rFonts w:cs="Times New Roman"/>
          <w:szCs w:val="24"/>
          <w:vertAlign w:val="superscript"/>
        </w:rPr>
        <w:t>3</w:t>
      </w:r>
      <w:r>
        <w:rPr>
          <w:rFonts w:cs="Times New Roman"/>
          <w:szCs w:val="24"/>
        </w:rPr>
        <w:t>/d</w:t>
      </w:r>
      <w:r>
        <w:rPr>
          <w:rFonts w:cs="Times New Roman" w:hint="eastAsia"/>
          <w:szCs w:val="24"/>
        </w:rPr>
        <w:t>（</w:t>
      </w:r>
      <w:r>
        <w:rPr>
          <w:rFonts w:cs="Times New Roman"/>
          <w:szCs w:val="24"/>
        </w:rPr>
        <w:t>24530.24m</w:t>
      </w:r>
      <w:r>
        <w:rPr>
          <w:rFonts w:cs="Times New Roman"/>
          <w:szCs w:val="24"/>
          <w:vertAlign w:val="superscript"/>
        </w:rPr>
        <w:t>3</w:t>
      </w:r>
      <w:r>
        <w:rPr>
          <w:rFonts w:cs="Times New Roman"/>
          <w:szCs w:val="24"/>
        </w:rPr>
        <w:t>/a</w:t>
      </w:r>
      <w:r>
        <w:rPr>
          <w:rFonts w:cs="Times New Roman" w:hint="eastAsia"/>
          <w:szCs w:val="24"/>
        </w:rPr>
        <w:t>）。</w:t>
      </w:r>
      <w:r>
        <w:rPr>
          <w:rFonts w:ascii="宋体" w:hAnsi="宋体" w:hint="eastAsia"/>
        </w:rPr>
        <w:t>该部分用水全部被物料吸收或自然蒸发，无废水产生。</w:t>
      </w:r>
    </w:p>
    <w:p w14:paraId="70E9A979" w14:textId="77777777" w:rsidR="00E579B9" w:rsidRDefault="006A1398">
      <w:pPr>
        <w:pStyle w:val="226"/>
        <w:spacing w:line="360" w:lineRule="auto"/>
        <w:ind w:firstLineChars="0"/>
      </w:pP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hint="eastAsia"/>
        </w:rPr>
        <w:t>车辆冲洗装置废水</w:t>
      </w:r>
    </w:p>
    <w:p w14:paraId="4F176CDC" w14:textId="77777777" w:rsidR="00E579B9" w:rsidRDefault="006A1398">
      <w:pPr>
        <w:pStyle w:val="226"/>
        <w:spacing w:line="360" w:lineRule="auto"/>
      </w:pPr>
      <w:r>
        <w:rPr>
          <w:rFonts w:ascii="宋体" w:hAnsi="宋体" w:hint="eastAsia"/>
        </w:rPr>
        <w:t>为降低运输过程中的扬尘产生，评价要求在矿区进出口处设置轮胎清洗装置，并利用利用施工期在矿区进出口设立</w:t>
      </w:r>
      <w:r>
        <w:t>6×8m</w:t>
      </w:r>
      <w:r>
        <w:rPr>
          <w:rFonts w:ascii="宋体" w:hAnsi="宋体" w:hint="eastAsia"/>
        </w:rPr>
        <w:t>的洗车台，并设置</w:t>
      </w:r>
      <w:r>
        <w:rPr>
          <w:rFonts w:hint="eastAsia"/>
        </w:rPr>
        <w:t>5</w:t>
      </w:r>
      <w:r>
        <w:t>m</w:t>
      </w:r>
      <w:r>
        <w:rPr>
          <w:vertAlign w:val="superscript"/>
        </w:rPr>
        <w:t>3</w:t>
      </w:r>
      <w:r>
        <w:rPr>
          <w:rFonts w:ascii="宋体" w:hAnsi="宋体" w:hint="eastAsia"/>
        </w:rPr>
        <w:t>的沉淀池</w:t>
      </w:r>
      <w:r>
        <w:t>1</w:t>
      </w:r>
      <w:r>
        <w:rPr>
          <w:rFonts w:ascii="宋体" w:hAnsi="宋体" w:hint="eastAsia"/>
        </w:rPr>
        <w:t>座，将轮胎</w:t>
      </w:r>
      <w:proofErr w:type="gramStart"/>
      <w:r>
        <w:rPr>
          <w:rFonts w:ascii="宋体" w:hAnsi="宋体" w:hint="eastAsia"/>
        </w:rPr>
        <w:t>清洗水</w:t>
      </w:r>
      <w:proofErr w:type="gramEnd"/>
      <w:r>
        <w:rPr>
          <w:rFonts w:ascii="宋体" w:hAnsi="宋体" w:hint="eastAsia"/>
        </w:rPr>
        <w:t>进行沉淀处理后重复利用，不外排。项目产品运输车辆进出厂区约</w:t>
      </w:r>
      <w:r>
        <w:t>330</w:t>
      </w:r>
      <w:r>
        <w:rPr>
          <w:rFonts w:ascii="宋体" w:hAnsi="宋体" w:hint="eastAsia"/>
        </w:rPr>
        <w:t>次</w:t>
      </w:r>
      <w:r>
        <w:t>/d</w:t>
      </w:r>
      <w:r>
        <w:rPr>
          <w:rFonts w:ascii="宋体" w:hAnsi="宋体" w:hint="eastAsia"/>
        </w:rPr>
        <w:t>，车辆</w:t>
      </w:r>
      <w:proofErr w:type="gramStart"/>
      <w:r>
        <w:rPr>
          <w:rFonts w:ascii="宋体" w:hAnsi="宋体" w:hint="eastAsia"/>
        </w:rPr>
        <w:t>冲洗按</w:t>
      </w:r>
      <w:proofErr w:type="gramEnd"/>
      <w:r>
        <w:t>10L/</w:t>
      </w:r>
      <w:r>
        <w:rPr>
          <w:rFonts w:ascii="宋体" w:hAnsi="宋体" w:hint="eastAsia"/>
        </w:rPr>
        <w:t>车计算，需要水</w:t>
      </w:r>
      <w:r>
        <w:t>3.3m</w:t>
      </w:r>
      <w:r>
        <w:rPr>
          <w:vertAlign w:val="superscript"/>
        </w:rPr>
        <w:t>3</w:t>
      </w:r>
      <w:r>
        <w:t>/d</w:t>
      </w:r>
      <w:r>
        <w:rPr>
          <w:rFonts w:ascii="宋体" w:hAnsi="宋体" w:hint="eastAsia"/>
        </w:rPr>
        <w:t>，冲洗后的废水流入循环水池沉淀后回用于洗车作业，补充水量约为用水量的</w:t>
      </w:r>
      <w:r>
        <w:rPr>
          <w:rFonts w:hint="eastAsia"/>
        </w:rPr>
        <w:t>20%</w:t>
      </w:r>
      <w:r>
        <w:rPr>
          <w:rFonts w:ascii="宋体" w:hAnsi="宋体" w:hint="eastAsia"/>
        </w:rPr>
        <w:t>，补充水量约为</w:t>
      </w:r>
      <w:r>
        <w:rPr>
          <w:rFonts w:cs="Times New Roman"/>
        </w:rPr>
        <w:t>0.66</w:t>
      </w:r>
      <w:r>
        <w:rPr>
          <w:rFonts w:cs="Times New Roman" w:hint="eastAsia"/>
        </w:rPr>
        <w:t>m</w:t>
      </w:r>
      <w:r>
        <w:rPr>
          <w:rFonts w:hint="eastAsia"/>
          <w:vertAlign w:val="superscript"/>
        </w:rPr>
        <w:t>3</w:t>
      </w:r>
      <w:r>
        <w:rPr>
          <w:rFonts w:hint="eastAsia"/>
        </w:rPr>
        <w:t>/d</w:t>
      </w:r>
      <w:r>
        <w:rPr>
          <w:rFonts w:ascii="宋体" w:hAnsi="宋体" w:hint="eastAsia"/>
        </w:rPr>
        <w:t>。</w:t>
      </w:r>
    </w:p>
    <w:p w14:paraId="50B80EF6" w14:textId="77777777" w:rsidR="00E579B9" w:rsidRDefault="006A1398">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t>生活污水</w:t>
      </w:r>
    </w:p>
    <w:p w14:paraId="4022C171" w14:textId="77777777" w:rsidR="00E579B9" w:rsidRDefault="006A1398">
      <w:r>
        <w:t>项目劳动定员为</w:t>
      </w:r>
      <w:r>
        <w:rPr>
          <w:rFonts w:hint="eastAsia"/>
        </w:rPr>
        <w:t>159</w:t>
      </w:r>
      <w:r>
        <w:t>人，</w:t>
      </w:r>
      <w:r>
        <w:rPr>
          <w:rFonts w:hint="eastAsia"/>
        </w:rPr>
        <w:t>大部分</w:t>
      </w:r>
      <w:r>
        <w:t>为附近村民不在厂内食宿，</w:t>
      </w:r>
      <w:r>
        <w:rPr>
          <w:rFonts w:hint="eastAsia"/>
        </w:rPr>
        <w:t>矿区设置旱厕</w:t>
      </w:r>
      <w:r>
        <w:t>，因此</w:t>
      </w:r>
      <w:r>
        <w:rPr>
          <w:rFonts w:hint="eastAsia"/>
        </w:rPr>
        <w:t>矿区工人</w:t>
      </w:r>
      <w:r>
        <w:t>按</w:t>
      </w:r>
      <w:r>
        <w:t>60L/d•</w:t>
      </w:r>
      <w:r>
        <w:t>人计，则生活用水量为</w:t>
      </w:r>
      <w:r>
        <w:t>9.54m</w:t>
      </w:r>
      <w:r>
        <w:rPr>
          <w:vertAlign w:val="superscript"/>
        </w:rPr>
        <w:t>3</w:t>
      </w:r>
      <w:r>
        <w:t>/d</w:t>
      </w:r>
      <w:r>
        <w:t>（</w:t>
      </w:r>
      <w:r>
        <w:t>2671.2m</w:t>
      </w:r>
      <w:r>
        <w:rPr>
          <w:vertAlign w:val="superscript"/>
        </w:rPr>
        <w:t>3</w:t>
      </w:r>
      <w:r>
        <w:t>/a</w:t>
      </w:r>
      <w:r>
        <w:t>），</w:t>
      </w:r>
      <w:r>
        <w:rPr>
          <w:rFonts w:hint="eastAsia"/>
        </w:rPr>
        <w:t>采矿区</w:t>
      </w:r>
      <w:r>
        <w:t>生活污水产生量为</w:t>
      </w:r>
      <w:r>
        <w:t>7.632m</w:t>
      </w:r>
      <w:r>
        <w:rPr>
          <w:vertAlign w:val="superscript"/>
        </w:rPr>
        <w:t>3</w:t>
      </w:r>
      <w:r>
        <w:t>/d</w:t>
      </w:r>
      <w:r>
        <w:t>（</w:t>
      </w:r>
      <w:r>
        <w:t>2136.93m</w:t>
      </w:r>
      <w:r>
        <w:rPr>
          <w:vertAlign w:val="superscript"/>
        </w:rPr>
        <w:t>3</w:t>
      </w:r>
      <w:r>
        <w:t>/a</w:t>
      </w:r>
      <w:r>
        <w:t>），主要为职工日常</w:t>
      </w:r>
      <w:r>
        <w:rPr>
          <w:rFonts w:hint="eastAsia"/>
        </w:rPr>
        <w:t>盥洗</w:t>
      </w:r>
      <w:r>
        <w:t>废水和粪污水，</w:t>
      </w:r>
      <w:r>
        <w:rPr>
          <w:rFonts w:hint="eastAsia"/>
        </w:rPr>
        <w:t>盥洗</w:t>
      </w:r>
      <w:r>
        <w:t>废水经</w:t>
      </w:r>
      <w:r>
        <w:t>10m</w:t>
      </w:r>
      <w:r>
        <w:rPr>
          <w:vertAlign w:val="superscript"/>
        </w:rPr>
        <w:t>3</w:t>
      </w:r>
      <w:r>
        <w:rPr>
          <w:rFonts w:hint="eastAsia"/>
        </w:rPr>
        <w:t>一体化处理</w:t>
      </w:r>
      <w:r>
        <w:t>后用于厂区洒水降尘</w:t>
      </w:r>
      <w:r>
        <w:rPr>
          <w:rFonts w:hint="eastAsia"/>
        </w:rPr>
        <w:t>，不外排。</w:t>
      </w:r>
      <w:r>
        <w:t>旱厕</w:t>
      </w:r>
      <w:proofErr w:type="gramStart"/>
      <w:r>
        <w:t>粪污由附近</w:t>
      </w:r>
      <w:proofErr w:type="gramEnd"/>
      <w:r>
        <w:t>村民拉走用于</w:t>
      </w:r>
      <w:r>
        <w:rPr>
          <w:rFonts w:hint="eastAsia"/>
        </w:rPr>
        <w:t>肥田。</w:t>
      </w:r>
    </w:p>
    <w:p w14:paraId="1063F03C" w14:textId="0A68BB6A" w:rsidR="00E579B9" w:rsidRDefault="006A1398">
      <w:pPr>
        <w:pStyle w:val="21"/>
      </w:pPr>
      <w:r>
        <w:rPr>
          <w:rFonts w:cs="Times New Roman"/>
        </w:rPr>
        <w:t>表</w:t>
      </w:r>
      <w:r>
        <w:rPr>
          <w:rFonts w:cs="Times New Roman"/>
        </w:rPr>
        <w:t>3.8-</w:t>
      </w:r>
      <w:r>
        <w:rPr>
          <w:rFonts w:cs="Times New Roman" w:hint="eastAsia"/>
        </w:rPr>
        <w:t>3</w:t>
      </w:r>
      <w:r>
        <w:rPr>
          <w:rFonts w:hint="eastAsia"/>
        </w:rPr>
        <w:t>本项目生活</w:t>
      </w:r>
      <w:r>
        <w:t>污水污染源源强核算结果及相关参数一览表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572"/>
        <w:gridCol w:w="765"/>
        <w:gridCol w:w="660"/>
        <w:gridCol w:w="921"/>
        <w:gridCol w:w="728"/>
        <w:gridCol w:w="615"/>
        <w:gridCol w:w="554"/>
        <w:gridCol w:w="865"/>
        <w:gridCol w:w="926"/>
        <w:gridCol w:w="1029"/>
        <w:gridCol w:w="682"/>
      </w:tblGrid>
      <w:tr w:rsidR="00E579B9" w14:paraId="690150D3" w14:textId="77777777">
        <w:trPr>
          <w:tblHeader/>
          <w:jc w:val="center"/>
        </w:trPr>
        <w:tc>
          <w:tcPr>
            <w:tcW w:w="629" w:type="dxa"/>
            <w:vMerge w:val="restart"/>
            <w:tcMar>
              <w:top w:w="57" w:type="dxa"/>
              <w:bottom w:w="57" w:type="dxa"/>
            </w:tcMar>
            <w:vAlign w:val="center"/>
          </w:tcPr>
          <w:p w14:paraId="6503DBA7" w14:textId="77777777" w:rsidR="00E579B9" w:rsidRDefault="006A1398">
            <w:pPr>
              <w:pStyle w:val="aa"/>
            </w:pPr>
            <w:r>
              <w:rPr>
                <w:rFonts w:hint="eastAsia"/>
              </w:rPr>
              <w:lastRenderedPageBreak/>
              <w:t>污染源</w:t>
            </w:r>
          </w:p>
        </w:tc>
        <w:tc>
          <w:tcPr>
            <w:tcW w:w="2918" w:type="dxa"/>
            <w:gridSpan w:val="4"/>
            <w:tcMar>
              <w:top w:w="57" w:type="dxa"/>
              <w:bottom w:w="57" w:type="dxa"/>
            </w:tcMar>
            <w:vAlign w:val="center"/>
          </w:tcPr>
          <w:p w14:paraId="600E75CD" w14:textId="77777777" w:rsidR="00E579B9" w:rsidRDefault="006A1398">
            <w:pPr>
              <w:pStyle w:val="aa"/>
            </w:pPr>
            <w:r>
              <w:rPr>
                <w:rFonts w:hint="eastAsia"/>
              </w:rPr>
              <w:t>污染物</w:t>
            </w:r>
            <w:r>
              <w:t>产生</w:t>
            </w:r>
          </w:p>
        </w:tc>
        <w:tc>
          <w:tcPr>
            <w:tcW w:w="1343" w:type="dxa"/>
            <w:gridSpan w:val="2"/>
            <w:tcMar>
              <w:top w:w="57" w:type="dxa"/>
              <w:bottom w:w="57" w:type="dxa"/>
            </w:tcMar>
            <w:vAlign w:val="center"/>
          </w:tcPr>
          <w:p w14:paraId="25CA1509" w14:textId="77777777" w:rsidR="00E579B9" w:rsidRDefault="006A1398">
            <w:pPr>
              <w:pStyle w:val="aa"/>
            </w:pPr>
            <w:r>
              <w:rPr>
                <w:rFonts w:hint="eastAsia"/>
              </w:rPr>
              <w:t>治理措施</w:t>
            </w:r>
          </w:p>
        </w:tc>
        <w:tc>
          <w:tcPr>
            <w:tcW w:w="3374" w:type="dxa"/>
            <w:gridSpan w:val="4"/>
            <w:tcMar>
              <w:top w:w="57" w:type="dxa"/>
              <w:bottom w:w="57" w:type="dxa"/>
            </w:tcMar>
            <w:vAlign w:val="center"/>
          </w:tcPr>
          <w:p w14:paraId="5495D2C2" w14:textId="77777777" w:rsidR="00E579B9" w:rsidRDefault="006A1398">
            <w:pPr>
              <w:pStyle w:val="aa"/>
            </w:pPr>
            <w:r>
              <w:rPr>
                <w:rFonts w:hint="eastAsia"/>
              </w:rPr>
              <w:t>污染物排放</w:t>
            </w:r>
          </w:p>
        </w:tc>
        <w:tc>
          <w:tcPr>
            <w:tcW w:w="682" w:type="dxa"/>
            <w:vMerge w:val="restart"/>
            <w:tcMar>
              <w:top w:w="57" w:type="dxa"/>
              <w:bottom w:w="57" w:type="dxa"/>
            </w:tcMar>
            <w:vAlign w:val="center"/>
          </w:tcPr>
          <w:p w14:paraId="12C34A2D" w14:textId="77777777" w:rsidR="00E579B9" w:rsidRDefault="006A1398">
            <w:pPr>
              <w:pStyle w:val="aa"/>
            </w:pPr>
            <w:r>
              <w:rPr>
                <w:rFonts w:hint="eastAsia"/>
              </w:rPr>
              <w:t>排放时间</w:t>
            </w:r>
            <w:r>
              <w:rPr>
                <w:rFonts w:hint="eastAsia"/>
              </w:rPr>
              <w:t>(h)</w:t>
            </w:r>
          </w:p>
        </w:tc>
      </w:tr>
      <w:tr w:rsidR="00E579B9" w14:paraId="60A9C2B7" w14:textId="77777777">
        <w:trPr>
          <w:tblHeader/>
          <w:jc w:val="center"/>
        </w:trPr>
        <w:tc>
          <w:tcPr>
            <w:tcW w:w="629" w:type="dxa"/>
            <w:vMerge/>
            <w:tcMar>
              <w:top w:w="57" w:type="dxa"/>
              <w:bottom w:w="57" w:type="dxa"/>
            </w:tcMar>
            <w:vAlign w:val="center"/>
          </w:tcPr>
          <w:p w14:paraId="72869C7F" w14:textId="77777777" w:rsidR="00E579B9" w:rsidRDefault="00E579B9">
            <w:pPr>
              <w:pStyle w:val="aa"/>
            </w:pPr>
          </w:p>
        </w:tc>
        <w:tc>
          <w:tcPr>
            <w:tcW w:w="572" w:type="dxa"/>
            <w:tcMar>
              <w:top w:w="57" w:type="dxa"/>
              <w:bottom w:w="57" w:type="dxa"/>
            </w:tcMar>
            <w:vAlign w:val="center"/>
          </w:tcPr>
          <w:p w14:paraId="312E98EB" w14:textId="77777777" w:rsidR="00E579B9" w:rsidRDefault="006A1398">
            <w:pPr>
              <w:pStyle w:val="aa"/>
            </w:pPr>
            <w:r>
              <w:rPr>
                <w:rFonts w:hint="eastAsia"/>
              </w:rPr>
              <w:t>核算方法</w:t>
            </w:r>
          </w:p>
        </w:tc>
        <w:tc>
          <w:tcPr>
            <w:tcW w:w="765" w:type="dxa"/>
            <w:tcMar>
              <w:top w:w="57" w:type="dxa"/>
              <w:bottom w:w="57" w:type="dxa"/>
            </w:tcMar>
            <w:vAlign w:val="center"/>
          </w:tcPr>
          <w:p w14:paraId="63AD2EAF" w14:textId="77777777" w:rsidR="00E579B9" w:rsidRDefault="006A1398">
            <w:pPr>
              <w:pStyle w:val="aa"/>
            </w:pPr>
            <w:r>
              <w:rPr>
                <w:rFonts w:hint="eastAsia"/>
              </w:rPr>
              <w:t>产生</w:t>
            </w:r>
            <w:r>
              <w:t>废</w:t>
            </w:r>
            <w:r>
              <w:rPr>
                <w:rFonts w:hint="eastAsia"/>
              </w:rPr>
              <w:t>水</w:t>
            </w:r>
            <w:r>
              <w:t>量</w:t>
            </w:r>
            <w:r>
              <w:rPr>
                <w:rFonts w:hint="eastAsia"/>
              </w:rPr>
              <w:t>(m</w:t>
            </w:r>
            <w:r>
              <w:rPr>
                <w:rFonts w:hint="eastAsia"/>
                <w:vertAlign w:val="superscript"/>
              </w:rPr>
              <w:t>3</w:t>
            </w:r>
            <w:r>
              <w:rPr>
                <w:rFonts w:hint="eastAsia"/>
              </w:rPr>
              <w:t>/</w:t>
            </w:r>
            <w:r>
              <w:t>a</w:t>
            </w:r>
            <w:r>
              <w:rPr>
                <w:rFonts w:hint="eastAsia"/>
              </w:rPr>
              <w:t>)</w:t>
            </w:r>
          </w:p>
        </w:tc>
        <w:tc>
          <w:tcPr>
            <w:tcW w:w="660" w:type="dxa"/>
            <w:tcMar>
              <w:top w:w="57" w:type="dxa"/>
              <w:bottom w:w="57" w:type="dxa"/>
            </w:tcMar>
            <w:vAlign w:val="center"/>
          </w:tcPr>
          <w:p w14:paraId="05E4DC13" w14:textId="77777777" w:rsidR="00E579B9" w:rsidRDefault="006A1398">
            <w:pPr>
              <w:pStyle w:val="aa"/>
            </w:pPr>
            <w:r>
              <w:rPr>
                <w:rFonts w:hint="eastAsia"/>
              </w:rPr>
              <w:t>污染物</w:t>
            </w:r>
          </w:p>
        </w:tc>
        <w:tc>
          <w:tcPr>
            <w:tcW w:w="921" w:type="dxa"/>
            <w:tcMar>
              <w:top w:w="57" w:type="dxa"/>
              <w:bottom w:w="57" w:type="dxa"/>
            </w:tcMar>
            <w:vAlign w:val="center"/>
          </w:tcPr>
          <w:p w14:paraId="37DB78FA" w14:textId="77777777" w:rsidR="00E579B9" w:rsidRDefault="006A1398">
            <w:pPr>
              <w:pStyle w:val="aa"/>
            </w:pPr>
            <w:r>
              <w:rPr>
                <w:rFonts w:hint="eastAsia"/>
              </w:rPr>
              <w:t>产生</w:t>
            </w:r>
            <w:r>
              <w:t>浓度</w:t>
            </w:r>
            <w:r>
              <w:rPr>
                <w:rFonts w:hint="eastAsia"/>
              </w:rPr>
              <w:t>(mg/</w:t>
            </w:r>
            <w:r>
              <w:t>L</w:t>
            </w:r>
            <w:r>
              <w:rPr>
                <w:rFonts w:hint="eastAsia"/>
              </w:rPr>
              <w:t>)</w:t>
            </w:r>
          </w:p>
        </w:tc>
        <w:tc>
          <w:tcPr>
            <w:tcW w:w="728" w:type="dxa"/>
            <w:tcMar>
              <w:top w:w="57" w:type="dxa"/>
              <w:bottom w:w="57" w:type="dxa"/>
            </w:tcMar>
            <w:vAlign w:val="center"/>
          </w:tcPr>
          <w:p w14:paraId="79BCF1DF" w14:textId="77777777" w:rsidR="00E579B9" w:rsidRDefault="006A1398">
            <w:pPr>
              <w:pStyle w:val="aa"/>
            </w:pPr>
            <w:r>
              <w:rPr>
                <w:rFonts w:hint="eastAsia"/>
              </w:rPr>
              <w:t>工艺</w:t>
            </w:r>
          </w:p>
        </w:tc>
        <w:tc>
          <w:tcPr>
            <w:tcW w:w="615" w:type="dxa"/>
            <w:tcMar>
              <w:top w:w="57" w:type="dxa"/>
              <w:bottom w:w="57" w:type="dxa"/>
            </w:tcMar>
            <w:vAlign w:val="center"/>
          </w:tcPr>
          <w:p w14:paraId="6097FD28" w14:textId="77777777" w:rsidR="00E579B9" w:rsidRDefault="006A1398">
            <w:pPr>
              <w:pStyle w:val="aa"/>
            </w:pPr>
            <w:r>
              <w:rPr>
                <w:rFonts w:hint="eastAsia"/>
              </w:rPr>
              <w:t>效率</w:t>
            </w:r>
            <w:r>
              <w:rPr>
                <w:rFonts w:hint="eastAsia"/>
              </w:rPr>
              <w:t>(%)</w:t>
            </w:r>
          </w:p>
        </w:tc>
        <w:tc>
          <w:tcPr>
            <w:tcW w:w="554" w:type="dxa"/>
            <w:tcMar>
              <w:top w:w="57" w:type="dxa"/>
              <w:bottom w:w="57" w:type="dxa"/>
            </w:tcMar>
            <w:vAlign w:val="center"/>
          </w:tcPr>
          <w:p w14:paraId="41D7DF31" w14:textId="77777777" w:rsidR="00E579B9" w:rsidRDefault="006A1398">
            <w:pPr>
              <w:pStyle w:val="aa"/>
            </w:pPr>
            <w:r>
              <w:rPr>
                <w:rFonts w:hint="eastAsia"/>
              </w:rPr>
              <w:t>核算方法</w:t>
            </w:r>
          </w:p>
        </w:tc>
        <w:tc>
          <w:tcPr>
            <w:tcW w:w="865" w:type="dxa"/>
            <w:tcMar>
              <w:top w:w="57" w:type="dxa"/>
              <w:bottom w:w="57" w:type="dxa"/>
            </w:tcMar>
            <w:vAlign w:val="center"/>
          </w:tcPr>
          <w:p w14:paraId="119A37B7" w14:textId="77777777" w:rsidR="00E579B9" w:rsidRDefault="006A1398">
            <w:pPr>
              <w:pStyle w:val="aa"/>
            </w:pPr>
            <w:r>
              <w:rPr>
                <w:rFonts w:hint="eastAsia"/>
              </w:rPr>
              <w:t>排放废水</w:t>
            </w:r>
            <w:r>
              <w:t>量</w:t>
            </w:r>
            <w:r>
              <w:rPr>
                <w:rFonts w:hint="eastAsia"/>
              </w:rPr>
              <w:t>(m</w:t>
            </w:r>
            <w:r>
              <w:rPr>
                <w:rFonts w:hint="eastAsia"/>
                <w:vertAlign w:val="superscript"/>
              </w:rPr>
              <w:t>3</w:t>
            </w:r>
            <w:r>
              <w:rPr>
                <w:rFonts w:hint="eastAsia"/>
              </w:rPr>
              <w:t>/</w:t>
            </w:r>
            <w:r>
              <w:t>a</w:t>
            </w:r>
            <w:r>
              <w:rPr>
                <w:rFonts w:hint="eastAsia"/>
              </w:rPr>
              <w:t>)</w:t>
            </w:r>
          </w:p>
        </w:tc>
        <w:tc>
          <w:tcPr>
            <w:tcW w:w="926" w:type="dxa"/>
            <w:tcMar>
              <w:top w:w="57" w:type="dxa"/>
              <w:bottom w:w="57" w:type="dxa"/>
            </w:tcMar>
            <w:vAlign w:val="center"/>
          </w:tcPr>
          <w:p w14:paraId="645823F2" w14:textId="77777777" w:rsidR="00E579B9" w:rsidRDefault="006A1398">
            <w:pPr>
              <w:pStyle w:val="aa"/>
            </w:pPr>
            <w:r>
              <w:rPr>
                <w:rFonts w:hint="eastAsia"/>
              </w:rPr>
              <w:t>排放</w:t>
            </w:r>
            <w:r>
              <w:t>浓度</w:t>
            </w:r>
            <w:r>
              <w:rPr>
                <w:rFonts w:hint="eastAsia"/>
              </w:rPr>
              <w:t>(mg/</w:t>
            </w:r>
            <w:r>
              <w:t>)</w:t>
            </w:r>
          </w:p>
        </w:tc>
        <w:tc>
          <w:tcPr>
            <w:tcW w:w="1029" w:type="dxa"/>
            <w:tcMar>
              <w:top w:w="57" w:type="dxa"/>
              <w:bottom w:w="57" w:type="dxa"/>
            </w:tcMar>
            <w:vAlign w:val="center"/>
          </w:tcPr>
          <w:p w14:paraId="2467EB29" w14:textId="77777777" w:rsidR="00E579B9" w:rsidRDefault="006A1398">
            <w:pPr>
              <w:pStyle w:val="aa"/>
            </w:pPr>
            <w:r>
              <w:rPr>
                <w:rFonts w:hint="eastAsia"/>
              </w:rPr>
              <w:t>排放量</w:t>
            </w:r>
            <w:r>
              <w:rPr>
                <w:rFonts w:hint="eastAsia"/>
              </w:rPr>
              <w:t>(</w:t>
            </w:r>
            <w:r>
              <w:t>t</w:t>
            </w:r>
            <w:r>
              <w:rPr>
                <w:rFonts w:hint="eastAsia"/>
              </w:rPr>
              <w:t>/</w:t>
            </w:r>
            <w:r>
              <w:t>a)</w:t>
            </w:r>
          </w:p>
        </w:tc>
        <w:tc>
          <w:tcPr>
            <w:tcW w:w="682" w:type="dxa"/>
            <w:vMerge/>
            <w:tcMar>
              <w:top w:w="57" w:type="dxa"/>
              <w:bottom w:w="57" w:type="dxa"/>
            </w:tcMar>
            <w:vAlign w:val="center"/>
          </w:tcPr>
          <w:p w14:paraId="41B53B1E" w14:textId="77777777" w:rsidR="00E579B9" w:rsidRDefault="00E579B9">
            <w:pPr>
              <w:pStyle w:val="aa"/>
            </w:pPr>
          </w:p>
        </w:tc>
      </w:tr>
      <w:tr w:rsidR="00E579B9" w14:paraId="4E58BB48" w14:textId="77777777">
        <w:trPr>
          <w:tblHeader/>
          <w:jc w:val="center"/>
        </w:trPr>
        <w:tc>
          <w:tcPr>
            <w:tcW w:w="629" w:type="dxa"/>
            <w:vMerge w:val="restart"/>
            <w:tcMar>
              <w:top w:w="57" w:type="dxa"/>
              <w:bottom w:w="57" w:type="dxa"/>
            </w:tcMar>
            <w:vAlign w:val="center"/>
          </w:tcPr>
          <w:p w14:paraId="6B9FD7FF" w14:textId="77777777" w:rsidR="00E579B9" w:rsidRDefault="006A1398">
            <w:pPr>
              <w:pStyle w:val="aa"/>
            </w:pPr>
            <w:r>
              <w:rPr>
                <w:rFonts w:hint="eastAsia"/>
              </w:rPr>
              <w:t>生活污水</w:t>
            </w:r>
          </w:p>
        </w:tc>
        <w:tc>
          <w:tcPr>
            <w:tcW w:w="572" w:type="dxa"/>
            <w:vMerge w:val="restart"/>
            <w:tcMar>
              <w:top w:w="57" w:type="dxa"/>
              <w:bottom w:w="57" w:type="dxa"/>
            </w:tcMar>
            <w:vAlign w:val="center"/>
          </w:tcPr>
          <w:p w14:paraId="6E2E3297" w14:textId="77777777" w:rsidR="00E579B9" w:rsidRDefault="006A1398">
            <w:pPr>
              <w:pStyle w:val="aa"/>
            </w:pPr>
            <w:r>
              <w:rPr>
                <w:rFonts w:hint="eastAsia"/>
              </w:rPr>
              <w:t>经验系数</w:t>
            </w:r>
          </w:p>
        </w:tc>
        <w:tc>
          <w:tcPr>
            <w:tcW w:w="765" w:type="dxa"/>
            <w:vMerge w:val="restart"/>
            <w:tcMar>
              <w:top w:w="57" w:type="dxa"/>
              <w:bottom w:w="57" w:type="dxa"/>
            </w:tcMar>
            <w:vAlign w:val="center"/>
          </w:tcPr>
          <w:p w14:paraId="7D57CCDA" w14:textId="77777777" w:rsidR="00E579B9" w:rsidRDefault="006A1398">
            <w:pPr>
              <w:pStyle w:val="aa"/>
              <w:jc w:val="left"/>
            </w:pPr>
            <w:r>
              <w:t>2163.93</w:t>
            </w:r>
          </w:p>
        </w:tc>
        <w:tc>
          <w:tcPr>
            <w:tcW w:w="660" w:type="dxa"/>
            <w:tcMar>
              <w:top w:w="57" w:type="dxa"/>
              <w:bottom w:w="57" w:type="dxa"/>
            </w:tcMar>
            <w:vAlign w:val="center"/>
          </w:tcPr>
          <w:p w14:paraId="2C5ACD18" w14:textId="77777777" w:rsidR="00E579B9" w:rsidRDefault="006A1398">
            <w:pPr>
              <w:pStyle w:val="aa"/>
            </w:pPr>
            <w:r>
              <w:rPr>
                <w:rFonts w:hint="eastAsia"/>
              </w:rPr>
              <w:t>C</w:t>
            </w:r>
            <w:r>
              <w:t>OD</w:t>
            </w:r>
          </w:p>
        </w:tc>
        <w:tc>
          <w:tcPr>
            <w:tcW w:w="921" w:type="dxa"/>
            <w:tcMar>
              <w:top w:w="57" w:type="dxa"/>
              <w:bottom w:w="57" w:type="dxa"/>
            </w:tcMar>
            <w:vAlign w:val="center"/>
          </w:tcPr>
          <w:p w14:paraId="327ADBF9" w14:textId="77777777" w:rsidR="00E579B9" w:rsidRDefault="006A1398">
            <w:pPr>
              <w:pStyle w:val="aa"/>
            </w:pPr>
            <w:r>
              <w:rPr>
                <w:rFonts w:hint="eastAsia"/>
              </w:rPr>
              <w:t>3</w:t>
            </w:r>
            <w:r>
              <w:t>00</w:t>
            </w:r>
          </w:p>
        </w:tc>
        <w:tc>
          <w:tcPr>
            <w:tcW w:w="728" w:type="dxa"/>
            <w:vMerge w:val="restart"/>
            <w:tcMar>
              <w:top w:w="57" w:type="dxa"/>
              <w:bottom w:w="57" w:type="dxa"/>
            </w:tcMar>
            <w:vAlign w:val="center"/>
          </w:tcPr>
          <w:p w14:paraId="2E55B986" w14:textId="77777777" w:rsidR="00E579B9" w:rsidRDefault="006A1398">
            <w:pPr>
              <w:pStyle w:val="aa"/>
            </w:pPr>
            <w:r>
              <w:rPr>
                <w:rFonts w:hint="eastAsia"/>
              </w:rPr>
              <w:t>一体化污水处理设施</w:t>
            </w:r>
          </w:p>
        </w:tc>
        <w:tc>
          <w:tcPr>
            <w:tcW w:w="615" w:type="dxa"/>
            <w:vMerge w:val="restart"/>
            <w:tcMar>
              <w:top w:w="57" w:type="dxa"/>
              <w:bottom w:w="57" w:type="dxa"/>
            </w:tcMar>
            <w:vAlign w:val="center"/>
          </w:tcPr>
          <w:p w14:paraId="29BB09E5" w14:textId="77777777" w:rsidR="00E579B9" w:rsidRDefault="006A1398">
            <w:pPr>
              <w:pStyle w:val="aa"/>
            </w:pPr>
            <w:r>
              <w:rPr>
                <w:rFonts w:hint="eastAsia"/>
              </w:rPr>
              <w:t>6</w:t>
            </w:r>
            <w:r>
              <w:t>0</w:t>
            </w:r>
          </w:p>
        </w:tc>
        <w:tc>
          <w:tcPr>
            <w:tcW w:w="554" w:type="dxa"/>
            <w:vMerge w:val="restart"/>
            <w:tcMar>
              <w:top w:w="57" w:type="dxa"/>
              <w:bottom w:w="57" w:type="dxa"/>
            </w:tcMar>
            <w:vAlign w:val="center"/>
          </w:tcPr>
          <w:p w14:paraId="07776339" w14:textId="77777777" w:rsidR="00E579B9" w:rsidRDefault="006A1398">
            <w:pPr>
              <w:pStyle w:val="aa"/>
            </w:pPr>
            <w:r>
              <w:rPr>
                <w:rFonts w:hint="eastAsia"/>
              </w:rPr>
              <w:t>经验系数法</w:t>
            </w:r>
          </w:p>
        </w:tc>
        <w:tc>
          <w:tcPr>
            <w:tcW w:w="865" w:type="dxa"/>
            <w:vMerge w:val="restart"/>
            <w:tcMar>
              <w:top w:w="57" w:type="dxa"/>
              <w:bottom w:w="57" w:type="dxa"/>
            </w:tcMar>
            <w:vAlign w:val="center"/>
          </w:tcPr>
          <w:p w14:paraId="0A262AB2" w14:textId="77777777" w:rsidR="00E579B9" w:rsidRDefault="006A1398">
            <w:pPr>
              <w:pStyle w:val="aa"/>
            </w:pPr>
            <w:r>
              <w:rPr>
                <w:rFonts w:hint="eastAsia"/>
              </w:rPr>
              <w:t>7</w:t>
            </w:r>
            <w:r>
              <w:t>.632</w:t>
            </w:r>
          </w:p>
        </w:tc>
        <w:tc>
          <w:tcPr>
            <w:tcW w:w="926" w:type="dxa"/>
            <w:tcMar>
              <w:top w:w="57" w:type="dxa"/>
              <w:bottom w:w="57" w:type="dxa"/>
            </w:tcMar>
            <w:vAlign w:val="center"/>
          </w:tcPr>
          <w:p w14:paraId="7540AFD9" w14:textId="77777777" w:rsidR="00E579B9" w:rsidRDefault="006A1398">
            <w:pPr>
              <w:pStyle w:val="aa"/>
            </w:pPr>
            <w:r>
              <w:rPr>
                <w:rFonts w:hint="eastAsia"/>
              </w:rPr>
              <w:t>1</w:t>
            </w:r>
            <w:r>
              <w:t>20</w:t>
            </w:r>
          </w:p>
        </w:tc>
        <w:tc>
          <w:tcPr>
            <w:tcW w:w="1029" w:type="dxa"/>
            <w:tcMar>
              <w:top w:w="57" w:type="dxa"/>
              <w:bottom w:w="57" w:type="dxa"/>
            </w:tcMar>
            <w:vAlign w:val="center"/>
          </w:tcPr>
          <w:p w14:paraId="4DA71915" w14:textId="77777777" w:rsidR="00E579B9" w:rsidRDefault="006A1398">
            <w:pPr>
              <w:pStyle w:val="aa"/>
            </w:pPr>
            <w:r>
              <w:rPr>
                <w:rFonts w:hint="eastAsia"/>
              </w:rPr>
              <w:t>0.2597</w:t>
            </w:r>
          </w:p>
        </w:tc>
        <w:tc>
          <w:tcPr>
            <w:tcW w:w="682" w:type="dxa"/>
            <w:tcMar>
              <w:top w:w="57" w:type="dxa"/>
              <w:bottom w:w="57" w:type="dxa"/>
            </w:tcMar>
            <w:vAlign w:val="center"/>
          </w:tcPr>
          <w:p w14:paraId="1E7A2135" w14:textId="77777777" w:rsidR="00E579B9" w:rsidRDefault="006A1398">
            <w:pPr>
              <w:pStyle w:val="aa"/>
            </w:pPr>
            <w:r>
              <w:rPr>
                <w:rFonts w:hint="eastAsia"/>
              </w:rPr>
              <w:t>4</w:t>
            </w:r>
            <w:r>
              <w:t>480</w:t>
            </w:r>
          </w:p>
        </w:tc>
      </w:tr>
      <w:tr w:rsidR="00E579B9" w14:paraId="30463C46" w14:textId="77777777">
        <w:trPr>
          <w:tblHeader/>
          <w:jc w:val="center"/>
        </w:trPr>
        <w:tc>
          <w:tcPr>
            <w:tcW w:w="629" w:type="dxa"/>
            <w:vMerge/>
            <w:tcMar>
              <w:top w:w="57" w:type="dxa"/>
              <w:bottom w:w="57" w:type="dxa"/>
            </w:tcMar>
            <w:vAlign w:val="center"/>
          </w:tcPr>
          <w:p w14:paraId="3D158881" w14:textId="77777777" w:rsidR="00E579B9" w:rsidRDefault="00E579B9">
            <w:pPr>
              <w:pStyle w:val="aa"/>
            </w:pPr>
          </w:p>
        </w:tc>
        <w:tc>
          <w:tcPr>
            <w:tcW w:w="572" w:type="dxa"/>
            <w:vMerge/>
            <w:tcMar>
              <w:top w:w="57" w:type="dxa"/>
              <w:bottom w:w="57" w:type="dxa"/>
            </w:tcMar>
            <w:vAlign w:val="center"/>
          </w:tcPr>
          <w:p w14:paraId="7E22A469" w14:textId="77777777" w:rsidR="00E579B9" w:rsidRDefault="00E579B9">
            <w:pPr>
              <w:pStyle w:val="aa"/>
            </w:pPr>
          </w:p>
        </w:tc>
        <w:tc>
          <w:tcPr>
            <w:tcW w:w="765" w:type="dxa"/>
            <w:vMerge/>
            <w:tcMar>
              <w:top w:w="57" w:type="dxa"/>
              <w:bottom w:w="57" w:type="dxa"/>
            </w:tcMar>
            <w:vAlign w:val="center"/>
          </w:tcPr>
          <w:p w14:paraId="120A5166" w14:textId="77777777" w:rsidR="00E579B9" w:rsidRDefault="00E579B9">
            <w:pPr>
              <w:pStyle w:val="aa"/>
            </w:pPr>
          </w:p>
        </w:tc>
        <w:tc>
          <w:tcPr>
            <w:tcW w:w="660" w:type="dxa"/>
            <w:tcMar>
              <w:top w:w="57" w:type="dxa"/>
              <w:bottom w:w="57" w:type="dxa"/>
            </w:tcMar>
            <w:vAlign w:val="center"/>
          </w:tcPr>
          <w:p w14:paraId="30E17645" w14:textId="77777777" w:rsidR="00E579B9" w:rsidRDefault="006A1398">
            <w:pPr>
              <w:pStyle w:val="aa"/>
            </w:pPr>
            <w:r>
              <w:rPr>
                <w:rFonts w:hint="eastAsia"/>
              </w:rPr>
              <w:t>氨氮</w:t>
            </w:r>
          </w:p>
        </w:tc>
        <w:tc>
          <w:tcPr>
            <w:tcW w:w="921" w:type="dxa"/>
            <w:tcMar>
              <w:top w:w="57" w:type="dxa"/>
              <w:bottom w:w="57" w:type="dxa"/>
            </w:tcMar>
            <w:vAlign w:val="center"/>
          </w:tcPr>
          <w:p w14:paraId="54830217" w14:textId="77777777" w:rsidR="00E579B9" w:rsidRDefault="006A1398">
            <w:pPr>
              <w:pStyle w:val="aa"/>
            </w:pPr>
            <w:r>
              <w:rPr>
                <w:rFonts w:hint="eastAsia"/>
              </w:rPr>
              <w:t>2</w:t>
            </w:r>
            <w:r>
              <w:t>5</w:t>
            </w:r>
          </w:p>
        </w:tc>
        <w:tc>
          <w:tcPr>
            <w:tcW w:w="728" w:type="dxa"/>
            <w:vMerge/>
            <w:tcMar>
              <w:top w:w="57" w:type="dxa"/>
              <w:bottom w:w="57" w:type="dxa"/>
            </w:tcMar>
            <w:vAlign w:val="center"/>
          </w:tcPr>
          <w:p w14:paraId="40F42211" w14:textId="77777777" w:rsidR="00E579B9" w:rsidRDefault="00E579B9">
            <w:pPr>
              <w:pStyle w:val="aa"/>
            </w:pPr>
          </w:p>
        </w:tc>
        <w:tc>
          <w:tcPr>
            <w:tcW w:w="615" w:type="dxa"/>
            <w:vMerge/>
            <w:tcMar>
              <w:top w:w="57" w:type="dxa"/>
              <w:bottom w:w="57" w:type="dxa"/>
            </w:tcMar>
            <w:vAlign w:val="center"/>
          </w:tcPr>
          <w:p w14:paraId="70CBCDB9" w14:textId="77777777" w:rsidR="00E579B9" w:rsidRDefault="00E579B9">
            <w:pPr>
              <w:pStyle w:val="aa"/>
            </w:pPr>
          </w:p>
        </w:tc>
        <w:tc>
          <w:tcPr>
            <w:tcW w:w="554" w:type="dxa"/>
            <w:vMerge/>
            <w:tcMar>
              <w:top w:w="57" w:type="dxa"/>
              <w:bottom w:w="57" w:type="dxa"/>
            </w:tcMar>
            <w:vAlign w:val="center"/>
          </w:tcPr>
          <w:p w14:paraId="55A03375" w14:textId="77777777" w:rsidR="00E579B9" w:rsidRDefault="00E579B9">
            <w:pPr>
              <w:pStyle w:val="aa"/>
            </w:pPr>
          </w:p>
        </w:tc>
        <w:tc>
          <w:tcPr>
            <w:tcW w:w="865" w:type="dxa"/>
            <w:vMerge/>
            <w:tcMar>
              <w:top w:w="57" w:type="dxa"/>
              <w:bottom w:w="57" w:type="dxa"/>
            </w:tcMar>
            <w:vAlign w:val="center"/>
          </w:tcPr>
          <w:p w14:paraId="7DE2F614" w14:textId="77777777" w:rsidR="00E579B9" w:rsidRDefault="00E579B9">
            <w:pPr>
              <w:pStyle w:val="aa"/>
            </w:pPr>
          </w:p>
        </w:tc>
        <w:tc>
          <w:tcPr>
            <w:tcW w:w="926" w:type="dxa"/>
            <w:tcMar>
              <w:top w:w="57" w:type="dxa"/>
              <w:bottom w:w="57" w:type="dxa"/>
            </w:tcMar>
            <w:vAlign w:val="center"/>
          </w:tcPr>
          <w:p w14:paraId="070750A9" w14:textId="77777777" w:rsidR="00E579B9" w:rsidRDefault="006A1398">
            <w:pPr>
              <w:pStyle w:val="aa"/>
            </w:pPr>
            <w:r>
              <w:rPr>
                <w:rFonts w:hint="eastAsia"/>
              </w:rPr>
              <w:t>1</w:t>
            </w:r>
            <w:r>
              <w:t>0</w:t>
            </w:r>
          </w:p>
        </w:tc>
        <w:tc>
          <w:tcPr>
            <w:tcW w:w="1029" w:type="dxa"/>
            <w:tcMar>
              <w:top w:w="57" w:type="dxa"/>
              <w:bottom w:w="57" w:type="dxa"/>
            </w:tcMar>
            <w:vAlign w:val="center"/>
          </w:tcPr>
          <w:p w14:paraId="3EAE0C61" w14:textId="77777777" w:rsidR="00E579B9" w:rsidRDefault="006A1398">
            <w:pPr>
              <w:pStyle w:val="aa"/>
            </w:pPr>
            <w:r>
              <w:rPr>
                <w:rFonts w:hint="eastAsia"/>
              </w:rPr>
              <w:t>0.02137</w:t>
            </w:r>
          </w:p>
        </w:tc>
        <w:tc>
          <w:tcPr>
            <w:tcW w:w="682" w:type="dxa"/>
            <w:tcMar>
              <w:top w:w="57" w:type="dxa"/>
              <w:bottom w:w="57" w:type="dxa"/>
            </w:tcMar>
            <w:vAlign w:val="center"/>
          </w:tcPr>
          <w:p w14:paraId="361DCCCA" w14:textId="77777777" w:rsidR="00E579B9" w:rsidRDefault="006A1398">
            <w:pPr>
              <w:pStyle w:val="aa"/>
            </w:pPr>
            <w:r>
              <w:rPr>
                <w:rFonts w:hint="eastAsia"/>
              </w:rPr>
              <w:t>4</w:t>
            </w:r>
            <w:r>
              <w:t>480</w:t>
            </w:r>
          </w:p>
        </w:tc>
      </w:tr>
    </w:tbl>
    <w:p w14:paraId="11830992" w14:textId="77777777" w:rsidR="00E579B9" w:rsidRDefault="006A1398">
      <w:pPr>
        <w:snapToGrid w:val="0"/>
        <w:ind w:firstLineChars="0" w:firstLine="482"/>
      </w:pPr>
      <w:r>
        <w:fldChar w:fldCharType="begin"/>
      </w:r>
      <w:r>
        <w:instrText xml:space="preserve"> </w:instrText>
      </w:r>
      <w:r>
        <w:rPr>
          <w:rFonts w:hint="eastAsia"/>
        </w:rPr>
        <w:instrText>= 5 \* GB3</w:instrText>
      </w:r>
      <w:r>
        <w:instrText xml:space="preserve"> </w:instrText>
      </w:r>
      <w:r>
        <w:fldChar w:fldCharType="separate"/>
      </w:r>
      <w:r>
        <w:rPr>
          <w:rFonts w:hint="eastAsia"/>
        </w:rPr>
        <w:t>⑤</w:t>
      </w:r>
      <w:r>
        <w:fldChar w:fldCharType="end"/>
      </w:r>
      <w:r>
        <w:t>露天采场初期</w:t>
      </w:r>
      <w:r>
        <w:rPr>
          <w:rFonts w:hint="eastAsia"/>
        </w:rPr>
        <w:t>雨水</w:t>
      </w:r>
    </w:p>
    <w:p w14:paraId="6B12EC18" w14:textId="77777777" w:rsidR="00E579B9" w:rsidRDefault="006A1398">
      <w:pPr>
        <w:pStyle w:val="226"/>
        <w:snapToGrid w:val="0"/>
        <w:spacing w:line="360" w:lineRule="auto"/>
        <w:ind w:firstLineChars="0" w:firstLine="482"/>
        <w:jc w:val="left"/>
      </w:pPr>
      <w:r>
        <w:rPr>
          <w:rFonts w:ascii="宋体" w:hAnsi="宋体" w:hint="eastAsia"/>
        </w:rPr>
        <w:t>本项目矿山为山坡型露天采石场。根据矿山终了境界图，露采区最终将形成</w:t>
      </w:r>
      <w:r>
        <w:t>1</w:t>
      </w:r>
      <w:r>
        <w:rPr>
          <w:rFonts w:ascii="宋体" w:hAnsi="宋体" w:hint="eastAsia"/>
        </w:rPr>
        <w:t>个凹陷开采平台，评价建议在该平台形成后配置水泵，及时将汇集雨水外排至附近山沟。雨水顺排水沟逐渐沉淀，水中悬浮物质会逐渐减少，不会对地表水体造成明显影响。</w:t>
      </w:r>
    </w:p>
    <w:p w14:paraId="4FF84E8D" w14:textId="77777777" w:rsidR="00E579B9" w:rsidRDefault="006A1398">
      <w:r>
        <w:t>3.8.2.3</w:t>
      </w:r>
      <w:r>
        <w:t>声环境影响及</w:t>
      </w:r>
      <w:r>
        <w:rPr>
          <w:rFonts w:hint="eastAsia"/>
        </w:rPr>
        <w:t>源强核算</w:t>
      </w:r>
    </w:p>
    <w:p w14:paraId="03EA5E8E" w14:textId="77777777" w:rsidR="00E579B9" w:rsidRDefault="006A1398">
      <w:r>
        <w:t>项目运营期噪声主要来源于采区爆破噪声、生产设备噪声等。</w:t>
      </w:r>
    </w:p>
    <w:p w14:paraId="513A0D34" w14:textId="77777777" w:rsidR="00E579B9" w:rsidRDefault="006A1398">
      <w:r>
        <w:t>（</w:t>
      </w:r>
      <w:r>
        <w:rPr>
          <w:rFonts w:hint="eastAsia"/>
        </w:rPr>
        <w:t>1</w:t>
      </w:r>
      <w:r>
        <w:t>）采区爆破噪声</w:t>
      </w:r>
    </w:p>
    <w:p w14:paraId="3B1976C2" w14:textId="77777777" w:rsidR="00E579B9" w:rsidRDefault="006A1398">
      <w:pPr>
        <w:rPr>
          <w:kern w:val="10"/>
        </w:rPr>
      </w:pPr>
      <w:r>
        <w:t>爆破噪声为瞬时性噪声，声级值较大，可达</w:t>
      </w:r>
      <w:r>
        <w:t>120-130dB</w:t>
      </w:r>
      <w:r>
        <w:t>（</w:t>
      </w:r>
      <w:r>
        <w:t>A</w:t>
      </w:r>
      <w:r>
        <w:t>），</w:t>
      </w:r>
      <w:r>
        <w:rPr>
          <w:rFonts w:hint="eastAsia"/>
        </w:rPr>
        <w:t>但持续时间短且</w:t>
      </w:r>
      <w:r>
        <w:t>随距离衰减较快</w:t>
      </w:r>
      <w:r>
        <w:rPr>
          <w:rFonts w:hint="eastAsia"/>
        </w:rPr>
        <w:t>，因此对外界的声环境影响不大。</w:t>
      </w:r>
      <w:r>
        <w:t>矿区采用多排孔挤压微差爆破，控制每一段的装药量。</w:t>
      </w:r>
      <w:r>
        <w:rPr>
          <w:rFonts w:hint="eastAsia"/>
        </w:rPr>
        <w:t>根据开发利用方案设计</w:t>
      </w:r>
      <w:r>
        <w:t>要求爆破作业均在白天进行。</w:t>
      </w:r>
    </w:p>
    <w:p w14:paraId="5AEDB569" w14:textId="77777777" w:rsidR="00E579B9" w:rsidRDefault="006A1398">
      <w:r>
        <w:t>（</w:t>
      </w:r>
      <w:r>
        <w:rPr>
          <w:rFonts w:hint="eastAsia"/>
        </w:rPr>
        <w:t>2</w:t>
      </w:r>
      <w:r>
        <w:t>）生产设备噪声</w:t>
      </w:r>
    </w:p>
    <w:p w14:paraId="6C555B2D" w14:textId="77777777" w:rsidR="00E579B9" w:rsidRDefault="006A1398">
      <w:r>
        <w:t>本项目生产设备噪声主要来源于矿石开采</w:t>
      </w:r>
      <w:r>
        <w:rPr>
          <w:rFonts w:hint="eastAsia"/>
        </w:rPr>
        <w:t>、</w:t>
      </w:r>
      <w:r>
        <w:t>破碎筛分等过程，高噪声设备源强在</w:t>
      </w:r>
      <w:r>
        <w:rPr>
          <w:rFonts w:hint="eastAsia"/>
        </w:rPr>
        <w:t>80</w:t>
      </w:r>
      <w:r>
        <w:t>～</w:t>
      </w:r>
      <w:r>
        <w:t>105dB(A)</w:t>
      </w:r>
      <w:r>
        <w:t>之间，设计中选用低噪声设备，可采取关闭操作室门窗、工人戴护耳器等隔声、减振、加设消声设施措施，可有效降低噪声源强</w:t>
      </w:r>
      <w:r>
        <w:t>10</w:t>
      </w:r>
      <w:r>
        <w:t>～</w:t>
      </w:r>
      <w:r>
        <w:t>25dB(A)</w:t>
      </w:r>
      <w:r>
        <w:t>。项目主要高噪声设备源强及治理措施见</w:t>
      </w:r>
      <w:r>
        <w:rPr>
          <w:rFonts w:hint="eastAsia"/>
        </w:rPr>
        <w:t>下</w:t>
      </w:r>
      <w:r>
        <w:t>表。</w:t>
      </w:r>
    </w:p>
    <w:p w14:paraId="2197CBFB" w14:textId="377AD805" w:rsidR="00E579B9" w:rsidRDefault="006A1398">
      <w:pPr>
        <w:pStyle w:val="21"/>
      </w:pPr>
      <w:r>
        <w:t>表</w:t>
      </w:r>
      <w:r>
        <w:t>3.8-</w:t>
      </w:r>
      <w:r>
        <w:rPr>
          <w:rFonts w:hint="eastAsia"/>
        </w:rPr>
        <w:t>4</w:t>
      </w:r>
      <w:r>
        <w:t>主要噪声源与噪声级</w:t>
      </w:r>
      <w:r>
        <w:rPr>
          <w:rFonts w:hint="eastAsia"/>
        </w:rPr>
        <w:t>一览表</w:t>
      </w: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711"/>
        <w:gridCol w:w="1276"/>
        <w:gridCol w:w="851"/>
        <w:gridCol w:w="893"/>
        <w:gridCol w:w="668"/>
        <w:gridCol w:w="2222"/>
        <w:gridCol w:w="965"/>
      </w:tblGrid>
      <w:tr w:rsidR="00E579B9" w14:paraId="6C17F614" w14:textId="77777777">
        <w:tc>
          <w:tcPr>
            <w:tcW w:w="954" w:type="dxa"/>
            <w:vAlign w:val="center"/>
          </w:tcPr>
          <w:p w14:paraId="57790EC2"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位置</w:t>
            </w:r>
          </w:p>
        </w:tc>
        <w:tc>
          <w:tcPr>
            <w:tcW w:w="711" w:type="dxa"/>
            <w:vAlign w:val="center"/>
          </w:tcPr>
          <w:p w14:paraId="5A38199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序号</w:t>
            </w:r>
          </w:p>
        </w:tc>
        <w:tc>
          <w:tcPr>
            <w:tcW w:w="1276" w:type="dxa"/>
            <w:vAlign w:val="center"/>
          </w:tcPr>
          <w:p w14:paraId="353BA6E1"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设备名称</w:t>
            </w:r>
          </w:p>
        </w:tc>
        <w:tc>
          <w:tcPr>
            <w:tcW w:w="851" w:type="dxa"/>
            <w:vAlign w:val="center"/>
          </w:tcPr>
          <w:p w14:paraId="4C7DCF78"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数量</w:t>
            </w:r>
          </w:p>
          <w:p w14:paraId="118CFE3F"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（台）</w:t>
            </w:r>
          </w:p>
        </w:tc>
        <w:tc>
          <w:tcPr>
            <w:tcW w:w="893" w:type="dxa"/>
            <w:vAlign w:val="center"/>
          </w:tcPr>
          <w:p w14:paraId="69026D95"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声级</w:t>
            </w:r>
          </w:p>
          <w:p w14:paraId="1D32DDE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[dB(A)]</w:t>
            </w:r>
          </w:p>
        </w:tc>
        <w:tc>
          <w:tcPr>
            <w:tcW w:w="668" w:type="dxa"/>
            <w:vAlign w:val="center"/>
          </w:tcPr>
          <w:p w14:paraId="43778231"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运行情况</w:t>
            </w:r>
          </w:p>
        </w:tc>
        <w:tc>
          <w:tcPr>
            <w:tcW w:w="2222" w:type="dxa"/>
            <w:vAlign w:val="center"/>
          </w:tcPr>
          <w:p w14:paraId="5ACA7022"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降噪措施</w:t>
            </w:r>
          </w:p>
        </w:tc>
        <w:tc>
          <w:tcPr>
            <w:tcW w:w="965" w:type="dxa"/>
            <w:vAlign w:val="center"/>
          </w:tcPr>
          <w:p w14:paraId="233CBC7E" w14:textId="77777777" w:rsidR="00E579B9" w:rsidRDefault="006A1398">
            <w:pPr>
              <w:spacing w:line="360" w:lineRule="exact"/>
              <w:ind w:firstLineChars="0" w:firstLine="0"/>
              <w:jc w:val="center"/>
              <w:rPr>
                <w:rFonts w:cs="Times New Roman"/>
                <w:kern w:val="0"/>
                <w:sz w:val="21"/>
                <w:szCs w:val="21"/>
              </w:rPr>
            </w:pPr>
            <w:proofErr w:type="gramStart"/>
            <w:r>
              <w:rPr>
                <w:rFonts w:cs="Times New Roman" w:hint="eastAsia"/>
                <w:kern w:val="0"/>
                <w:sz w:val="21"/>
                <w:szCs w:val="21"/>
              </w:rPr>
              <w:t>治理后源强</w:t>
            </w:r>
            <w:proofErr w:type="gramEnd"/>
            <w:r>
              <w:rPr>
                <w:rFonts w:cs="Times New Roman"/>
                <w:kern w:val="0"/>
                <w:sz w:val="21"/>
                <w:szCs w:val="21"/>
              </w:rPr>
              <w:t>[dB(A)]</w:t>
            </w:r>
          </w:p>
        </w:tc>
      </w:tr>
      <w:tr w:rsidR="00E579B9" w14:paraId="70566D72" w14:textId="77777777">
        <w:tc>
          <w:tcPr>
            <w:tcW w:w="954" w:type="dxa"/>
            <w:vMerge w:val="restart"/>
            <w:vAlign w:val="center"/>
          </w:tcPr>
          <w:p w14:paraId="6E4841F7" w14:textId="77777777" w:rsidR="00E579B9" w:rsidRDefault="006A1398">
            <w:pPr>
              <w:widowControl w:val="0"/>
              <w:spacing w:line="360" w:lineRule="exact"/>
              <w:ind w:firstLineChars="0" w:firstLine="0"/>
              <w:jc w:val="center"/>
              <w:rPr>
                <w:rFonts w:cs="Times New Roman"/>
                <w:kern w:val="0"/>
                <w:sz w:val="21"/>
                <w:szCs w:val="21"/>
              </w:rPr>
            </w:pPr>
            <w:r>
              <w:rPr>
                <w:rFonts w:cs="Times New Roman"/>
                <w:kern w:val="0"/>
                <w:sz w:val="21"/>
                <w:szCs w:val="21"/>
              </w:rPr>
              <w:lastRenderedPageBreak/>
              <w:t>露采</w:t>
            </w:r>
            <w:r>
              <w:rPr>
                <w:rFonts w:cs="Times New Roman" w:hint="eastAsia"/>
                <w:kern w:val="0"/>
                <w:sz w:val="21"/>
                <w:szCs w:val="21"/>
              </w:rPr>
              <w:t>区</w:t>
            </w:r>
          </w:p>
        </w:tc>
        <w:tc>
          <w:tcPr>
            <w:tcW w:w="711" w:type="dxa"/>
            <w:vAlign w:val="center"/>
          </w:tcPr>
          <w:p w14:paraId="6517A5BA"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1</w:t>
            </w:r>
          </w:p>
        </w:tc>
        <w:tc>
          <w:tcPr>
            <w:tcW w:w="1276" w:type="dxa"/>
            <w:vAlign w:val="center"/>
          </w:tcPr>
          <w:p w14:paraId="573DBA4B"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潜孔钻机</w:t>
            </w:r>
          </w:p>
        </w:tc>
        <w:tc>
          <w:tcPr>
            <w:tcW w:w="851" w:type="dxa"/>
            <w:vAlign w:val="center"/>
          </w:tcPr>
          <w:p w14:paraId="7620B465"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w:t>
            </w:r>
          </w:p>
        </w:tc>
        <w:tc>
          <w:tcPr>
            <w:tcW w:w="893" w:type="dxa"/>
            <w:vAlign w:val="center"/>
          </w:tcPr>
          <w:p w14:paraId="5FB58F2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90</w:t>
            </w:r>
          </w:p>
        </w:tc>
        <w:tc>
          <w:tcPr>
            <w:tcW w:w="668" w:type="dxa"/>
            <w:vMerge w:val="restart"/>
            <w:vAlign w:val="center"/>
          </w:tcPr>
          <w:p w14:paraId="534102B6"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间歇</w:t>
            </w:r>
          </w:p>
        </w:tc>
        <w:tc>
          <w:tcPr>
            <w:tcW w:w="2222" w:type="dxa"/>
            <w:vAlign w:val="center"/>
          </w:tcPr>
          <w:p w14:paraId="0011E78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选用低噪声设备</w:t>
            </w:r>
          </w:p>
        </w:tc>
        <w:tc>
          <w:tcPr>
            <w:tcW w:w="965" w:type="dxa"/>
            <w:vAlign w:val="center"/>
          </w:tcPr>
          <w:p w14:paraId="49EBA644"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80</w:t>
            </w:r>
          </w:p>
        </w:tc>
      </w:tr>
      <w:tr w:rsidR="00E579B9" w14:paraId="31A724E3" w14:textId="77777777">
        <w:tc>
          <w:tcPr>
            <w:tcW w:w="954" w:type="dxa"/>
            <w:vMerge/>
            <w:vAlign w:val="center"/>
          </w:tcPr>
          <w:p w14:paraId="3EB1A7B9" w14:textId="77777777" w:rsidR="00E579B9" w:rsidRDefault="00E579B9">
            <w:pPr>
              <w:spacing w:line="240" w:lineRule="auto"/>
              <w:ind w:firstLineChars="0" w:firstLine="0"/>
              <w:rPr>
                <w:rFonts w:cs="Times New Roman"/>
                <w:kern w:val="0"/>
                <w:sz w:val="21"/>
                <w:szCs w:val="21"/>
              </w:rPr>
            </w:pPr>
          </w:p>
        </w:tc>
        <w:tc>
          <w:tcPr>
            <w:tcW w:w="711" w:type="dxa"/>
            <w:vAlign w:val="center"/>
          </w:tcPr>
          <w:p w14:paraId="407C410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2</w:t>
            </w:r>
          </w:p>
        </w:tc>
        <w:tc>
          <w:tcPr>
            <w:tcW w:w="1276" w:type="dxa"/>
            <w:vAlign w:val="center"/>
          </w:tcPr>
          <w:p w14:paraId="79D81ED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挖掘机</w:t>
            </w:r>
          </w:p>
        </w:tc>
        <w:tc>
          <w:tcPr>
            <w:tcW w:w="851" w:type="dxa"/>
            <w:vAlign w:val="center"/>
          </w:tcPr>
          <w:p w14:paraId="7324ABE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w:t>
            </w:r>
          </w:p>
        </w:tc>
        <w:tc>
          <w:tcPr>
            <w:tcW w:w="893" w:type="dxa"/>
            <w:vAlign w:val="center"/>
          </w:tcPr>
          <w:p w14:paraId="60E45A05"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80</w:t>
            </w:r>
          </w:p>
        </w:tc>
        <w:tc>
          <w:tcPr>
            <w:tcW w:w="668" w:type="dxa"/>
            <w:vMerge/>
            <w:vAlign w:val="center"/>
          </w:tcPr>
          <w:p w14:paraId="335E5134" w14:textId="77777777" w:rsidR="00E579B9" w:rsidRDefault="00E579B9">
            <w:pPr>
              <w:spacing w:line="240" w:lineRule="auto"/>
              <w:ind w:firstLineChars="0" w:firstLine="0"/>
              <w:rPr>
                <w:rFonts w:cs="Times New Roman"/>
                <w:kern w:val="0"/>
                <w:sz w:val="21"/>
                <w:szCs w:val="21"/>
              </w:rPr>
            </w:pPr>
          </w:p>
        </w:tc>
        <w:tc>
          <w:tcPr>
            <w:tcW w:w="2222" w:type="dxa"/>
            <w:vAlign w:val="center"/>
          </w:tcPr>
          <w:p w14:paraId="445DF42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选用低噪声设备</w:t>
            </w:r>
          </w:p>
        </w:tc>
        <w:tc>
          <w:tcPr>
            <w:tcW w:w="965" w:type="dxa"/>
            <w:vAlign w:val="center"/>
          </w:tcPr>
          <w:p w14:paraId="636B97B0"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75</w:t>
            </w:r>
          </w:p>
        </w:tc>
      </w:tr>
      <w:tr w:rsidR="00E579B9" w14:paraId="076F5C10" w14:textId="77777777">
        <w:tc>
          <w:tcPr>
            <w:tcW w:w="954" w:type="dxa"/>
            <w:vMerge/>
            <w:vAlign w:val="center"/>
          </w:tcPr>
          <w:p w14:paraId="743EEC28" w14:textId="77777777" w:rsidR="00E579B9" w:rsidRDefault="00E579B9">
            <w:pPr>
              <w:spacing w:line="240" w:lineRule="auto"/>
              <w:ind w:firstLineChars="0" w:firstLine="0"/>
              <w:rPr>
                <w:rFonts w:cs="Times New Roman"/>
                <w:kern w:val="0"/>
                <w:sz w:val="21"/>
                <w:szCs w:val="21"/>
              </w:rPr>
            </w:pPr>
          </w:p>
        </w:tc>
        <w:tc>
          <w:tcPr>
            <w:tcW w:w="711" w:type="dxa"/>
            <w:vAlign w:val="center"/>
          </w:tcPr>
          <w:p w14:paraId="2CF6B69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w:t>
            </w:r>
          </w:p>
        </w:tc>
        <w:tc>
          <w:tcPr>
            <w:tcW w:w="1276" w:type="dxa"/>
            <w:vAlign w:val="center"/>
          </w:tcPr>
          <w:p w14:paraId="0FC87716"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工具车</w:t>
            </w:r>
          </w:p>
        </w:tc>
        <w:tc>
          <w:tcPr>
            <w:tcW w:w="851" w:type="dxa"/>
            <w:vAlign w:val="center"/>
          </w:tcPr>
          <w:p w14:paraId="188D368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w:t>
            </w:r>
          </w:p>
        </w:tc>
        <w:tc>
          <w:tcPr>
            <w:tcW w:w="893" w:type="dxa"/>
            <w:vAlign w:val="center"/>
          </w:tcPr>
          <w:p w14:paraId="7C70861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85</w:t>
            </w:r>
          </w:p>
        </w:tc>
        <w:tc>
          <w:tcPr>
            <w:tcW w:w="668" w:type="dxa"/>
            <w:vMerge/>
            <w:vAlign w:val="center"/>
          </w:tcPr>
          <w:p w14:paraId="03D620E4" w14:textId="77777777" w:rsidR="00E579B9" w:rsidRDefault="00E579B9">
            <w:pPr>
              <w:spacing w:line="240" w:lineRule="auto"/>
              <w:ind w:firstLineChars="0" w:firstLine="0"/>
              <w:rPr>
                <w:rFonts w:cs="Times New Roman"/>
                <w:kern w:val="0"/>
                <w:sz w:val="21"/>
                <w:szCs w:val="21"/>
              </w:rPr>
            </w:pPr>
          </w:p>
        </w:tc>
        <w:tc>
          <w:tcPr>
            <w:tcW w:w="2222" w:type="dxa"/>
            <w:vAlign w:val="center"/>
          </w:tcPr>
          <w:p w14:paraId="48B8853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选用低噪声设备</w:t>
            </w:r>
          </w:p>
        </w:tc>
        <w:tc>
          <w:tcPr>
            <w:tcW w:w="965" w:type="dxa"/>
            <w:vAlign w:val="center"/>
          </w:tcPr>
          <w:p w14:paraId="69DABC1C"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80</w:t>
            </w:r>
          </w:p>
        </w:tc>
      </w:tr>
      <w:tr w:rsidR="00E579B9" w14:paraId="7181F78D" w14:textId="77777777">
        <w:tc>
          <w:tcPr>
            <w:tcW w:w="954" w:type="dxa"/>
            <w:vMerge/>
            <w:vAlign w:val="center"/>
          </w:tcPr>
          <w:p w14:paraId="562B75C7" w14:textId="77777777" w:rsidR="00E579B9" w:rsidRDefault="00E579B9">
            <w:pPr>
              <w:spacing w:line="240" w:lineRule="auto"/>
              <w:ind w:firstLineChars="0" w:firstLine="0"/>
              <w:rPr>
                <w:rFonts w:cs="Times New Roman"/>
                <w:kern w:val="0"/>
                <w:sz w:val="21"/>
                <w:szCs w:val="21"/>
              </w:rPr>
            </w:pPr>
          </w:p>
        </w:tc>
        <w:tc>
          <w:tcPr>
            <w:tcW w:w="711" w:type="dxa"/>
            <w:vAlign w:val="center"/>
          </w:tcPr>
          <w:p w14:paraId="5C523453"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w:t>
            </w:r>
          </w:p>
        </w:tc>
        <w:tc>
          <w:tcPr>
            <w:tcW w:w="1276" w:type="dxa"/>
            <w:vAlign w:val="center"/>
          </w:tcPr>
          <w:p w14:paraId="58AE369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装载机</w:t>
            </w:r>
          </w:p>
        </w:tc>
        <w:tc>
          <w:tcPr>
            <w:tcW w:w="851" w:type="dxa"/>
            <w:vAlign w:val="center"/>
          </w:tcPr>
          <w:p w14:paraId="2E71CC13"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w:t>
            </w:r>
          </w:p>
        </w:tc>
        <w:tc>
          <w:tcPr>
            <w:tcW w:w="893" w:type="dxa"/>
            <w:vAlign w:val="center"/>
          </w:tcPr>
          <w:p w14:paraId="5EAEC0BA"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80</w:t>
            </w:r>
          </w:p>
        </w:tc>
        <w:tc>
          <w:tcPr>
            <w:tcW w:w="668" w:type="dxa"/>
            <w:vMerge/>
            <w:vAlign w:val="center"/>
          </w:tcPr>
          <w:p w14:paraId="712498E0" w14:textId="77777777" w:rsidR="00E579B9" w:rsidRDefault="00E579B9">
            <w:pPr>
              <w:spacing w:line="240" w:lineRule="auto"/>
              <w:ind w:firstLineChars="0" w:firstLine="0"/>
              <w:rPr>
                <w:rFonts w:cs="Times New Roman"/>
                <w:kern w:val="0"/>
                <w:sz w:val="21"/>
                <w:szCs w:val="21"/>
              </w:rPr>
            </w:pPr>
          </w:p>
        </w:tc>
        <w:tc>
          <w:tcPr>
            <w:tcW w:w="2222" w:type="dxa"/>
            <w:vAlign w:val="center"/>
          </w:tcPr>
          <w:p w14:paraId="2409CC8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选用低噪声设备</w:t>
            </w:r>
          </w:p>
        </w:tc>
        <w:tc>
          <w:tcPr>
            <w:tcW w:w="965" w:type="dxa"/>
            <w:vAlign w:val="center"/>
          </w:tcPr>
          <w:p w14:paraId="26F71F8C"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75</w:t>
            </w:r>
          </w:p>
        </w:tc>
      </w:tr>
      <w:tr w:rsidR="00E579B9" w14:paraId="3261340D" w14:textId="77777777">
        <w:tc>
          <w:tcPr>
            <w:tcW w:w="954" w:type="dxa"/>
            <w:vMerge/>
            <w:vAlign w:val="center"/>
          </w:tcPr>
          <w:p w14:paraId="2202D72F" w14:textId="77777777" w:rsidR="00E579B9" w:rsidRDefault="00E579B9">
            <w:pPr>
              <w:spacing w:line="240" w:lineRule="auto"/>
              <w:ind w:firstLineChars="0" w:firstLine="0"/>
              <w:rPr>
                <w:rFonts w:cs="Times New Roman"/>
                <w:kern w:val="0"/>
                <w:sz w:val="21"/>
                <w:szCs w:val="21"/>
              </w:rPr>
            </w:pPr>
          </w:p>
        </w:tc>
        <w:tc>
          <w:tcPr>
            <w:tcW w:w="711" w:type="dxa"/>
            <w:vAlign w:val="center"/>
          </w:tcPr>
          <w:p w14:paraId="6205DC65"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w:t>
            </w:r>
          </w:p>
        </w:tc>
        <w:tc>
          <w:tcPr>
            <w:tcW w:w="1276" w:type="dxa"/>
            <w:vAlign w:val="center"/>
          </w:tcPr>
          <w:p w14:paraId="15E502FC"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空压机</w:t>
            </w:r>
          </w:p>
        </w:tc>
        <w:tc>
          <w:tcPr>
            <w:tcW w:w="851" w:type="dxa"/>
            <w:vAlign w:val="center"/>
          </w:tcPr>
          <w:p w14:paraId="0DB02D6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1</w:t>
            </w:r>
          </w:p>
        </w:tc>
        <w:tc>
          <w:tcPr>
            <w:tcW w:w="893" w:type="dxa"/>
            <w:vAlign w:val="center"/>
          </w:tcPr>
          <w:p w14:paraId="3ACB8B0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85</w:t>
            </w:r>
          </w:p>
        </w:tc>
        <w:tc>
          <w:tcPr>
            <w:tcW w:w="668" w:type="dxa"/>
            <w:vMerge/>
            <w:vAlign w:val="center"/>
          </w:tcPr>
          <w:p w14:paraId="2DA29DD6" w14:textId="77777777" w:rsidR="00E579B9" w:rsidRDefault="00E579B9">
            <w:pPr>
              <w:spacing w:line="240" w:lineRule="auto"/>
              <w:ind w:firstLineChars="0" w:firstLine="0"/>
              <w:rPr>
                <w:rFonts w:cs="Times New Roman"/>
                <w:kern w:val="0"/>
                <w:sz w:val="21"/>
                <w:szCs w:val="21"/>
              </w:rPr>
            </w:pPr>
          </w:p>
        </w:tc>
        <w:tc>
          <w:tcPr>
            <w:tcW w:w="2222" w:type="dxa"/>
            <w:vAlign w:val="center"/>
          </w:tcPr>
          <w:p w14:paraId="528DD6FC"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消声</w:t>
            </w:r>
          </w:p>
        </w:tc>
        <w:tc>
          <w:tcPr>
            <w:tcW w:w="965" w:type="dxa"/>
            <w:vAlign w:val="center"/>
          </w:tcPr>
          <w:p w14:paraId="267D5CE3"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75</w:t>
            </w:r>
          </w:p>
        </w:tc>
      </w:tr>
      <w:tr w:rsidR="00E579B9" w14:paraId="3EE403C5" w14:textId="77777777">
        <w:tc>
          <w:tcPr>
            <w:tcW w:w="954" w:type="dxa"/>
            <w:vMerge/>
            <w:vAlign w:val="center"/>
          </w:tcPr>
          <w:p w14:paraId="5616AA6B" w14:textId="77777777" w:rsidR="00E579B9" w:rsidRDefault="00E579B9">
            <w:pPr>
              <w:spacing w:line="240" w:lineRule="auto"/>
              <w:ind w:firstLineChars="0" w:firstLine="0"/>
              <w:rPr>
                <w:rFonts w:cs="Times New Roman"/>
                <w:kern w:val="0"/>
                <w:sz w:val="21"/>
                <w:szCs w:val="21"/>
              </w:rPr>
            </w:pPr>
          </w:p>
        </w:tc>
        <w:tc>
          <w:tcPr>
            <w:tcW w:w="711" w:type="dxa"/>
            <w:vAlign w:val="center"/>
          </w:tcPr>
          <w:p w14:paraId="3E94A097"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w:t>
            </w:r>
          </w:p>
        </w:tc>
        <w:tc>
          <w:tcPr>
            <w:tcW w:w="1276" w:type="dxa"/>
            <w:vAlign w:val="center"/>
          </w:tcPr>
          <w:p w14:paraId="66E192E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自卸汽车</w:t>
            </w:r>
          </w:p>
        </w:tc>
        <w:tc>
          <w:tcPr>
            <w:tcW w:w="851" w:type="dxa"/>
            <w:vAlign w:val="center"/>
          </w:tcPr>
          <w:p w14:paraId="76CD7DC8"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9</w:t>
            </w:r>
          </w:p>
        </w:tc>
        <w:tc>
          <w:tcPr>
            <w:tcW w:w="893" w:type="dxa"/>
            <w:vAlign w:val="center"/>
          </w:tcPr>
          <w:p w14:paraId="445F6801"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80~</w:t>
            </w:r>
            <w:r>
              <w:rPr>
                <w:rFonts w:cs="Times New Roman"/>
                <w:kern w:val="0"/>
                <w:sz w:val="21"/>
                <w:szCs w:val="21"/>
              </w:rPr>
              <w:t>9</w:t>
            </w:r>
            <w:r>
              <w:rPr>
                <w:rFonts w:cs="Times New Roman" w:hint="eastAsia"/>
                <w:kern w:val="0"/>
                <w:sz w:val="21"/>
                <w:szCs w:val="21"/>
              </w:rPr>
              <w:t>0</w:t>
            </w:r>
          </w:p>
        </w:tc>
        <w:tc>
          <w:tcPr>
            <w:tcW w:w="668" w:type="dxa"/>
            <w:vMerge/>
            <w:vAlign w:val="center"/>
          </w:tcPr>
          <w:p w14:paraId="1B25BC11" w14:textId="77777777" w:rsidR="00E579B9" w:rsidRDefault="00E579B9">
            <w:pPr>
              <w:spacing w:line="240" w:lineRule="auto"/>
              <w:ind w:firstLineChars="0" w:firstLine="0"/>
              <w:rPr>
                <w:rFonts w:cs="Times New Roman"/>
                <w:kern w:val="0"/>
                <w:sz w:val="21"/>
                <w:szCs w:val="21"/>
              </w:rPr>
            </w:pPr>
          </w:p>
        </w:tc>
        <w:tc>
          <w:tcPr>
            <w:tcW w:w="2222" w:type="dxa"/>
            <w:vAlign w:val="center"/>
          </w:tcPr>
          <w:p w14:paraId="11AC9984"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减速、禁鸣</w:t>
            </w:r>
          </w:p>
        </w:tc>
        <w:tc>
          <w:tcPr>
            <w:tcW w:w="965" w:type="dxa"/>
            <w:vAlign w:val="center"/>
          </w:tcPr>
          <w:p w14:paraId="258A1F6B"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70~80</w:t>
            </w:r>
          </w:p>
        </w:tc>
      </w:tr>
      <w:tr w:rsidR="00E579B9" w14:paraId="534A122F" w14:textId="77777777">
        <w:tc>
          <w:tcPr>
            <w:tcW w:w="954" w:type="dxa"/>
            <w:vMerge w:val="restart"/>
            <w:vAlign w:val="center"/>
          </w:tcPr>
          <w:p w14:paraId="4C71636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破碎</w:t>
            </w:r>
            <w:r>
              <w:rPr>
                <w:rFonts w:cs="Times New Roman" w:hint="eastAsia"/>
                <w:kern w:val="0"/>
                <w:sz w:val="21"/>
                <w:szCs w:val="21"/>
              </w:rPr>
              <w:t>场地</w:t>
            </w:r>
          </w:p>
        </w:tc>
        <w:tc>
          <w:tcPr>
            <w:tcW w:w="711" w:type="dxa"/>
            <w:vAlign w:val="center"/>
          </w:tcPr>
          <w:p w14:paraId="34FE264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7</w:t>
            </w:r>
          </w:p>
        </w:tc>
        <w:tc>
          <w:tcPr>
            <w:tcW w:w="1276" w:type="dxa"/>
            <w:vAlign w:val="center"/>
          </w:tcPr>
          <w:p w14:paraId="15103C4E"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颚式</w:t>
            </w:r>
            <w:r>
              <w:rPr>
                <w:rFonts w:cs="Times New Roman"/>
                <w:kern w:val="0"/>
                <w:sz w:val="21"/>
                <w:szCs w:val="21"/>
              </w:rPr>
              <w:t>破碎机</w:t>
            </w:r>
          </w:p>
        </w:tc>
        <w:tc>
          <w:tcPr>
            <w:tcW w:w="851" w:type="dxa"/>
            <w:vAlign w:val="center"/>
          </w:tcPr>
          <w:p w14:paraId="2AE63821"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2</w:t>
            </w:r>
          </w:p>
        </w:tc>
        <w:tc>
          <w:tcPr>
            <w:tcW w:w="893" w:type="dxa"/>
            <w:vAlign w:val="center"/>
          </w:tcPr>
          <w:p w14:paraId="5D0421E1"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90</w:t>
            </w:r>
          </w:p>
        </w:tc>
        <w:tc>
          <w:tcPr>
            <w:tcW w:w="668" w:type="dxa"/>
            <w:vMerge w:val="restart"/>
            <w:vAlign w:val="center"/>
          </w:tcPr>
          <w:p w14:paraId="0294910E"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连续</w:t>
            </w:r>
          </w:p>
        </w:tc>
        <w:tc>
          <w:tcPr>
            <w:tcW w:w="2222" w:type="dxa"/>
            <w:vAlign w:val="center"/>
          </w:tcPr>
          <w:p w14:paraId="188D712C"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减振、置于密闭厂房内</w:t>
            </w:r>
          </w:p>
        </w:tc>
        <w:tc>
          <w:tcPr>
            <w:tcW w:w="965" w:type="dxa"/>
            <w:vAlign w:val="center"/>
          </w:tcPr>
          <w:p w14:paraId="053B697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70</w:t>
            </w:r>
          </w:p>
        </w:tc>
      </w:tr>
      <w:tr w:rsidR="00E579B9" w14:paraId="7A20B794" w14:textId="77777777">
        <w:tc>
          <w:tcPr>
            <w:tcW w:w="954" w:type="dxa"/>
            <w:vMerge/>
            <w:vAlign w:val="center"/>
          </w:tcPr>
          <w:p w14:paraId="5BA87D00" w14:textId="77777777" w:rsidR="00E579B9" w:rsidRDefault="00E579B9">
            <w:pPr>
              <w:spacing w:line="240" w:lineRule="auto"/>
              <w:ind w:firstLineChars="0" w:firstLine="0"/>
              <w:rPr>
                <w:rFonts w:cs="Times New Roman"/>
                <w:kern w:val="0"/>
                <w:sz w:val="21"/>
                <w:szCs w:val="21"/>
              </w:rPr>
            </w:pPr>
          </w:p>
        </w:tc>
        <w:tc>
          <w:tcPr>
            <w:tcW w:w="711" w:type="dxa"/>
            <w:vAlign w:val="center"/>
          </w:tcPr>
          <w:p w14:paraId="69D0405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w:t>
            </w:r>
          </w:p>
        </w:tc>
        <w:tc>
          <w:tcPr>
            <w:tcW w:w="1276" w:type="dxa"/>
            <w:vAlign w:val="center"/>
          </w:tcPr>
          <w:p w14:paraId="7542280B"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圆锥破碎机</w:t>
            </w:r>
          </w:p>
        </w:tc>
        <w:tc>
          <w:tcPr>
            <w:tcW w:w="851" w:type="dxa"/>
            <w:vAlign w:val="center"/>
          </w:tcPr>
          <w:p w14:paraId="06071C4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w:t>
            </w:r>
          </w:p>
        </w:tc>
        <w:tc>
          <w:tcPr>
            <w:tcW w:w="893" w:type="dxa"/>
            <w:vAlign w:val="center"/>
          </w:tcPr>
          <w:p w14:paraId="59D52B1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95</w:t>
            </w:r>
          </w:p>
        </w:tc>
        <w:tc>
          <w:tcPr>
            <w:tcW w:w="668" w:type="dxa"/>
            <w:vMerge/>
            <w:vAlign w:val="center"/>
          </w:tcPr>
          <w:p w14:paraId="61E39E0C" w14:textId="77777777" w:rsidR="00E579B9" w:rsidRDefault="00E579B9">
            <w:pPr>
              <w:spacing w:line="240" w:lineRule="auto"/>
              <w:ind w:firstLineChars="0" w:firstLine="0"/>
              <w:rPr>
                <w:rFonts w:cs="Times New Roman"/>
                <w:sz w:val="21"/>
                <w:szCs w:val="21"/>
              </w:rPr>
            </w:pPr>
          </w:p>
        </w:tc>
        <w:tc>
          <w:tcPr>
            <w:tcW w:w="2222" w:type="dxa"/>
            <w:vAlign w:val="center"/>
          </w:tcPr>
          <w:p w14:paraId="74331A22"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减振、置于密闭厂房内</w:t>
            </w:r>
          </w:p>
        </w:tc>
        <w:tc>
          <w:tcPr>
            <w:tcW w:w="965" w:type="dxa"/>
            <w:vAlign w:val="center"/>
          </w:tcPr>
          <w:p w14:paraId="677E7A24"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75</w:t>
            </w:r>
          </w:p>
        </w:tc>
      </w:tr>
      <w:tr w:rsidR="00E579B9" w14:paraId="2ED78879" w14:textId="77777777">
        <w:tc>
          <w:tcPr>
            <w:tcW w:w="954" w:type="dxa"/>
            <w:vMerge/>
            <w:vAlign w:val="center"/>
          </w:tcPr>
          <w:p w14:paraId="542F964F" w14:textId="77777777" w:rsidR="00E579B9" w:rsidRDefault="00E579B9">
            <w:pPr>
              <w:spacing w:line="240" w:lineRule="auto"/>
              <w:ind w:firstLineChars="0" w:firstLine="0"/>
              <w:rPr>
                <w:rFonts w:cs="Times New Roman"/>
                <w:kern w:val="0"/>
                <w:sz w:val="21"/>
                <w:szCs w:val="21"/>
              </w:rPr>
            </w:pPr>
          </w:p>
        </w:tc>
        <w:tc>
          <w:tcPr>
            <w:tcW w:w="711" w:type="dxa"/>
            <w:vAlign w:val="center"/>
          </w:tcPr>
          <w:p w14:paraId="40A6441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9</w:t>
            </w:r>
          </w:p>
        </w:tc>
        <w:tc>
          <w:tcPr>
            <w:tcW w:w="1276" w:type="dxa"/>
            <w:vAlign w:val="center"/>
          </w:tcPr>
          <w:p w14:paraId="4590108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振动筛</w:t>
            </w:r>
          </w:p>
        </w:tc>
        <w:tc>
          <w:tcPr>
            <w:tcW w:w="851" w:type="dxa"/>
            <w:vAlign w:val="center"/>
          </w:tcPr>
          <w:p w14:paraId="42D819B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10</w:t>
            </w:r>
          </w:p>
        </w:tc>
        <w:tc>
          <w:tcPr>
            <w:tcW w:w="893" w:type="dxa"/>
            <w:vAlign w:val="center"/>
          </w:tcPr>
          <w:p w14:paraId="77602EB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85</w:t>
            </w:r>
          </w:p>
        </w:tc>
        <w:tc>
          <w:tcPr>
            <w:tcW w:w="668" w:type="dxa"/>
            <w:vMerge/>
            <w:vAlign w:val="center"/>
          </w:tcPr>
          <w:p w14:paraId="3FEC1DA2" w14:textId="77777777" w:rsidR="00E579B9" w:rsidRDefault="00E579B9">
            <w:pPr>
              <w:spacing w:line="240" w:lineRule="auto"/>
              <w:ind w:firstLineChars="0" w:firstLine="0"/>
              <w:rPr>
                <w:rFonts w:cs="Times New Roman"/>
                <w:sz w:val="21"/>
                <w:szCs w:val="21"/>
              </w:rPr>
            </w:pPr>
          </w:p>
        </w:tc>
        <w:tc>
          <w:tcPr>
            <w:tcW w:w="2222" w:type="dxa"/>
            <w:vAlign w:val="center"/>
          </w:tcPr>
          <w:p w14:paraId="6039A7E4"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减振、置于密闭厂房内</w:t>
            </w:r>
          </w:p>
        </w:tc>
        <w:tc>
          <w:tcPr>
            <w:tcW w:w="965" w:type="dxa"/>
            <w:vAlign w:val="center"/>
          </w:tcPr>
          <w:p w14:paraId="1EEAC014"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65</w:t>
            </w:r>
          </w:p>
        </w:tc>
      </w:tr>
      <w:tr w:rsidR="00E579B9" w14:paraId="6319CD52" w14:textId="77777777">
        <w:tc>
          <w:tcPr>
            <w:tcW w:w="954" w:type="dxa"/>
            <w:vMerge/>
            <w:vAlign w:val="center"/>
          </w:tcPr>
          <w:p w14:paraId="1D9B4F31" w14:textId="77777777" w:rsidR="00E579B9" w:rsidRDefault="00E579B9">
            <w:pPr>
              <w:spacing w:line="240" w:lineRule="auto"/>
              <w:ind w:firstLineChars="0" w:firstLine="0"/>
              <w:rPr>
                <w:rFonts w:cs="Times New Roman"/>
                <w:kern w:val="0"/>
                <w:sz w:val="21"/>
                <w:szCs w:val="21"/>
              </w:rPr>
            </w:pPr>
          </w:p>
        </w:tc>
        <w:tc>
          <w:tcPr>
            <w:tcW w:w="711" w:type="dxa"/>
            <w:vAlign w:val="center"/>
          </w:tcPr>
          <w:p w14:paraId="6A39DE58"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10</w:t>
            </w:r>
          </w:p>
        </w:tc>
        <w:tc>
          <w:tcPr>
            <w:tcW w:w="1276" w:type="dxa"/>
            <w:vAlign w:val="center"/>
          </w:tcPr>
          <w:p w14:paraId="4913C41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除尘器风机</w:t>
            </w:r>
          </w:p>
        </w:tc>
        <w:tc>
          <w:tcPr>
            <w:tcW w:w="851" w:type="dxa"/>
            <w:vAlign w:val="center"/>
          </w:tcPr>
          <w:p w14:paraId="165766D4"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2</w:t>
            </w:r>
          </w:p>
        </w:tc>
        <w:tc>
          <w:tcPr>
            <w:tcW w:w="893" w:type="dxa"/>
            <w:vAlign w:val="center"/>
          </w:tcPr>
          <w:p w14:paraId="321081C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85</w:t>
            </w:r>
          </w:p>
        </w:tc>
        <w:tc>
          <w:tcPr>
            <w:tcW w:w="668" w:type="dxa"/>
            <w:vMerge/>
            <w:vAlign w:val="center"/>
          </w:tcPr>
          <w:p w14:paraId="3E4F4998" w14:textId="77777777" w:rsidR="00E579B9" w:rsidRDefault="00E579B9">
            <w:pPr>
              <w:spacing w:line="240" w:lineRule="auto"/>
              <w:ind w:firstLineChars="0" w:firstLine="0"/>
              <w:rPr>
                <w:rFonts w:cs="Times New Roman"/>
                <w:sz w:val="21"/>
                <w:szCs w:val="21"/>
              </w:rPr>
            </w:pPr>
          </w:p>
        </w:tc>
        <w:tc>
          <w:tcPr>
            <w:tcW w:w="2222" w:type="dxa"/>
            <w:vAlign w:val="center"/>
          </w:tcPr>
          <w:p w14:paraId="02C71CB2"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减振、置于密闭厂房内，安装消声器</w:t>
            </w:r>
          </w:p>
        </w:tc>
        <w:tc>
          <w:tcPr>
            <w:tcW w:w="965" w:type="dxa"/>
            <w:vAlign w:val="center"/>
          </w:tcPr>
          <w:p w14:paraId="2BA48F4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65</w:t>
            </w:r>
          </w:p>
        </w:tc>
      </w:tr>
    </w:tbl>
    <w:p w14:paraId="6FE69F8C" w14:textId="77777777" w:rsidR="00E579B9" w:rsidRDefault="006A1398">
      <w:bookmarkStart w:id="158" w:name="_Toc19382"/>
      <w:bookmarkStart w:id="159" w:name="_Toc11149"/>
      <w:bookmarkStart w:id="160" w:name="_Toc531939335"/>
      <w:r>
        <w:t>3.8.2.4</w:t>
      </w:r>
      <w:r>
        <w:t>固体废物及</w:t>
      </w:r>
      <w:bookmarkEnd w:id="158"/>
      <w:r>
        <w:rPr>
          <w:rFonts w:hint="eastAsia"/>
        </w:rPr>
        <w:t>源强核算</w:t>
      </w:r>
    </w:p>
    <w:p w14:paraId="7D83B91D" w14:textId="77777777" w:rsidR="00E579B9" w:rsidRDefault="006A1398">
      <w:bookmarkStart w:id="161" w:name="_Hlk535416592"/>
      <w:r>
        <w:rPr>
          <w:rFonts w:hint="eastAsia"/>
        </w:rPr>
        <w:t>本项目产生的</w:t>
      </w:r>
      <w:r>
        <w:t>固体废物</w:t>
      </w:r>
      <w:r>
        <w:rPr>
          <w:rFonts w:hint="eastAsia"/>
        </w:rPr>
        <w:t>有两部分，</w:t>
      </w:r>
      <w:r>
        <w:t>一是</w:t>
      </w:r>
      <w:r>
        <w:rPr>
          <w:rFonts w:hint="eastAsia"/>
        </w:rPr>
        <w:t>矿体表面后续</w:t>
      </w:r>
      <w:r>
        <w:t>剥离</w:t>
      </w:r>
      <w:r>
        <w:rPr>
          <w:rFonts w:hint="eastAsia"/>
        </w:rPr>
        <w:t>产生的表土和</w:t>
      </w:r>
      <w:r>
        <w:t>废土石；</w:t>
      </w:r>
      <w:r>
        <w:rPr>
          <w:rFonts w:hint="eastAsia"/>
        </w:rPr>
        <w:t>二是</w:t>
      </w:r>
      <w:r>
        <w:t>职工办公生活产生的垃圾</w:t>
      </w:r>
      <w:r>
        <w:rPr>
          <w:rFonts w:hint="eastAsia"/>
        </w:rPr>
        <w:t>。</w:t>
      </w:r>
    </w:p>
    <w:bookmarkEnd w:id="161"/>
    <w:p w14:paraId="41618618" w14:textId="77777777" w:rsidR="00E579B9" w:rsidRDefault="006A1398">
      <w:r>
        <w:t>（</w:t>
      </w:r>
      <w:r>
        <w:t>1</w:t>
      </w:r>
      <w:r>
        <w:t>）开采剥离的</w:t>
      </w:r>
      <w:r>
        <w:rPr>
          <w:rFonts w:hint="eastAsia"/>
        </w:rPr>
        <w:t>表土和</w:t>
      </w:r>
      <w:r>
        <w:t>废土石</w:t>
      </w:r>
    </w:p>
    <w:p w14:paraId="55622A99" w14:textId="77777777" w:rsidR="00E579B9" w:rsidRDefault="006A1398">
      <w:r>
        <w:rPr>
          <w:rFonts w:hint="eastAsia"/>
        </w:rPr>
        <w:t>运营期采场年剥离石方</w:t>
      </w:r>
      <w:r>
        <w:rPr>
          <w:rFonts w:hint="eastAsia"/>
        </w:rPr>
        <w:t>242.11</w:t>
      </w:r>
      <w:r>
        <w:rPr>
          <w:rFonts w:hint="eastAsia"/>
        </w:rPr>
        <w:t>万</w:t>
      </w:r>
      <w:r>
        <w:t>t</w:t>
      </w:r>
      <w:r>
        <w:rPr>
          <w:rFonts w:hint="eastAsia"/>
        </w:rPr>
        <w:t>，土方</w:t>
      </w:r>
      <w:r>
        <w:rPr>
          <w:rFonts w:hint="eastAsia"/>
        </w:rPr>
        <w:t>6.448</w:t>
      </w:r>
      <w:r>
        <w:rPr>
          <w:rFonts w:hint="eastAsia"/>
        </w:rPr>
        <w:t>万</w:t>
      </w:r>
      <w:r>
        <w:t>t</w:t>
      </w:r>
      <w:r>
        <w:rPr>
          <w:rFonts w:hint="eastAsia"/>
        </w:rPr>
        <w:t>；石方中</w:t>
      </w:r>
      <w:r>
        <w:rPr>
          <w:rFonts w:hint="eastAsia"/>
        </w:rPr>
        <w:t>230</w:t>
      </w:r>
      <w:r>
        <w:rPr>
          <w:rFonts w:hint="eastAsia"/>
        </w:rPr>
        <w:t>万</w:t>
      </w:r>
      <w:r>
        <w:t>t</w:t>
      </w:r>
      <w:r>
        <w:rPr>
          <w:rFonts w:hint="eastAsia"/>
        </w:rPr>
        <w:t>铲装后送往破碎场地破碎后外售</w:t>
      </w:r>
      <w:r>
        <w:rPr>
          <w:rFonts w:hint="eastAsia"/>
          <w:szCs w:val="24"/>
        </w:rPr>
        <w:t>，</w:t>
      </w:r>
      <w:r>
        <w:rPr>
          <w:rFonts w:hint="eastAsia"/>
          <w:szCs w:val="24"/>
        </w:rPr>
        <w:t>12.11</w:t>
      </w:r>
      <w:r>
        <w:rPr>
          <w:rFonts w:hint="eastAsia"/>
          <w:szCs w:val="24"/>
        </w:rPr>
        <w:t>万</w:t>
      </w:r>
      <w:r>
        <w:rPr>
          <w:szCs w:val="24"/>
        </w:rPr>
        <w:t>t</w:t>
      </w:r>
      <w:r>
        <w:rPr>
          <w:rFonts w:hint="eastAsia"/>
          <w:szCs w:val="24"/>
        </w:rPr>
        <w:t>为废石外</w:t>
      </w:r>
      <w:proofErr w:type="gramStart"/>
      <w:r>
        <w:rPr>
          <w:rFonts w:hint="eastAsia"/>
          <w:szCs w:val="24"/>
        </w:rPr>
        <w:t>售运输至临时</w:t>
      </w:r>
      <w:proofErr w:type="gramEnd"/>
      <w:r>
        <w:rPr>
          <w:rFonts w:hint="eastAsia"/>
          <w:szCs w:val="24"/>
        </w:rPr>
        <w:t>堆场综合利用</w:t>
      </w:r>
      <w:r>
        <w:rPr>
          <w:rFonts w:hint="eastAsia"/>
        </w:rPr>
        <w:t>。项目土石方情况见下表。</w:t>
      </w:r>
    </w:p>
    <w:p w14:paraId="32090E4B" w14:textId="77777777" w:rsidR="00E579B9" w:rsidRDefault="006A1398">
      <w:r>
        <w:rPr>
          <w:rFonts w:hint="eastAsia"/>
        </w:rPr>
        <w:t>矿山运营期开采会产生一部分废石，其中主要为残坡积物和石英岩，</w:t>
      </w:r>
      <w:proofErr w:type="gramStart"/>
      <w:r>
        <w:rPr>
          <w:rFonts w:hint="eastAsia"/>
        </w:rPr>
        <w:t>剥离物中残坡积物</w:t>
      </w:r>
      <w:proofErr w:type="gramEnd"/>
      <w:r>
        <w:rPr>
          <w:rFonts w:hint="eastAsia"/>
        </w:rPr>
        <w:t>可在废石剥离后随即运至终了台阶用作覆土绿化，前期可暂时堆放于表土堆场；碳质泥岩和页岩可直接卖给当地页岩砖厂，因此矿山不设排土场，矿区外较平缓地带设置表土堆场。</w:t>
      </w:r>
    </w:p>
    <w:p w14:paraId="20761D81" w14:textId="77777777" w:rsidR="00E579B9" w:rsidRDefault="006A1398">
      <w:pPr>
        <w:rPr>
          <w:rFonts w:cs="宋体"/>
          <w:szCs w:val="24"/>
        </w:rPr>
      </w:pPr>
      <w:r>
        <w:rPr>
          <w:rFonts w:hint="eastAsia"/>
        </w:rPr>
        <w:t>（</w:t>
      </w:r>
      <w:r>
        <w:rPr>
          <w:rFonts w:hint="eastAsia"/>
        </w:rPr>
        <w:t>2</w:t>
      </w:r>
      <w:r>
        <w:rPr>
          <w:rFonts w:hint="eastAsia"/>
        </w:rPr>
        <w:t>）袋式除尘器收集粉尘</w:t>
      </w:r>
    </w:p>
    <w:p w14:paraId="6E569190" w14:textId="77777777" w:rsidR="00E579B9" w:rsidRDefault="006A1398">
      <w:r>
        <w:rPr>
          <w:rFonts w:ascii="宋体" w:hAnsi="宋体" w:hint="eastAsia"/>
        </w:rPr>
        <w:t>本项目在破碎场地破碎、筛分工段共设有两台袋式除尘器，除尘收集粉尘量为</w:t>
      </w:r>
      <w:r>
        <w:t>14.63t/a</w:t>
      </w:r>
      <w:r>
        <w:rPr>
          <w:rFonts w:ascii="宋体" w:hAnsi="宋体" w:hint="eastAsia"/>
        </w:rPr>
        <w:t>，收集粉尘作为产品出售。</w:t>
      </w:r>
    </w:p>
    <w:p w14:paraId="0A1B27E5" w14:textId="77777777" w:rsidR="00E579B9" w:rsidRDefault="006A1398">
      <w:r>
        <w:t>（</w:t>
      </w:r>
      <w:r>
        <w:t>3</w:t>
      </w:r>
      <w:r>
        <w:t>）生活垃圾</w:t>
      </w:r>
    </w:p>
    <w:p w14:paraId="4ED622EE" w14:textId="77777777" w:rsidR="00E579B9" w:rsidRDefault="006A1398">
      <w:r>
        <w:rPr>
          <w:bCs/>
        </w:rPr>
        <w:t>项目劳动定员</w:t>
      </w:r>
      <w:r>
        <w:rPr>
          <w:rFonts w:hint="eastAsia"/>
          <w:bCs/>
        </w:rPr>
        <w:t>159</w:t>
      </w:r>
      <w:r>
        <w:rPr>
          <w:bCs/>
        </w:rPr>
        <w:t>人，</w:t>
      </w:r>
      <w:r>
        <w:rPr>
          <w:rFonts w:hint="eastAsia"/>
        </w:rPr>
        <w:t>生活垃圾产生量按</w:t>
      </w:r>
      <w:r>
        <w:rPr>
          <w:rFonts w:hint="eastAsia"/>
        </w:rPr>
        <w:t>0.5kg/</w:t>
      </w:r>
      <w:r>
        <w:rPr>
          <w:rFonts w:hint="eastAsia"/>
        </w:rPr>
        <w:t>人·</w:t>
      </w:r>
      <w:r>
        <w:rPr>
          <w:rFonts w:hint="eastAsia"/>
        </w:rPr>
        <w:t>d</w:t>
      </w:r>
      <w:r>
        <w:rPr>
          <w:rFonts w:hint="eastAsia"/>
        </w:rPr>
        <w:t>，则</w:t>
      </w:r>
      <w:r>
        <w:t>生活垃圾产生量约为</w:t>
      </w:r>
      <w:r>
        <w:rPr>
          <w:rFonts w:hint="eastAsia"/>
        </w:rPr>
        <w:t>22.26</w:t>
      </w:r>
      <w:r>
        <w:t>t</w:t>
      </w:r>
      <w:r>
        <w:rPr>
          <w:rFonts w:hint="eastAsia"/>
        </w:rPr>
        <w:t>/a</w:t>
      </w:r>
      <w:r>
        <w:t>，</w:t>
      </w:r>
      <w:bookmarkStart w:id="162" w:name="_Hlk535416696"/>
      <w:r>
        <w:rPr>
          <w:rFonts w:hint="eastAsia"/>
          <w:color w:val="000000" w:themeColor="text1"/>
          <w:szCs w:val="24"/>
        </w:rPr>
        <w:t>由环卫部门定期清运</w:t>
      </w:r>
      <w:r>
        <w:t>。</w:t>
      </w:r>
      <w:bookmarkEnd w:id="162"/>
    </w:p>
    <w:p w14:paraId="0806DAC8" w14:textId="26A2928D" w:rsidR="00E579B9" w:rsidRDefault="006A1398">
      <w:pPr>
        <w:pStyle w:val="21"/>
      </w:pPr>
      <w:r>
        <w:rPr>
          <w:rFonts w:hint="eastAsia"/>
        </w:rPr>
        <w:lastRenderedPageBreak/>
        <w:t>表</w:t>
      </w:r>
      <w:r>
        <w:t>3.8-</w:t>
      </w:r>
      <w:r>
        <w:rPr>
          <w:rFonts w:hint="eastAsia"/>
        </w:rPr>
        <w:t>5</w:t>
      </w:r>
      <w:r>
        <w:rPr>
          <w:rFonts w:hint="eastAsia"/>
        </w:rPr>
        <w:t>本项目固体废物污染源源强核算一览表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849"/>
        <w:gridCol w:w="706"/>
        <w:gridCol w:w="847"/>
        <w:gridCol w:w="871"/>
        <w:gridCol w:w="1131"/>
        <w:gridCol w:w="1131"/>
        <w:gridCol w:w="2739"/>
      </w:tblGrid>
      <w:tr w:rsidR="00E579B9" w14:paraId="54B96D56" w14:textId="77777777">
        <w:trPr>
          <w:tblHeader/>
          <w:jc w:val="center"/>
        </w:trPr>
        <w:tc>
          <w:tcPr>
            <w:tcW w:w="672" w:type="dxa"/>
            <w:vMerge w:val="restart"/>
            <w:vAlign w:val="center"/>
          </w:tcPr>
          <w:p w14:paraId="0A03E7BA" w14:textId="77777777" w:rsidR="00E579B9" w:rsidRDefault="006A1398">
            <w:pPr>
              <w:pStyle w:val="aa"/>
            </w:pPr>
            <w:r>
              <w:rPr>
                <w:rFonts w:hint="eastAsia"/>
              </w:rPr>
              <w:t>工序</w:t>
            </w:r>
            <w:r>
              <w:rPr>
                <w:rFonts w:hint="eastAsia"/>
              </w:rPr>
              <w:t>/</w:t>
            </w:r>
            <w:r>
              <w:rPr>
                <w:rFonts w:hint="eastAsia"/>
              </w:rPr>
              <w:t>生产线</w:t>
            </w:r>
          </w:p>
        </w:tc>
        <w:tc>
          <w:tcPr>
            <w:tcW w:w="849" w:type="dxa"/>
            <w:vMerge w:val="restart"/>
            <w:vAlign w:val="center"/>
          </w:tcPr>
          <w:p w14:paraId="52DD7F78" w14:textId="77777777" w:rsidR="00E579B9" w:rsidRDefault="006A1398">
            <w:pPr>
              <w:pStyle w:val="aa"/>
            </w:pPr>
            <w:r>
              <w:rPr>
                <w:rFonts w:hint="eastAsia"/>
              </w:rPr>
              <w:t>固体废物名称</w:t>
            </w:r>
          </w:p>
        </w:tc>
        <w:tc>
          <w:tcPr>
            <w:tcW w:w="706" w:type="dxa"/>
            <w:vMerge w:val="restart"/>
            <w:vAlign w:val="center"/>
          </w:tcPr>
          <w:p w14:paraId="16700194" w14:textId="77777777" w:rsidR="00E579B9" w:rsidRDefault="006A1398">
            <w:pPr>
              <w:pStyle w:val="aa"/>
            </w:pPr>
            <w:r>
              <w:rPr>
                <w:rFonts w:hint="eastAsia"/>
              </w:rPr>
              <w:t>固废属性</w:t>
            </w:r>
          </w:p>
        </w:tc>
        <w:tc>
          <w:tcPr>
            <w:tcW w:w="1718" w:type="dxa"/>
            <w:gridSpan w:val="2"/>
            <w:vAlign w:val="center"/>
          </w:tcPr>
          <w:p w14:paraId="61F93C37" w14:textId="77777777" w:rsidR="00E579B9" w:rsidRDefault="006A1398">
            <w:pPr>
              <w:pStyle w:val="aa"/>
            </w:pPr>
            <w:r>
              <w:rPr>
                <w:rFonts w:hint="eastAsia"/>
              </w:rPr>
              <w:t>产生量</w:t>
            </w:r>
          </w:p>
        </w:tc>
        <w:tc>
          <w:tcPr>
            <w:tcW w:w="2262" w:type="dxa"/>
            <w:gridSpan w:val="2"/>
            <w:vAlign w:val="center"/>
          </w:tcPr>
          <w:p w14:paraId="318805B0" w14:textId="77777777" w:rsidR="00E579B9" w:rsidRDefault="006A1398">
            <w:pPr>
              <w:pStyle w:val="aa"/>
            </w:pPr>
            <w:r>
              <w:rPr>
                <w:rFonts w:hint="eastAsia"/>
              </w:rPr>
              <w:t>处置措施</w:t>
            </w:r>
          </w:p>
        </w:tc>
        <w:tc>
          <w:tcPr>
            <w:tcW w:w="2739" w:type="dxa"/>
            <w:vMerge w:val="restart"/>
            <w:vAlign w:val="center"/>
          </w:tcPr>
          <w:p w14:paraId="4A4F0681" w14:textId="77777777" w:rsidR="00E579B9" w:rsidRDefault="006A1398">
            <w:pPr>
              <w:pStyle w:val="aa"/>
            </w:pPr>
            <w:r>
              <w:rPr>
                <w:rFonts w:hint="eastAsia"/>
              </w:rPr>
              <w:t>最终去向</w:t>
            </w:r>
          </w:p>
        </w:tc>
      </w:tr>
      <w:tr w:rsidR="00E579B9" w14:paraId="41DFC9F5" w14:textId="77777777">
        <w:trPr>
          <w:trHeight w:val="660"/>
          <w:tblHeader/>
          <w:jc w:val="center"/>
        </w:trPr>
        <w:tc>
          <w:tcPr>
            <w:tcW w:w="672" w:type="dxa"/>
            <w:vMerge/>
            <w:vAlign w:val="center"/>
          </w:tcPr>
          <w:p w14:paraId="68A45A5A" w14:textId="77777777" w:rsidR="00E579B9" w:rsidRDefault="00E579B9">
            <w:pPr>
              <w:pStyle w:val="aa"/>
            </w:pPr>
          </w:p>
        </w:tc>
        <w:tc>
          <w:tcPr>
            <w:tcW w:w="849" w:type="dxa"/>
            <w:vMerge/>
            <w:vAlign w:val="center"/>
          </w:tcPr>
          <w:p w14:paraId="042B0DEF" w14:textId="77777777" w:rsidR="00E579B9" w:rsidRDefault="00E579B9">
            <w:pPr>
              <w:pStyle w:val="aa"/>
            </w:pPr>
          </w:p>
        </w:tc>
        <w:tc>
          <w:tcPr>
            <w:tcW w:w="706" w:type="dxa"/>
            <w:vMerge/>
            <w:vAlign w:val="center"/>
          </w:tcPr>
          <w:p w14:paraId="02C23822" w14:textId="77777777" w:rsidR="00E579B9" w:rsidRDefault="00E579B9">
            <w:pPr>
              <w:pStyle w:val="aa"/>
            </w:pPr>
          </w:p>
        </w:tc>
        <w:tc>
          <w:tcPr>
            <w:tcW w:w="847" w:type="dxa"/>
            <w:vAlign w:val="center"/>
          </w:tcPr>
          <w:p w14:paraId="6FF02D91" w14:textId="77777777" w:rsidR="00E579B9" w:rsidRDefault="006A1398">
            <w:pPr>
              <w:pStyle w:val="aa"/>
            </w:pPr>
            <w:r>
              <w:rPr>
                <w:rFonts w:hint="eastAsia"/>
              </w:rPr>
              <w:t>核算方法</w:t>
            </w:r>
          </w:p>
        </w:tc>
        <w:tc>
          <w:tcPr>
            <w:tcW w:w="871" w:type="dxa"/>
            <w:vAlign w:val="center"/>
          </w:tcPr>
          <w:p w14:paraId="6C10FCE0" w14:textId="77777777" w:rsidR="00E579B9" w:rsidRDefault="006A1398">
            <w:pPr>
              <w:pStyle w:val="aa"/>
            </w:pPr>
            <w:r>
              <w:rPr>
                <w:rFonts w:hint="eastAsia"/>
              </w:rPr>
              <w:t>产生量</w:t>
            </w:r>
          </w:p>
          <w:p w14:paraId="62C20F30" w14:textId="77777777" w:rsidR="00E579B9" w:rsidRDefault="006A1398">
            <w:pPr>
              <w:pStyle w:val="aa"/>
            </w:pPr>
            <w:r>
              <w:t>（</w:t>
            </w:r>
            <w:r>
              <w:rPr>
                <w:rFonts w:hint="eastAsia"/>
              </w:rPr>
              <w:t>t/a</w:t>
            </w:r>
            <w:r>
              <w:t>）</w:t>
            </w:r>
          </w:p>
        </w:tc>
        <w:tc>
          <w:tcPr>
            <w:tcW w:w="1131" w:type="dxa"/>
            <w:vAlign w:val="center"/>
          </w:tcPr>
          <w:p w14:paraId="49CDA158" w14:textId="77777777" w:rsidR="00E579B9" w:rsidRDefault="006A1398">
            <w:pPr>
              <w:pStyle w:val="aa"/>
            </w:pPr>
            <w:r>
              <w:rPr>
                <w:rFonts w:hint="eastAsia"/>
              </w:rPr>
              <w:t>工艺</w:t>
            </w:r>
          </w:p>
        </w:tc>
        <w:tc>
          <w:tcPr>
            <w:tcW w:w="1131" w:type="dxa"/>
            <w:vAlign w:val="center"/>
          </w:tcPr>
          <w:p w14:paraId="70B37EF0" w14:textId="77777777" w:rsidR="00E579B9" w:rsidRDefault="006A1398">
            <w:pPr>
              <w:pStyle w:val="aa"/>
            </w:pPr>
            <w:r>
              <w:rPr>
                <w:rFonts w:hint="eastAsia"/>
              </w:rPr>
              <w:t>处置量</w:t>
            </w:r>
            <w:r>
              <w:t>（</w:t>
            </w:r>
            <w:r>
              <w:t>t/a</w:t>
            </w:r>
            <w:r>
              <w:t>）</w:t>
            </w:r>
          </w:p>
        </w:tc>
        <w:tc>
          <w:tcPr>
            <w:tcW w:w="2739" w:type="dxa"/>
            <w:vMerge/>
            <w:vAlign w:val="center"/>
          </w:tcPr>
          <w:p w14:paraId="3119B274" w14:textId="77777777" w:rsidR="00E579B9" w:rsidRDefault="00E579B9">
            <w:pPr>
              <w:pStyle w:val="aa"/>
            </w:pPr>
          </w:p>
        </w:tc>
      </w:tr>
      <w:tr w:rsidR="00E579B9" w14:paraId="26EAEE6F" w14:textId="77777777">
        <w:trPr>
          <w:trHeight w:val="358"/>
          <w:jc w:val="center"/>
        </w:trPr>
        <w:tc>
          <w:tcPr>
            <w:tcW w:w="672" w:type="dxa"/>
            <w:vMerge w:val="restart"/>
            <w:vAlign w:val="center"/>
          </w:tcPr>
          <w:p w14:paraId="41539039" w14:textId="77777777" w:rsidR="00E579B9" w:rsidRDefault="006A1398">
            <w:pPr>
              <w:pStyle w:val="aa"/>
            </w:pPr>
            <w:r>
              <w:rPr>
                <w:rFonts w:hint="eastAsia"/>
              </w:rPr>
              <w:t>矿山开采</w:t>
            </w:r>
          </w:p>
        </w:tc>
        <w:tc>
          <w:tcPr>
            <w:tcW w:w="849" w:type="dxa"/>
            <w:vAlign w:val="center"/>
          </w:tcPr>
          <w:p w14:paraId="3DD0BAD7" w14:textId="77777777" w:rsidR="00E579B9" w:rsidRDefault="006A1398">
            <w:pPr>
              <w:pStyle w:val="aa"/>
            </w:pPr>
            <w:r>
              <w:rPr>
                <w:rFonts w:hint="eastAsia"/>
              </w:rPr>
              <w:t>表土</w:t>
            </w:r>
          </w:p>
        </w:tc>
        <w:tc>
          <w:tcPr>
            <w:tcW w:w="706" w:type="dxa"/>
            <w:vAlign w:val="center"/>
          </w:tcPr>
          <w:p w14:paraId="0B9CA5AC" w14:textId="77777777" w:rsidR="00E579B9" w:rsidRDefault="006A1398">
            <w:pPr>
              <w:pStyle w:val="aa"/>
            </w:pPr>
            <w:r>
              <w:rPr>
                <w:rFonts w:hint="eastAsia"/>
              </w:rPr>
              <w:t>一般固废</w:t>
            </w:r>
          </w:p>
        </w:tc>
        <w:tc>
          <w:tcPr>
            <w:tcW w:w="847" w:type="dxa"/>
            <w:vAlign w:val="center"/>
          </w:tcPr>
          <w:p w14:paraId="138C699D" w14:textId="77777777" w:rsidR="00E579B9" w:rsidRDefault="006A1398">
            <w:pPr>
              <w:pStyle w:val="aa"/>
            </w:pPr>
            <w:r>
              <w:rPr>
                <w:rFonts w:hint="eastAsia"/>
              </w:rPr>
              <w:t>物料衡算法</w:t>
            </w:r>
          </w:p>
        </w:tc>
        <w:tc>
          <w:tcPr>
            <w:tcW w:w="871" w:type="dxa"/>
            <w:vAlign w:val="center"/>
          </w:tcPr>
          <w:p w14:paraId="0CBC735F" w14:textId="77777777" w:rsidR="00E579B9" w:rsidRDefault="006A1398">
            <w:pPr>
              <w:pStyle w:val="aa"/>
            </w:pPr>
            <w:r>
              <w:t>6.448</w:t>
            </w:r>
            <w:r>
              <w:rPr>
                <w:rFonts w:hint="eastAsia"/>
              </w:rPr>
              <w:t>万</w:t>
            </w:r>
            <w:r>
              <w:rPr>
                <w:rFonts w:hint="eastAsia"/>
              </w:rPr>
              <w:t>t</w:t>
            </w:r>
          </w:p>
        </w:tc>
        <w:tc>
          <w:tcPr>
            <w:tcW w:w="1131" w:type="dxa"/>
            <w:vMerge w:val="restart"/>
            <w:vAlign w:val="center"/>
          </w:tcPr>
          <w:p w14:paraId="34A2B3FE" w14:textId="77777777" w:rsidR="00E579B9" w:rsidRDefault="006A1398">
            <w:pPr>
              <w:pStyle w:val="aa"/>
            </w:pPr>
            <w:r>
              <w:rPr>
                <w:rFonts w:hint="eastAsia"/>
              </w:rPr>
              <w:t>暂存于</w:t>
            </w:r>
            <w:proofErr w:type="gramStart"/>
            <w:r>
              <w:rPr>
                <w:rFonts w:hint="eastAsia"/>
              </w:rPr>
              <w:t>表土场</w:t>
            </w:r>
            <w:proofErr w:type="gramEnd"/>
          </w:p>
        </w:tc>
        <w:tc>
          <w:tcPr>
            <w:tcW w:w="1131" w:type="dxa"/>
            <w:vAlign w:val="center"/>
          </w:tcPr>
          <w:p w14:paraId="60DFDEC1" w14:textId="77777777" w:rsidR="00E579B9" w:rsidRDefault="006A1398">
            <w:pPr>
              <w:pStyle w:val="aa"/>
              <w:rPr>
                <w:highlight w:val="yellow"/>
              </w:rPr>
            </w:pPr>
            <w:r>
              <w:t>6.448</w:t>
            </w:r>
            <w:r>
              <w:rPr>
                <w:rFonts w:hint="eastAsia"/>
              </w:rPr>
              <w:t>万</w:t>
            </w:r>
            <w:r>
              <w:rPr>
                <w:rFonts w:hint="eastAsia"/>
              </w:rPr>
              <w:t>t</w:t>
            </w:r>
          </w:p>
        </w:tc>
        <w:tc>
          <w:tcPr>
            <w:tcW w:w="2739" w:type="dxa"/>
            <w:vMerge w:val="restart"/>
            <w:vAlign w:val="center"/>
          </w:tcPr>
          <w:p w14:paraId="077176E5" w14:textId="77777777" w:rsidR="00E579B9" w:rsidRDefault="006A1398">
            <w:pPr>
              <w:pStyle w:val="aa"/>
            </w:pPr>
            <w:proofErr w:type="gramStart"/>
            <w:r>
              <w:rPr>
                <w:rFonts w:hint="eastAsia"/>
              </w:rPr>
              <w:t>剥离物中残坡积物</w:t>
            </w:r>
            <w:proofErr w:type="gramEnd"/>
            <w:r>
              <w:rPr>
                <w:rFonts w:hint="eastAsia"/>
              </w:rPr>
              <w:t>可在废石剥离后随即运至终了台阶用作覆土绿化，前期可暂时堆放于表土堆场；碳质泥岩和页岩可直接卖给当地页岩砖厂，综合利用</w:t>
            </w:r>
          </w:p>
        </w:tc>
      </w:tr>
      <w:tr w:rsidR="00E579B9" w14:paraId="73C9F0CF" w14:textId="77777777">
        <w:trPr>
          <w:trHeight w:val="451"/>
          <w:jc w:val="center"/>
        </w:trPr>
        <w:tc>
          <w:tcPr>
            <w:tcW w:w="672" w:type="dxa"/>
            <w:vMerge/>
            <w:vAlign w:val="center"/>
          </w:tcPr>
          <w:p w14:paraId="1DC9D77E" w14:textId="77777777" w:rsidR="00E579B9" w:rsidRDefault="00E579B9">
            <w:pPr>
              <w:pStyle w:val="aa"/>
            </w:pPr>
          </w:p>
        </w:tc>
        <w:tc>
          <w:tcPr>
            <w:tcW w:w="849" w:type="dxa"/>
            <w:vAlign w:val="center"/>
          </w:tcPr>
          <w:p w14:paraId="635CB4F8" w14:textId="77777777" w:rsidR="00E579B9" w:rsidRDefault="006A1398">
            <w:pPr>
              <w:pStyle w:val="aa"/>
            </w:pPr>
            <w:r>
              <w:rPr>
                <w:rFonts w:hint="eastAsia"/>
              </w:rPr>
              <w:t>废石</w:t>
            </w:r>
          </w:p>
        </w:tc>
        <w:tc>
          <w:tcPr>
            <w:tcW w:w="706" w:type="dxa"/>
            <w:vAlign w:val="center"/>
          </w:tcPr>
          <w:p w14:paraId="769770C5" w14:textId="77777777" w:rsidR="00E579B9" w:rsidRDefault="006A1398">
            <w:pPr>
              <w:pStyle w:val="aa"/>
            </w:pPr>
            <w:r>
              <w:rPr>
                <w:rFonts w:hint="eastAsia"/>
              </w:rPr>
              <w:t>一般固废</w:t>
            </w:r>
          </w:p>
        </w:tc>
        <w:tc>
          <w:tcPr>
            <w:tcW w:w="847" w:type="dxa"/>
            <w:vAlign w:val="center"/>
          </w:tcPr>
          <w:p w14:paraId="2ACE3E3D" w14:textId="77777777" w:rsidR="00E579B9" w:rsidRDefault="006A1398">
            <w:pPr>
              <w:pStyle w:val="aa"/>
            </w:pPr>
            <w:r>
              <w:rPr>
                <w:rFonts w:hint="eastAsia"/>
              </w:rPr>
              <w:t>物料衡算法</w:t>
            </w:r>
          </w:p>
        </w:tc>
        <w:tc>
          <w:tcPr>
            <w:tcW w:w="871" w:type="dxa"/>
            <w:vAlign w:val="center"/>
          </w:tcPr>
          <w:p w14:paraId="453669A0" w14:textId="77777777" w:rsidR="00E579B9" w:rsidRDefault="006A1398">
            <w:pPr>
              <w:pStyle w:val="aa"/>
            </w:pPr>
            <w:r>
              <w:t>12.11</w:t>
            </w:r>
            <w:r>
              <w:rPr>
                <w:rFonts w:hint="eastAsia"/>
              </w:rPr>
              <w:t>万</w:t>
            </w:r>
          </w:p>
        </w:tc>
        <w:tc>
          <w:tcPr>
            <w:tcW w:w="1131" w:type="dxa"/>
            <w:vMerge/>
            <w:vAlign w:val="center"/>
          </w:tcPr>
          <w:p w14:paraId="537EF332" w14:textId="77777777" w:rsidR="00E579B9" w:rsidRDefault="00E579B9">
            <w:pPr>
              <w:pStyle w:val="aa"/>
            </w:pPr>
          </w:p>
        </w:tc>
        <w:tc>
          <w:tcPr>
            <w:tcW w:w="1131" w:type="dxa"/>
            <w:vAlign w:val="center"/>
          </w:tcPr>
          <w:p w14:paraId="4844975C" w14:textId="77777777" w:rsidR="00E579B9" w:rsidRDefault="006A1398">
            <w:pPr>
              <w:pStyle w:val="aa"/>
              <w:rPr>
                <w:highlight w:val="yellow"/>
              </w:rPr>
            </w:pPr>
            <w:r>
              <w:t>12.11</w:t>
            </w:r>
            <w:r>
              <w:rPr>
                <w:rFonts w:hint="eastAsia"/>
              </w:rPr>
              <w:t>万</w:t>
            </w:r>
          </w:p>
        </w:tc>
        <w:tc>
          <w:tcPr>
            <w:tcW w:w="2739" w:type="dxa"/>
            <w:vMerge/>
            <w:vAlign w:val="center"/>
          </w:tcPr>
          <w:p w14:paraId="0A6F883B" w14:textId="77777777" w:rsidR="00E579B9" w:rsidRDefault="00E579B9">
            <w:pPr>
              <w:pStyle w:val="aa"/>
            </w:pPr>
          </w:p>
        </w:tc>
      </w:tr>
      <w:tr w:rsidR="00E579B9" w14:paraId="49CC44FB" w14:textId="77777777">
        <w:trPr>
          <w:trHeight w:val="451"/>
          <w:jc w:val="center"/>
        </w:trPr>
        <w:tc>
          <w:tcPr>
            <w:tcW w:w="672" w:type="dxa"/>
            <w:vAlign w:val="center"/>
          </w:tcPr>
          <w:p w14:paraId="252829F1" w14:textId="77777777" w:rsidR="00E579B9" w:rsidRDefault="006A1398">
            <w:pPr>
              <w:pStyle w:val="aa"/>
            </w:pPr>
            <w:r>
              <w:rPr>
                <w:rFonts w:hint="eastAsia"/>
              </w:rPr>
              <w:t>破碎</w:t>
            </w:r>
          </w:p>
        </w:tc>
        <w:tc>
          <w:tcPr>
            <w:tcW w:w="849" w:type="dxa"/>
            <w:vAlign w:val="center"/>
          </w:tcPr>
          <w:p w14:paraId="10DDB608" w14:textId="77777777" w:rsidR="00E579B9" w:rsidRDefault="006A1398">
            <w:pPr>
              <w:pStyle w:val="aa"/>
            </w:pPr>
            <w:r>
              <w:rPr>
                <w:rFonts w:hint="eastAsia"/>
              </w:rPr>
              <w:t>袋式</w:t>
            </w:r>
            <w:r>
              <w:t>除尘器收集粉尘</w:t>
            </w:r>
          </w:p>
        </w:tc>
        <w:tc>
          <w:tcPr>
            <w:tcW w:w="706" w:type="dxa"/>
            <w:vAlign w:val="center"/>
          </w:tcPr>
          <w:p w14:paraId="249CFC38" w14:textId="77777777" w:rsidR="00E579B9" w:rsidRDefault="006A1398">
            <w:pPr>
              <w:pStyle w:val="aa"/>
            </w:pPr>
            <w:r>
              <w:rPr>
                <w:rFonts w:hint="eastAsia"/>
              </w:rPr>
              <w:t>一般固废</w:t>
            </w:r>
          </w:p>
        </w:tc>
        <w:tc>
          <w:tcPr>
            <w:tcW w:w="847" w:type="dxa"/>
            <w:vAlign w:val="center"/>
          </w:tcPr>
          <w:p w14:paraId="3584A35F" w14:textId="77777777" w:rsidR="00E579B9" w:rsidRDefault="006A1398">
            <w:pPr>
              <w:pStyle w:val="aa"/>
            </w:pPr>
            <w:r>
              <w:rPr>
                <w:rFonts w:hint="eastAsia"/>
              </w:rPr>
              <w:t>物料衡算法</w:t>
            </w:r>
          </w:p>
        </w:tc>
        <w:tc>
          <w:tcPr>
            <w:tcW w:w="871" w:type="dxa"/>
            <w:vAlign w:val="center"/>
          </w:tcPr>
          <w:p w14:paraId="3C7C41BD" w14:textId="77777777" w:rsidR="00E579B9" w:rsidRDefault="006A1398">
            <w:pPr>
              <w:pStyle w:val="aa"/>
              <w:rPr>
                <w:highlight w:val="yellow"/>
              </w:rPr>
            </w:pPr>
            <w:r>
              <w:rPr>
                <w:rFonts w:hint="eastAsia"/>
              </w:rPr>
              <w:t>14.63</w:t>
            </w:r>
          </w:p>
        </w:tc>
        <w:tc>
          <w:tcPr>
            <w:tcW w:w="1131" w:type="dxa"/>
            <w:vAlign w:val="center"/>
          </w:tcPr>
          <w:p w14:paraId="05F2BB6B" w14:textId="77777777" w:rsidR="00E579B9" w:rsidRDefault="006A1398">
            <w:pPr>
              <w:pStyle w:val="aa"/>
            </w:pPr>
            <w:r>
              <w:rPr>
                <w:rFonts w:hint="eastAsia"/>
              </w:rPr>
              <w:t>作为产品</w:t>
            </w:r>
            <w:r>
              <w:t>外售</w:t>
            </w:r>
          </w:p>
        </w:tc>
        <w:tc>
          <w:tcPr>
            <w:tcW w:w="1131" w:type="dxa"/>
            <w:vAlign w:val="center"/>
          </w:tcPr>
          <w:p w14:paraId="4C0C9D7C" w14:textId="77777777" w:rsidR="00E579B9" w:rsidRDefault="006A1398">
            <w:pPr>
              <w:pStyle w:val="aa"/>
              <w:rPr>
                <w:highlight w:val="yellow"/>
              </w:rPr>
            </w:pPr>
            <w:r>
              <w:rPr>
                <w:rFonts w:hint="eastAsia"/>
              </w:rPr>
              <w:t>14.63</w:t>
            </w:r>
          </w:p>
        </w:tc>
        <w:tc>
          <w:tcPr>
            <w:tcW w:w="2739" w:type="dxa"/>
            <w:vAlign w:val="center"/>
          </w:tcPr>
          <w:p w14:paraId="1B027EEF" w14:textId="77777777" w:rsidR="00E579B9" w:rsidRDefault="006A1398">
            <w:pPr>
              <w:pStyle w:val="aa"/>
            </w:pPr>
            <w:r>
              <w:rPr>
                <w:rFonts w:hint="eastAsia"/>
              </w:rPr>
              <w:t>作为</w:t>
            </w:r>
            <w:r>
              <w:t>产品外售</w:t>
            </w:r>
          </w:p>
        </w:tc>
      </w:tr>
      <w:tr w:rsidR="00E579B9" w14:paraId="697BE16C" w14:textId="77777777">
        <w:trPr>
          <w:trHeight w:val="649"/>
          <w:jc w:val="center"/>
        </w:trPr>
        <w:tc>
          <w:tcPr>
            <w:tcW w:w="672" w:type="dxa"/>
            <w:vAlign w:val="center"/>
          </w:tcPr>
          <w:p w14:paraId="3C7F26D4" w14:textId="77777777" w:rsidR="00E579B9" w:rsidRDefault="006A1398">
            <w:pPr>
              <w:pStyle w:val="aa"/>
            </w:pPr>
            <w:r>
              <w:rPr>
                <w:rFonts w:hint="eastAsia"/>
              </w:rPr>
              <w:t>职工生活</w:t>
            </w:r>
          </w:p>
        </w:tc>
        <w:tc>
          <w:tcPr>
            <w:tcW w:w="849" w:type="dxa"/>
            <w:vAlign w:val="center"/>
          </w:tcPr>
          <w:p w14:paraId="75015E17" w14:textId="77777777" w:rsidR="00E579B9" w:rsidRDefault="006A1398">
            <w:pPr>
              <w:pStyle w:val="aa"/>
            </w:pPr>
            <w:r>
              <w:rPr>
                <w:rFonts w:hint="eastAsia"/>
              </w:rPr>
              <w:t>生活垃圾</w:t>
            </w:r>
          </w:p>
        </w:tc>
        <w:tc>
          <w:tcPr>
            <w:tcW w:w="706" w:type="dxa"/>
            <w:vAlign w:val="center"/>
          </w:tcPr>
          <w:p w14:paraId="508398B5" w14:textId="77777777" w:rsidR="00E579B9" w:rsidRDefault="006A1398">
            <w:pPr>
              <w:pStyle w:val="aa"/>
            </w:pPr>
            <w:r>
              <w:rPr>
                <w:rFonts w:hint="eastAsia"/>
              </w:rPr>
              <w:t>一般固废</w:t>
            </w:r>
          </w:p>
        </w:tc>
        <w:tc>
          <w:tcPr>
            <w:tcW w:w="847" w:type="dxa"/>
            <w:vAlign w:val="center"/>
          </w:tcPr>
          <w:p w14:paraId="6386376F" w14:textId="77777777" w:rsidR="00E579B9" w:rsidRDefault="006A1398">
            <w:pPr>
              <w:pStyle w:val="aa"/>
            </w:pPr>
            <w:r>
              <w:rPr>
                <w:rFonts w:hint="eastAsia"/>
              </w:rPr>
              <w:t>经验系数</w:t>
            </w:r>
            <w:r>
              <w:t>法</w:t>
            </w:r>
          </w:p>
        </w:tc>
        <w:tc>
          <w:tcPr>
            <w:tcW w:w="871" w:type="dxa"/>
            <w:vAlign w:val="center"/>
          </w:tcPr>
          <w:p w14:paraId="2F099BCE" w14:textId="77777777" w:rsidR="00E579B9" w:rsidRDefault="006A1398">
            <w:pPr>
              <w:pStyle w:val="aa"/>
            </w:pPr>
            <w:r>
              <w:rPr>
                <w:rFonts w:hint="eastAsia"/>
              </w:rPr>
              <w:t>2</w:t>
            </w:r>
            <w:r>
              <w:t>2.26t</w:t>
            </w:r>
          </w:p>
        </w:tc>
        <w:tc>
          <w:tcPr>
            <w:tcW w:w="1131" w:type="dxa"/>
            <w:vAlign w:val="center"/>
          </w:tcPr>
          <w:p w14:paraId="1EAAF8B1" w14:textId="77777777" w:rsidR="00E579B9" w:rsidRDefault="006A1398">
            <w:pPr>
              <w:pStyle w:val="aa"/>
            </w:pPr>
            <w:r>
              <w:rPr>
                <w:rFonts w:hint="eastAsia"/>
              </w:rPr>
              <w:t>集中收集</w:t>
            </w:r>
          </w:p>
        </w:tc>
        <w:tc>
          <w:tcPr>
            <w:tcW w:w="1131" w:type="dxa"/>
            <w:vAlign w:val="center"/>
          </w:tcPr>
          <w:p w14:paraId="20136363" w14:textId="77777777" w:rsidR="00E579B9" w:rsidRDefault="006A1398">
            <w:pPr>
              <w:pStyle w:val="aa"/>
            </w:pPr>
            <w:r>
              <w:rPr>
                <w:rFonts w:hint="eastAsia"/>
              </w:rPr>
              <w:t>2</w:t>
            </w:r>
            <w:r>
              <w:t>2.26t</w:t>
            </w:r>
          </w:p>
        </w:tc>
        <w:tc>
          <w:tcPr>
            <w:tcW w:w="2739" w:type="dxa"/>
            <w:vAlign w:val="center"/>
          </w:tcPr>
          <w:p w14:paraId="22D89293" w14:textId="77777777" w:rsidR="00E579B9" w:rsidRDefault="006A1398">
            <w:pPr>
              <w:pStyle w:val="aa"/>
            </w:pPr>
            <w:r>
              <w:rPr>
                <w:rFonts w:hint="eastAsia"/>
              </w:rPr>
              <w:t>垃圾转运站</w:t>
            </w:r>
          </w:p>
        </w:tc>
      </w:tr>
    </w:tbl>
    <w:p w14:paraId="5083EC23" w14:textId="77777777" w:rsidR="00E579B9" w:rsidRDefault="006A1398">
      <w:pPr>
        <w:pStyle w:val="2"/>
        <w:ind w:firstLine="560"/>
      </w:pPr>
      <w:bookmarkStart w:id="163" w:name="_Toc25101"/>
      <w:bookmarkStart w:id="164" w:name="_Toc531939336"/>
      <w:bookmarkStart w:id="165" w:name="_Toc33021799"/>
      <w:bookmarkEnd w:id="159"/>
      <w:bookmarkEnd w:id="160"/>
      <w:r>
        <w:t>3.9</w:t>
      </w:r>
      <w:r>
        <w:t>营运期主要污染物排放量</w:t>
      </w:r>
      <w:bookmarkEnd w:id="163"/>
      <w:bookmarkEnd w:id="164"/>
      <w:r>
        <w:rPr>
          <w:rFonts w:hint="eastAsia"/>
        </w:rPr>
        <w:t>汇总</w:t>
      </w:r>
      <w:bookmarkEnd w:id="165"/>
    </w:p>
    <w:p w14:paraId="7006D6E0" w14:textId="77777777" w:rsidR="00E579B9" w:rsidRDefault="006A1398">
      <w:r>
        <w:t>通过上述分析，营运期主要污染物产排及治理情况见表</w:t>
      </w:r>
      <w:r>
        <w:t>3.9-</w:t>
      </w:r>
      <w:r>
        <w:rPr>
          <w:rFonts w:hint="eastAsia"/>
        </w:rPr>
        <w:t>1</w:t>
      </w:r>
      <w:r>
        <w:t>。</w:t>
      </w:r>
    </w:p>
    <w:p w14:paraId="516E393F" w14:textId="77777777" w:rsidR="00E579B9" w:rsidRDefault="006A1398">
      <w:pPr>
        <w:pStyle w:val="21"/>
      </w:pPr>
      <w:r>
        <w:rPr>
          <w:rFonts w:hint="eastAsia"/>
        </w:rPr>
        <w:t>表</w:t>
      </w:r>
      <w:r>
        <w:rPr>
          <w:rFonts w:hint="eastAsia"/>
        </w:rPr>
        <w:t>3</w:t>
      </w:r>
      <w:r>
        <w:t>.9</w:t>
      </w:r>
      <w:r>
        <w:rPr>
          <w:rFonts w:hint="eastAsia"/>
        </w:rPr>
        <w:t>-1</w:t>
      </w:r>
      <w:r>
        <w:rPr>
          <w:rFonts w:hint="eastAsia"/>
        </w:rPr>
        <w:t>项目运营</w:t>
      </w:r>
      <w:proofErr w:type="gramStart"/>
      <w:r>
        <w:rPr>
          <w:rFonts w:hint="eastAsia"/>
        </w:rPr>
        <w:t>期污染</w:t>
      </w:r>
      <w:proofErr w:type="gramEnd"/>
      <w:r>
        <w:rPr>
          <w:rFonts w:hint="eastAsia"/>
        </w:rPr>
        <w:t>物产排及治理情况一览表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665"/>
        <w:gridCol w:w="1181"/>
        <w:gridCol w:w="692"/>
        <w:gridCol w:w="1838"/>
        <w:gridCol w:w="1700"/>
        <w:gridCol w:w="2550"/>
      </w:tblGrid>
      <w:tr w:rsidR="00E579B9" w14:paraId="2B60D59E" w14:textId="77777777">
        <w:trPr>
          <w:trHeight w:val="601"/>
        </w:trPr>
        <w:tc>
          <w:tcPr>
            <w:tcW w:w="554" w:type="dxa"/>
            <w:vAlign w:val="center"/>
          </w:tcPr>
          <w:p w14:paraId="0C97190E"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项目</w:t>
            </w:r>
          </w:p>
        </w:tc>
        <w:tc>
          <w:tcPr>
            <w:tcW w:w="665" w:type="dxa"/>
            <w:vAlign w:val="center"/>
          </w:tcPr>
          <w:p w14:paraId="1BA8E888"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污染源</w:t>
            </w:r>
          </w:p>
        </w:tc>
        <w:tc>
          <w:tcPr>
            <w:tcW w:w="1873" w:type="dxa"/>
            <w:gridSpan w:val="2"/>
            <w:vAlign w:val="center"/>
          </w:tcPr>
          <w:p w14:paraId="39ED76F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污染物</w:t>
            </w:r>
          </w:p>
        </w:tc>
        <w:tc>
          <w:tcPr>
            <w:tcW w:w="1838" w:type="dxa"/>
            <w:vAlign w:val="center"/>
          </w:tcPr>
          <w:p w14:paraId="65F96EC4"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产生情况</w:t>
            </w:r>
          </w:p>
        </w:tc>
        <w:tc>
          <w:tcPr>
            <w:tcW w:w="1700" w:type="dxa"/>
            <w:vAlign w:val="center"/>
          </w:tcPr>
          <w:p w14:paraId="2D1B464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排放情况</w:t>
            </w:r>
          </w:p>
        </w:tc>
        <w:tc>
          <w:tcPr>
            <w:tcW w:w="2550" w:type="dxa"/>
            <w:vAlign w:val="center"/>
          </w:tcPr>
          <w:p w14:paraId="0A63A29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防治措施</w:t>
            </w:r>
          </w:p>
        </w:tc>
      </w:tr>
      <w:tr w:rsidR="00E579B9" w14:paraId="0535706E" w14:textId="77777777">
        <w:trPr>
          <w:trHeight w:val="55"/>
        </w:trPr>
        <w:tc>
          <w:tcPr>
            <w:tcW w:w="554" w:type="dxa"/>
            <w:vMerge w:val="restart"/>
            <w:vAlign w:val="center"/>
          </w:tcPr>
          <w:p w14:paraId="3CEFDDAC"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废水</w:t>
            </w:r>
          </w:p>
        </w:tc>
        <w:tc>
          <w:tcPr>
            <w:tcW w:w="665" w:type="dxa"/>
            <w:vMerge w:val="restart"/>
            <w:vAlign w:val="center"/>
          </w:tcPr>
          <w:p w14:paraId="5917F011"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生活污水</w:t>
            </w:r>
          </w:p>
        </w:tc>
        <w:tc>
          <w:tcPr>
            <w:tcW w:w="1873" w:type="dxa"/>
            <w:gridSpan w:val="2"/>
            <w:vAlign w:val="center"/>
          </w:tcPr>
          <w:p w14:paraId="06619B30"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废水量</w:t>
            </w:r>
          </w:p>
        </w:tc>
        <w:tc>
          <w:tcPr>
            <w:tcW w:w="1838" w:type="dxa"/>
            <w:vAlign w:val="center"/>
          </w:tcPr>
          <w:p w14:paraId="698B4033"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2136.93m</w:t>
            </w:r>
            <w:r>
              <w:rPr>
                <w:rFonts w:cs="Times New Roman"/>
                <w:sz w:val="21"/>
                <w:szCs w:val="21"/>
                <w:vertAlign w:val="superscript"/>
              </w:rPr>
              <w:t>3</w:t>
            </w:r>
            <w:r>
              <w:rPr>
                <w:rFonts w:cs="Times New Roman"/>
                <w:sz w:val="21"/>
                <w:szCs w:val="21"/>
              </w:rPr>
              <w:t>/a</w:t>
            </w:r>
          </w:p>
        </w:tc>
        <w:tc>
          <w:tcPr>
            <w:tcW w:w="1700" w:type="dxa"/>
            <w:vAlign w:val="center"/>
          </w:tcPr>
          <w:p w14:paraId="1E2AD47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2136.93</w:t>
            </w:r>
            <w:r>
              <w:rPr>
                <w:rFonts w:cs="Times New Roman"/>
                <w:sz w:val="21"/>
                <w:szCs w:val="21"/>
              </w:rPr>
              <w:t>m</w:t>
            </w:r>
            <w:r>
              <w:rPr>
                <w:rFonts w:cs="Times New Roman"/>
                <w:sz w:val="21"/>
                <w:szCs w:val="21"/>
                <w:vertAlign w:val="superscript"/>
              </w:rPr>
              <w:t>3</w:t>
            </w:r>
            <w:r>
              <w:rPr>
                <w:rFonts w:cs="Times New Roman"/>
                <w:sz w:val="21"/>
                <w:szCs w:val="21"/>
              </w:rPr>
              <w:t>/a</w:t>
            </w:r>
          </w:p>
        </w:tc>
        <w:tc>
          <w:tcPr>
            <w:tcW w:w="2550" w:type="dxa"/>
            <w:vMerge w:val="restart"/>
            <w:vAlign w:val="center"/>
          </w:tcPr>
          <w:p w14:paraId="6C25E7AB"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矿区生活污水经地埋式一体化污水处理系统（</w:t>
            </w:r>
            <w:r>
              <w:rPr>
                <w:rFonts w:cs="Times New Roman" w:hint="eastAsia"/>
                <w:sz w:val="21"/>
                <w:szCs w:val="21"/>
              </w:rPr>
              <w:t>1</w:t>
            </w:r>
            <w:r>
              <w:rPr>
                <w:rFonts w:cs="Times New Roman"/>
                <w:sz w:val="21"/>
                <w:szCs w:val="21"/>
              </w:rPr>
              <w:t>0</w:t>
            </w:r>
            <w:r>
              <w:rPr>
                <w:rFonts w:cs="Times New Roman" w:hint="eastAsia"/>
                <w:sz w:val="21"/>
                <w:szCs w:val="21"/>
              </w:rPr>
              <w:t>m</w:t>
            </w:r>
            <w:r>
              <w:rPr>
                <w:rFonts w:cs="Times New Roman" w:hint="eastAsia"/>
                <w:sz w:val="21"/>
                <w:szCs w:val="21"/>
                <w:vertAlign w:val="superscript"/>
              </w:rPr>
              <w:t>3</w:t>
            </w:r>
            <w:r>
              <w:rPr>
                <w:rFonts w:cs="Times New Roman" w:hint="eastAsia"/>
                <w:sz w:val="21"/>
                <w:szCs w:val="21"/>
              </w:rPr>
              <w:t>/d</w:t>
            </w:r>
            <w:r>
              <w:rPr>
                <w:rFonts w:ascii="宋体" w:hAnsi="宋体" w:cs="Times New Roman" w:hint="eastAsia"/>
                <w:sz w:val="21"/>
                <w:szCs w:val="21"/>
              </w:rPr>
              <w:t>）处理后用于矿区防尘洒水</w:t>
            </w:r>
            <w:r>
              <w:rPr>
                <w:rFonts w:cs="Times New Roman"/>
                <w:sz w:val="21"/>
                <w:szCs w:val="21"/>
              </w:rPr>
              <w:t>，不外排</w:t>
            </w:r>
          </w:p>
        </w:tc>
      </w:tr>
      <w:tr w:rsidR="00E579B9" w14:paraId="0C1C476F" w14:textId="77777777">
        <w:trPr>
          <w:trHeight w:val="65"/>
        </w:trPr>
        <w:tc>
          <w:tcPr>
            <w:tcW w:w="554" w:type="dxa"/>
            <w:vMerge/>
            <w:vAlign w:val="center"/>
          </w:tcPr>
          <w:p w14:paraId="6E26CF40" w14:textId="77777777" w:rsidR="00E579B9" w:rsidRDefault="00E579B9">
            <w:pPr>
              <w:spacing w:line="240" w:lineRule="auto"/>
              <w:ind w:firstLineChars="0" w:firstLine="0"/>
              <w:jc w:val="center"/>
              <w:rPr>
                <w:rFonts w:cs="Times New Roman"/>
                <w:sz w:val="21"/>
                <w:szCs w:val="21"/>
              </w:rPr>
            </w:pPr>
          </w:p>
        </w:tc>
        <w:tc>
          <w:tcPr>
            <w:tcW w:w="665" w:type="dxa"/>
            <w:vMerge/>
            <w:vAlign w:val="center"/>
          </w:tcPr>
          <w:p w14:paraId="61E9B94B" w14:textId="77777777" w:rsidR="00E579B9" w:rsidRDefault="00E579B9">
            <w:pPr>
              <w:spacing w:line="240" w:lineRule="auto"/>
              <w:ind w:firstLineChars="0" w:firstLine="0"/>
              <w:jc w:val="center"/>
              <w:rPr>
                <w:rFonts w:cs="Times New Roman"/>
                <w:sz w:val="21"/>
                <w:szCs w:val="21"/>
              </w:rPr>
            </w:pPr>
          </w:p>
        </w:tc>
        <w:tc>
          <w:tcPr>
            <w:tcW w:w="1873" w:type="dxa"/>
            <w:gridSpan w:val="2"/>
            <w:vAlign w:val="center"/>
          </w:tcPr>
          <w:p w14:paraId="5E765394"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COD</w:t>
            </w:r>
          </w:p>
        </w:tc>
        <w:tc>
          <w:tcPr>
            <w:tcW w:w="1838" w:type="dxa"/>
            <w:vAlign w:val="center"/>
          </w:tcPr>
          <w:p w14:paraId="7C712CB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0.</w:t>
            </w:r>
            <w:r>
              <w:rPr>
                <w:rFonts w:cs="Times New Roman"/>
                <w:sz w:val="21"/>
                <w:szCs w:val="21"/>
              </w:rPr>
              <w:t>6411t</w:t>
            </w:r>
            <w:r>
              <w:rPr>
                <w:rFonts w:cs="Times New Roman" w:hint="eastAsia"/>
                <w:sz w:val="21"/>
                <w:szCs w:val="21"/>
              </w:rPr>
              <w:t>/a</w:t>
            </w:r>
            <w:r>
              <w:rPr>
                <w:rFonts w:ascii="宋体" w:hAnsi="宋体" w:cs="Times New Roman" w:hint="eastAsia"/>
                <w:sz w:val="21"/>
                <w:szCs w:val="21"/>
              </w:rPr>
              <w:t>、</w:t>
            </w:r>
            <w:r>
              <w:rPr>
                <w:rFonts w:cs="Times New Roman"/>
                <w:sz w:val="21"/>
                <w:szCs w:val="21"/>
              </w:rPr>
              <w:t>300mg/L</w:t>
            </w:r>
          </w:p>
        </w:tc>
        <w:tc>
          <w:tcPr>
            <w:tcW w:w="1700" w:type="dxa"/>
            <w:vAlign w:val="center"/>
          </w:tcPr>
          <w:p w14:paraId="1CCDE537"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0.</w:t>
            </w:r>
            <w:r>
              <w:rPr>
                <w:rFonts w:cs="Times New Roman"/>
                <w:sz w:val="21"/>
                <w:szCs w:val="21"/>
              </w:rPr>
              <w:t>2597t</w:t>
            </w:r>
            <w:r>
              <w:rPr>
                <w:rFonts w:cs="Times New Roman" w:hint="eastAsia"/>
                <w:sz w:val="21"/>
                <w:szCs w:val="21"/>
              </w:rPr>
              <w:t>/a</w:t>
            </w:r>
            <w:r>
              <w:rPr>
                <w:rFonts w:ascii="宋体" w:hAnsi="宋体" w:cs="Times New Roman" w:hint="eastAsia"/>
                <w:sz w:val="21"/>
                <w:szCs w:val="21"/>
              </w:rPr>
              <w:t>、</w:t>
            </w:r>
            <w:r>
              <w:rPr>
                <w:rFonts w:cs="Times New Roman"/>
                <w:sz w:val="21"/>
                <w:szCs w:val="21"/>
              </w:rPr>
              <w:t>120mg/L</w:t>
            </w:r>
          </w:p>
        </w:tc>
        <w:tc>
          <w:tcPr>
            <w:tcW w:w="2550" w:type="dxa"/>
            <w:vMerge/>
            <w:vAlign w:val="center"/>
          </w:tcPr>
          <w:p w14:paraId="21DF3C62" w14:textId="77777777" w:rsidR="00E579B9" w:rsidRDefault="00E579B9">
            <w:pPr>
              <w:spacing w:line="240" w:lineRule="auto"/>
              <w:ind w:firstLineChars="0" w:firstLine="0"/>
              <w:rPr>
                <w:rFonts w:cs="Times New Roman"/>
                <w:sz w:val="21"/>
                <w:szCs w:val="21"/>
              </w:rPr>
            </w:pPr>
          </w:p>
        </w:tc>
      </w:tr>
      <w:tr w:rsidR="00E579B9" w14:paraId="13ADBE0F" w14:textId="77777777">
        <w:trPr>
          <w:trHeight w:val="56"/>
        </w:trPr>
        <w:tc>
          <w:tcPr>
            <w:tcW w:w="554" w:type="dxa"/>
            <w:vMerge/>
            <w:vAlign w:val="center"/>
          </w:tcPr>
          <w:p w14:paraId="33ED19E8" w14:textId="77777777" w:rsidR="00E579B9" w:rsidRDefault="00E579B9">
            <w:pPr>
              <w:spacing w:line="240" w:lineRule="auto"/>
              <w:ind w:firstLineChars="0" w:firstLine="0"/>
              <w:jc w:val="center"/>
              <w:rPr>
                <w:rFonts w:cs="Times New Roman"/>
                <w:sz w:val="21"/>
                <w:szCs w:val="21"/>
              </w:rPr>
            </w:pPr>
          </w:p>
        </w:tc>
        <w:tc>
          <w:tcPr>
            <w:tcW w:w="665" w:type="dxa"/>
            <w:vMerge/>
            <w:vAlign w:val="center"/>
          </w:tcPr>
          <w:p w14:paraId="2A07B60B" w14:textId="77777777" w:rsidR="00E579B9" w:rsidRDefault="00E579B9">
            <w:pPr>
              <w:spacing w:line="240" w:lineRule="auto"/>
              <w:ind w:firstLineChars="0" w:firstLine="0"/>
              <w:jc w:val="center"/>
              <w:rPr>
                <w:rFonts w:cs="Times New Roman"/>
                <w:sz w:val="21"/>
                <w:szCs w:val="21"/>
              </w:rPr>
            </w:pPr>
          </w:p>
        </w:tc>
        <w:tc>
          <w:tcPr>
            <w:tcW w:w="1873" w:type="dxa"/>
            <w:gridSpan w:val="2"/>
            <w:vAlign w:val="center"/>
          </w:tcPr>
          <w:p w14:paraId="04DF98E5"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氨氮</w:t>
            </w:r>
          </w:p>
        </w:tc>
        <w:tc>
          <w:tcPr>
            <w:tcW w:w="1838" w:type="dxa"/>
            <w:vAlign w:val="center"/>
          </w:tcPr>
          <w:p w14:paraId="10F934F4"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0.05342t/a</w:t>
            </w:r>
            <w:r>
              <w:rPr>
                <w:rFonts w:ascii="宋体" w:hAnsi="宋体" w:cs="Times New Roman" w:hint="eastAsia"/>
                <w:sz w:val="21"/>
                <w:szCs w:val="21"/>
              </w:rPr>
              <w:t>、</w:t>
            </w:r>
            <w:r>
              <w:rPr>
                <w:rFonts w:cs="Times New Roman"/>
                <w:sz w:val="21"/>
                <w:szCs w:val="21"/>
              </w:rPr>
              <w:t>25mg/L</w:t>
            </w:r>
          </w:p>
        </w:tc>
        <w:tc>
          <w:tcPr>
            <w:tcW w:w="1700" w:type="dxa"/>
            <w:vAlign w:val="center"/>
          </w:tcPr>
          <w:p w14:paraId="43712B1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0.</w:t>
            </w:r>
            <w:r>
              <w:rPr>
                <w:rFonts w:cs="Times New Roman"/>
                <w:sz w:val="21"/>
                <w:szCs w:val="21"/>
              </w:rPr>
              <w:t>02137t</w:t>
            </w:r>
            <w:r>
              <w:rPr>
                <w:rFonts w:cs="Times New Roman" w:hint="eastAsia"/>
                <w:sz w:val="21"/>
                <w:szCs w:val="21"/>
              </w:rPr>
              <w:t>/a</w:t>
            </w:r>
            <w:r>
              <w:rPr>
                <w:rFonts w:ascii="宋体" w:hAnsi="宋体" w:cs="Times New Roman" w:hint="eastAsia"/>
                <w:sz w:val="21"/>
                <w:szCs w:val="21"/>
              </w:rPr>
              <w:t>、</w:t>
            </w:r>
            <w:r>
              <w:rPr>
                <w:rFonts w:cs="Times New Roman"/>
                <w:sz w:val="21"/>
                <w:szCs w:val="21"/>
              </w:rPr>
              <w:t>10mg/L</w:t>
            </w:r>
          </w:p>
        </w:tc>
        <w:tc>
          <w:tcPr>
            <w:tcW w:w="2550" w:type="dxa"/>
            <w:vMerge/>
            <w:vAlign w:val="center"/>
          </w:tcPr>
          <w:p w14:paraId="678FD365" w14:textId="77777777" w:rsidR="00E579B9" w:rsidRDefault="00E579B9">
            <w:pPr>
              <w:spacing w:line="240" w:lineRule="auto"/>
              <w:ind w:firstLineChars="0" w:firstLine="0"/>
              <w:rPr>
                <w:rFonts w:cs="Times New Roman"/>
                <w:sz w:val="21"/>
                <w:szCs w:val="21"/>
              </w:rPr>
            </w:pPr>
          </w:p>
        </w:tc>
      </w:tr>
      <w:tr w:rsidR="00E579B9" w14:paraId="35003735" w14:textId="77777777">
        <w:trPr>
          <w:trHeight w:val="65"/>
        </w:trPr>
        <w:tc>
          <w:tcPr>
            <w:tcW w:w="554" w:type="dxa"/>
            <w:vMerge/>
            <w:vAlign w:val="center"/>
          </w:tcPr>
          <w:p w14:paraId="0B60FC4D" w14:textId="77777777" w:rsidR="00E579B9" w:rsidRDefault="00E579B9">
            <w:pPr>
              <w:spacing w:line="240" w:lineRule="auto"/>
              <w:ind w:firstLineChars="0" w:firstLine="0"/>
              <w:jc w:val="center"/>
              <w:rPr>
                <w:rFonts w:cs="Times New Roman"/>
                <w:sz w:val="21"/>
                <w:szCs w:val="21"/>
              </w:rPr>
            </w:pPr>
          </w:p>
        </w:tc>
        <w:tc>
          <w:tcPr>
            <w:tcW w:w="2538" w:type="dxa"/>
            <w:gridSpan w:val="3"/>
            <w:vAlign w:val="center"/>
          </w:tcPr>
          <w:p w14:paraId="22BBC7F4"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车辆清洗用水</w:t>
            </w:r>
          </w:p>
        </w:tc>
        <w:tc>
          <w:tcPr>
            <w:tcW w:w="1838" w:type="dxa"/>
            <w:vAlign w:val="center"/>
          </w:tcPr>
          <w:p w14:paraId="18F2950A"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184.8m</w:t>
            </w:r>
            <w:r>
              <w:rPr>
                <w:rFonts w:cs="Times New Roman"/>
                <w:sz w:val="21"/>
                <w:szCs w:val="21"/>
                <w:vertAlign w:val="superscript"/>
              </w:rPr>
              <w:t>3</w:t>
            </w:r>
            <w:r>
              <w:rPr>
                <w:rFonts w:cs="Times New Roman"/>
                <w:sz w:val="21"/>
                <w:szCs w:val="21"/>
              </w:rPr>
              <w:t>/a</w:t>
            </w:r>
          </w:p>
        </w:tc>
        <w:tc>
          <w:tcPr>
            <w:tcW w:w="1700" w:type="dxa"/>
            <w:vAlign w:val="center"/>
          </w:tcPr>
          <w:p w14:paraId="2D4C595B"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w:t>
            </w:r>
          </w:p>
        </w:tc>
        <w:tc>
          <w:tcPr>
            <w:tcW w:w="2550" w:type="dxa"/>
            <w:vAlign w:val="center"/>
          </w:tcPr>
          <w:p w14:paraId="650CBECA"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沉淀</w:t>
            </w:r>
            <w:r>
              <w:rPr>
                <w:rFonts w:cs="Times New Roman" w:hint="eastAsia"/>
                <w:sz w:val="21"/>
                <w:szCs w:val="21"/>
              </w:rPr>
              <w:t>池（</w:t>
            </w:r>
            <w:r>
              <w:rPr>
                <w:rFonts w:cs="Times New Roman" w:hint="eastAsia"/>
                <w:sz w:val="21"/>
                <w:szCs w:val="21"/>
              </w:rPr>
              <w:t>5m</w:t>
            </w:r>
            <w:r>
              <w:rPr>
                <w:rFonts w:cs="Times New Roman" w:hint="eastAsia"/>
                <w:sz w:val="21"/>
                <w:szCs w:val="21"/>
                <w:vertAlign w:val="superscript"/>
              </w:rPr>
              <w:t>3</w:t>
            </w:r>
            <w:r>
              <w:rPr>
                <w:rFonts w:cs="Times New Roman" w:hint="eastAsia"/>
                <w:sz w:val="21"/>
                <w:szCs w:val="21"/>
              </w:rPr>
              <w:t>）</w:t>
            </w:r>
            <w:r>
              <w:rPr>
                <w:rFonts w:cs="Times New Roman"/>
                <w:sz w:val="21"/>
                <w:szCs w:val="21"/>
              </w:rPr>
              <w:t>后回用于洗车，不外排</w:t>
            </w:r>
          </w:p>
        </w:tc>
      </w:tr>
      <w:tr w:rsidR="00E579B9" w14:paraId="1D28FFC1" w14:textId="77777777">
        <w:trPr>
          <w:trHeight w:val="65"/>
        </w:trPr>
        <w:tc>
          <w:tcPr>
            <w:tcW w:w="554" w:type="dxa"/>
            <w:vMerge/>
            <w:vAlign w:val="center"/>
          </w:tcPr>
          <w:p w14:paraId="6452AE57" w14:textId="77777777" w:rsidR="00E579B9" w:rsidRDefault="00E579B9">
            <w:pPr>
              <w:spacing w:line="240" w:lineRule="auto"/>
              <w:ind w:firstLineChars="0" w:firstLine="0"/>
              <w:jc w:val="center"/>
              <w:rPr>
                <w:rFonts w:cs="Times New Roman"/>
                <w:sz w:val="21"/>
                <w:szCs w:val="21"/>
              </w:rPr>
            </w:pPr>
          </w:p>
        </w:tc>
        <w:tc>
          <w:tcPr>
            <w:tcW w:w="2538" w:type="dxa"/>
            <w:gridSpan w:val="3"/>
            <w:vAlign w:val="center"/>
          </w:tcPr>
          <w:p w14:paraId="52F7216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凿岩、</w:t>
            </w:r>
            <w:proofErr w:type="gramStart"/>
            <w:r>
              <w:rPr>
                <w:rFonts w:cs="Times New Roman" w:hint="eastAsia"/>
                <w:sz w:val="21"/>
                <w:szCs w:val="21"/>
              </w:rPr>
              <w:t>爆破抑尘洒水</w:t>
            </w:r>
            <w:proofErr w:type="gramEnd"/>
          </w:p>
        </w:tc>
        <w:tc>
          <w:tcPr>
            <w:tcW w:w="1838" w:type="dxa"/>
            <w:vAlign w:val="center"/>
          </w:tcPr>
          <w:p w14:paraId="6DC8AE60"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1400m</w:t>
            </w:r>
            <w:r>
              <w:rPr>
                <w:rFonts w:cs="Times New Roman"/>
                <w:sz w:val="21"/>
                <w:szCs w:val="21"/>
                <w:vertAlign w:val="superscript"/>
              </w:rPr>
              <w:t>3</w:t>
            </w:r>
            <w:r>
              <w:rPr>
                <w:rFonts w:cs="Times New Roman"/>
                <w:sz w:val="21"/>
                <w:szCs w:val="21"/>
              </w:rPr>
              <w:t>/a</w:t>
            </w:r>
          </w:p>
        </w:tc>
        <w:tc>
          <w:tcPr>
            <w:tcW w:w="1700" w:type="dxa"/>
            <w:vAlign w:val="center"/>
          </w:tcPr>
          <w:p w14:paraId="46D689CB"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w:t>
            </w:r>
          </w:p>
        </w:tc>
        <w:tc>
          <w:tcPr>
            <w:tcW w:w="2550" w:type="dxa"/>
            <w:vMerge w:val="restart"/>
            <w:vAlign w:val="center"/>
          </w:tcPr>
          <w:p w14:paraId="2F71006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自然蒸发，不外排</w:t>
            </w:r>
          </w:p>
        </w:tc>
      </w:tr>
      <w:tr w:rsidR="00E579B9" w14:paraId="112C37EA" w14:textId="77777777">
        <w:trPr>
          <w:trHeight w:val="65"/>
        </w:trPr>
        <w:tc>
          <w:tcPr>
            <w:tcW w:w="554" w:type="dxa"/>
            <w:vMerge/>
            <w:vAlign w:val="center"/>
          </w:tcPr>
          <w:p w14:paraId="48E85984" w14:textId="77777777" w:rsidR="00E579B9" w:rsidRDefault="00E579B9">
            <w:pPr>
              <w:spacing w:line="240" w:lineRule="auto"/>
              <w:ind w:firstLineChars="0" w:firstLine="0"/>
              <w:jc w:val="center"/>
              <w:rPr>
                <w:rFonts w:cs="Times New Roman"/>
                <w:sz w:val="21"/>
                <w:szCs w:val="21"/>
              </w:rPr>
            </w:pPr>
          </w:p>
        </w:tc>
        <w:tc>
          <w:tcPr>
            <w:tcW w:w="2538" w:type="dxa"/>
            <w:gridSpan w:val="3"/>
            <w:vAlign w:val="center"/>
          </w:tcPr>
          <w:p w14:paraId="14BF04F5" w14:textId="77777777" w:rsidR="00E579B9" w:rsidRDefault="006A1398">
            <w:pPr>
              <w:widowControl w:val="0"/>
              <w:spacing w:line="360" w:lineRule="exact"/>
              <w:ind w:firstLineChars="0" w:firstLine="0"/>
              <w:jc w:val="center"/>
              <w:rPr>
                <w:rFonts w:cs="Times New Roman"/>
                <w:sz w:val="21"/>
                <w:szCs w:val="21"/>
              </w:rPr>
            </w:pPr>
            <w:proofErr w:type="gramStart"/>
            <w:r>
              <w:rPr>
                <w:rFonts w:cs="Times New Roman" w:hint="eastAsia"/>
                <w:sz w:val="21"/>
                <w:szCs w:val="21"/>
              </w:rPr>
              <w:t>道路</w:t>
            </w:r>
            <w:r>
              <w:rPr>
                <w:rFonts w:cs="Times New Roman"/>
                <w:sz w:val="21"/>
                <w:szCs w:val="21"/>
              </w:rPr>
              <w:t>抑尘洒水</w:t>
            </w:r>
            <w:proofErr w:type="gramEnd"/>
          </w:p>
        </w:tc>
        <w:tc>
          <w:tcPr>
            <w:tcW w:w="1838" w:type="dxa"/>
            <w:vAlign w:val="center"/>
          </w:tcPr>
          <w:p w14:paraId="7F2DE2F9"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1050m</w:t>
            </w:r>
            <w:r>
              <w:rPr>
                <w:rFonts w:cs="Times New Roman"/>
                <w:sz w:val="21"/>
                <w:szCs w:val="21"/>
                <w:vertAlign w:val="superscript"/>
              </w:rPr>
              <w:t>3</w:t>
            </w:r>
            <w:r>
              <w:rPr>
                <w:rFonts w:cs="Times New Roman"/>
                <w:sz w:val="21"/>
                <w:szCs w:val="21"/>
              </w:rPr>
              <w:t>/a</w:t>
            </w:r>
          </w:p>
        </w:tc>
        <w:tc>
          <w:tcPr>
            <w:tcW w:w="1700" w:type="dxa"/>
            <w:vAlign w:val="center"/>
          </w:tcPr>
          <w:p w14:paraId="1E695E9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w:t>
            </w:r>
          </w:p>
        </w:tc>
        <w:tc>
          <w:tcPr>
            <w:tcW w:w="2550" w:type="dxa"/>
            <w:vMerge/>
            <w:vAlign w:val="center"/>
          </w:tcPr>
          <w:p w14:paraId="4B5EDC0A" w14:textId="77777777" w:rsidR="00E579B9" w:rsidRDefault="00E579B9">
            <w:pPr>
              <w:widowControl w:val="0"/>
              <w:spacing w:line="360" w:lineRule="exact"/>
              <w:ind w:firstLineChars="0" w:firstLine="0"/>
              <w:jc w:val="center"/>
              <w:rPr>
                <w:rFonts w:cs="Times New Roman"/>
                <w:sz w:val="21"/>
                <w:szCs w:val="21"/>
              </w:rPr>
            </w:pPr>
          </w:p>
        </w:tc>
      </w:tr>
      <w:tr w:rsidR="00E579B9" w14:paraId="4FC9451B" w14:textId="77777777">
        <w:trPr>
          <w:trHeight w:val="65"/>
        </w:trPr>
        <w:tc>
          <w:tcPr>
            <w:tcW w:w="554" w:type="dxa"/>
            <w:vMerge/>
            <w:vAlign w:val="center"/>
          </w:tcPr>
          <w:p w14:paraId="6869BC09" w14:textId="77777777" w:rsidR="00E579B9" w:rsidRDefault="00E579B9">
            <w:pPr>
              <w:spacing w:line="240" w:lineRule="auto"/>
              <w:ind w:firstLineChars="0" w:firstLine="0"/>
              <w:jc w:val="center"/>
              <w:rPr>
                <w:rFonts w:cs="Times New Roman"/>
                <w:sz w:val="21"/>
                <w:szCs w:val="21"/>
              </w:rPr>
            </w:pPr>
          </w:p>
        </w:tc>
        <w:tc>
          <w:tcPr>
            <w:tcW w:w="2538" w:type="dxa"/>
            <w:gridSpan w:val="3"/>
            <w:vAlign w:val="center"/>
          </w:tcPr>
          <w:p w14:paraId="3B5F8FAB"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矿石装卸</w:t>
            </w:r>
          </w:p>
        </w:tc>
        <w:tc>
          <w:tcPr>
            <w:tcW w:w="1838" w:type="dxa"/>
            <w:vAlign w:val="center"/>
          </w:tcPr>
          <w:p w14:paraId="5C176A43"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23000m</w:t>
            </w:r>
            <w:r>
              <w:rPr>
                <w:rFonts w:cs="Times New Roman"/>
                <w:sz w:val="21"/>
                <w:szCs w:val="21"/>
                <w:vertAlign w:val="superscript"/>
              </w:rPr>
              <w:t>3</w:t>
            </w:r>
            <w:r>
              <w:rPr>
                <w:rFonts w:cs="Times New Roman"/>
                <w:sz w:val="21"/>
                <w:szCs w:val="21"/>
              </w:rPr>
              <w:t>/a</w:t>
            </w:r>
          </w:p>
        </w:tc>
        <w:tc>
          <w:tcPr>
            <w:tcW w:w="1700" w:type="dxa"/>
            <w:vAlign w:val="center"/>
          </w:tcPr>
          <w:p w14:paraId="09546FB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w:t>
            </w:r>
          </w:p>
        </w:tc>
        <w:tc>
          <w:tcPr>
            <w:tcW w:w="2550" w:type="dxa"/>
            <w:vMerge/>
            <w:vAlign w:val="center"/>
          </w:tcPr>
          <w:p w14:paraId="074DD3F6" w14:textId="77777777" w:rsidR="00E579B9" w:rsidRDefault="00E579B9">
            <w:pPr>
              <w:widowControl w:val="0"/>
              <w:spacing w:line="360" w:lineRule="exact"/>
              <w:ind w:firstLineChars="0" w:firstLine="0"/>
              <w:jc w:val="center"/>
              <w:rPr>
                <w:rFonts w:cs="Times New Roman"/>
                <w:sz w:val="21"/>
                <w:szCs w:val="21"/>
              </w:rPr>
            </w:pPr>
          </w:p>
        </w:tc>
      </w:tr>
      <w:tr w:rsidR="00E579B9" w14:paraId="37027829" w14:textId="77777777">
        <w:trPr>
          <w:trHeight w:val="65"/>
        </w:trPr>
        <w:tc>
          <w:tcPr>
            <w:tcW w:w="554" w:type="dxa"/>
            <w:vMerge/>
            <w:vAlign w:val="center"/>
          </w:tcPr>
          <w:p w14:paraId="776CF43F" w14:textId="77777777" w:rsidR="00E579B9" w:rsidRDefault="00E579B9">
            <w:pPr>
              <w:spacing w:line="240" w:lineRule="auto"/>
              <w:ind w:firstLineChars="0" w:firstLine="0"/>
              <w:rPr>
                <w:rFonts w:cs="Times New Roman"/>
                <w:sz w:val="21"/>
                <w:szCs w:val="21"/>
              </w:rPr>
            </w:pPr>
          </w:p>
        </w:tc>
        <w:tc>
          <w:tcPr>
            <w:tcW w:w="2538" w:type="dxa"/>
            <w:gridSpan w:val="3"/>
            <w:vAlign w:val="center"/>
          </w:tcPr>
          <w:p w14:paraId="29E3141E"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破碎</w:t>
            </w:r>
            <w:proofErr w:type="gramStart"/>
            <w:r>
              <w:rPr>
                <w:rFonts w:cs="Times New Roman" w:hint="eastAsia"/>
                <w:sz w:val="21"/>
                <w:szCs w:val="21"/>
              </w:rPr>
              <w:t>车间抑尘洒水</w:t>
            </w:r>
            <w:proofErr w:type="gramEnd"/>
          </w:p>
        </w:tc>
        <w:tc>
          <w:tcPr>
            <w:tcW w:w="1838" w:type="dxa"/>
            <w:vAlign w:val="center"/>
          </w:tcPr>
          <w:p w14:paraId="078786DD"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245300.24m</w:t>
            </w:r>
            <w:r>
              <w:rPr>
                <w:rFonts w:cs="Times New Roman"/>
                <w:sz w:val="21"/>
                <w:szCs w:val="21"/>
                <w:vertAlign w:val="superscript"/>
              </w:rPr>
              <w:t>3</w:t>
            </w:r>
            <w:r>
              <w:rPr>
                <w:rFonts w:cs="Times New Roman"/>
                <w:sz w:val="21"/>
                <w:szCs w:val="21"/>
              </w:rPr>
              <w:t>/a</w:t>
            </w:r>
          </w:p>
        </w:tc>
        <w:tc>
          <w:tcPr>
            <w:tcW w:w="1700" w:type="dxa"/>
            <w:vAlign w:val="center"/>
          </w:tcPr>
          <w:p w14:paraId="754D7618"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w:t>
            </w:r>
          </w:p>
        </w:tc>
        <w:tc>
          <w:tcPr>
            <w:tcW w:w="2550" w:type="dxa"/>
            <w:vMerge/>
            <w:vAlign w:val="center"/>
          </w:tcPr>
          <w:p w14:paraId="37B85E32" w14:textId="77777777" w:rsidR="00E579B9" w:rsidRDefault="00E579B9">
            <w:pPr>
              <w:widowControl w:val="0"/>
              <w:spacing w:line="360" w:lineRule="exact"/>
              <w:ind w:firstLineChars="0" w:firstLine="0"/>
              <w:jc w:val="center"/>
              <w:rPr>
                <w:rFonts w:cs="Times New Roman"/>
                <w:sz w:val="21"/>
                <w:szCs w:val="21"/>
              </w:rPr>
            </w:pPr>
          </w:p>
        </w:tc>
      </w:tr>
      <w:tr w:rsidR="00E579B9" w14:paraId="56F0EA7F" w14:textId="77777777">
        <w:trPr>
          <w:trHeight w:val="65"/>
        </w:trPr>
        <w:tc>
          <w:tcPr>
            <w:tcW w:w="554" w:type="dxa"/>
            <w:vMerge/>
            <w:vAlign w:val="center"/>
          </w:tcPr>
          <w:p w14:paraId="74C8881F" w14:textId="77777777" w:rsidR="00E579B9" w:rsidRDefault="00E579B9">
            <w:pPr>
              <w:spacing w:line="240" w:lineRule="auto"/>
              <w:ind w:firstLineChars="0" w:firstLine="0"/>
              <w:rPr>
                <w:rFonts w:cs="Times New Roman"/>
                <w:sz w:val="21"/>
                <w:szCs w:val="21"/>
              </w:rPr>
            </w:pPr>
          </w:p>
        </w:tc>
        <w:tc>
          <w:tcPr>
            <w:tcW w:w="2538" w:type="dxa"/>
            <w:gridSpan w:val="3"/>
            <w:vAlign w:val="center"/>
          </w:tcPr>
          <w:p w14:paraId="4C1AF53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采场汇集雨水</w:t>
            </w:r>
          </w:p>
        </w:tc>
        <w:tc>
          <w:tcPr>
            <w:tcW w:w="1838" w:type="dxa"/>
            <w:vAlign w:val="center"/>
          </w:tcPr>
          <w:p w14:paraId="413D09E1"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w:t>
            </w:r>
          </w:p>
        </w:tc>
        <w:tc>
          <w:tcPr>
            <w:tcW w:w="1700" w:type="dxa"/>
            <w:vAlign w:val="center"/>
          </w:tcPr>
          <w:p w14:paraId="5DB0D59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w:t>
            </w:r>
          </w:p>
        </w:tc>
        <w:tc>
          <w:tcPr>
            <w:tcW w:w="2550" w:type="dxa"/>
            <w:vAlign w:val="center"/>
          </w:tcPr>
          <w:p w14:paraId="63FF5F1E"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设置截水沟、排水沟及时排出露采区</w:t>
            </w:r>
          </w:p>
        </w:tc>
      </w:tr>
      <w:tr w:rsidR="00E579B9" w14:paraId="6CEACA45" w14:textId="77777777">
        <w:trPr>
          <w:trHeight w:val="626"/>
        </w:trPr>
        <w:tc>
          <w:tcPr>
            <w:tcW w:w="554" w:type="dxa"/>
            <w:vMerge w:val="restart"/>
            <w:vAlign w:val="center"/>
          </w:tcPr>
          <w:p w14:paraId="7360F9DA"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废</w:t>
            </w:r>
            <w:r>
              <w:rPr>
                <w:rFonts w:cs="Times New Roman"/>
                <w:sz w:val="21"/>
                <w:szCs w:val="21"/>
              </w:rPr>
              <w:lastRenderedPageBreak/>
              <w:t>气</w:t>
            </w:r>
          </w:p>
        </w:tc>
        <w:tc>
          <w:tcPr>
            <w:tcW w:w="665" w:type="dxa"/>
            <w:vMerge w:val="restart"/>
            <w:vAlign w:val="center"/>
          </w:tcPr>
          <w:p w14:paraId="6A5E19BA"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lastRenderedPageBreak/>
              <w:t>露天</w:t>
            </w:r>
            <w:r>
              <w:rPr>
                <w:rFonts w:cs="Times New Roman"/>
                <w:sz w:val="21"/>
                <w:szCs w:val="21"/>
              </w:rPr>
              <w:lastRenderedPageBreak/>
              <w:t>采</w:t>
            </w:r>
            <w:r>
              <w:rPr>
                <w:rFonts w:cs="Times New Roman" w:hint="eastAsia"/>
                <w:sz w:val="21"/>
                <w:szCs w:val="21"/>
              </w:rPr>
              <w:t>场</w:t>
            </w:r>
          </w:p>
        </w:tc>
        <w:tc>
          <w:tcPr>
            <w:tcW w:w="1181" w:type="dxa"/>
            <w:vAlign w:val="center"/>
          </w:tcPr>
          <w:p w14:paraId="370DE66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lastRenderedPageBreak/>
              <w:t>钻孔</w:t>
            </w:r>
          </w:p>
        </w:tc>
        <w:tc>
          <w:tcPr>
            <w:tcW w:w="692" w:type="dxa"/>
            <w:vMerge w:val="restart"/>
            <w:vAlign w:val="center"/>
          </w:tcPr>
          <w:p w14:paraId="2B4C3A6F" w14:textId="77777777" w:rsidR="00E579B9" w:rsidRDefault="006A1398">
            <w:pPr>
              <w:widowControl w:val="0"/>
              <w:spacing w:line="360" w:lineRule="exact"/>
              <w:ind w:firstLineChars="0" w:firstLine="0"/>
              <w:jc w:val="both"/>
              <w:rPr>
                <w:rFonts w:cs="Times New Roman"/>
                <w:sz w:val="21"/>
                <w:szCs w:val="21"/>
              </w:rPr>
            </w:pPr>
            <w:r>
              <w:rPr>
                <w:rFonts w:cs="Times New Roman"/>
                <w:sz w:val="21"/>
                <w:szCs w:val="21"/>
              </w:rPr>
              <w:t>颗粒</w:t>
            </w:r>
            <w:r>
              <w:rPr>
                <w:rFonts w:cs="Times New Roman"/>
                <w:sz w:val="21"/>
                <w:szCs w:val="21"/>
              </w:rPr>
              <w:lastRenderedPageBreak/>
              <w:t>物</w:t>
            </w:r>
          </w:p>
        </w:tc>
        <w:tc>
          <w:tcPr>
            <w:tcW w:w="1838" w:type="dxa"/>
            <w:vAlign w:val="center"/>
          </w:tcPr>
          <w:p w14:paraId="266A7F54"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lastRenderedPageBreak/>
              <w:t>无组织：</w:t>
            </w:r>
            <w:r>
              <w:rPr>
                <w:rFonts w:cs="Times New Roman"/>
                <w:sz w:val="21"/>
                <w:szCs w:val="21"/>
              </w:rPr>
              <w:t>4.</w:t>
            </w:r>
            <w:r>
              <w:rPr>
                <w:rFonts w:cs="Times New Roman" w:hint="eastAsia"/>
                <w:sz w:val="21"/>
                <w:szCs w:val="21"/>
              </w:rPr>
              <w:t>6t/a</w:t>
            </w:r>
          </w:p>
        </w:tc>
        <w:tc>
          <w:tcPr>
            <w:tcW w:w="1700" w:type="dxa"/>
            <w:vAlign w:val="center"/>
          </w:tcPr>
          <w:p w14:paraId="5EA38C8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无组织：</w:t>
            </w:r>
            <w:r>
              <w:rPr>
                <w:rFonts w:cs="Times New Roman" w:hint="eastAsia"/>
                <w:sz w:val="21"/>
                <w:szCs w:val="21"/>
              </w:rPr>
              <w:lastRenderedPageBreak/>
              <w:t>0.046t/a</w:t>
            </w:r>
          </w:p>
        </w:tc>
        <w:tc>
          <w:tcPr>
            <w:tcW w:w="2550" w:type="dxa"/>
            <w:vAlign w:val="center"/>
          </w:tcPr>
          <w:p w14:paraId="43534780"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lastRenderedPageBreak/>
              <w:t>湿式凿岩，自带收尘器</w:t>
            </w:r>
          </w:p>
        </w:tc>
      </w:tr>
      <w:tr w:rsidR="00E579B9" w14:paraId="097638C3" w14:textId="77777777">
        <w:trPr>
          <w:trHeight w:val="448"/>
        </w:trPr>
        <w:tc>
          <w:tcPr>
            <w:tcW w:w="554" w:type="dxa"/>
            <w:vMerge/>
            <w:vAlign w:val="center"/>
          </w:tcPr>
          <w:p w14:paraId="065EB1EE" w14:textId="77777777" w:rsidR="00E579B9" w:rsidRDefault="00E579B9">
            <w:pPr>
              <w:spacing w:line="240" w:lineRule="auto"/>
              <w:ind w:firstLineChars="0" w:firstLine="0"/>
              <w:rPr>
                <w:rFonts w:cs="Times New Roman"/>
                <w:sz w:val="21"/>
                <w:szCs w:val="21"/>
              </w:rPr>
            </w:pPr>
          </w:p>
        </w:tc>
        <w:tc>
          <w:tcPr>
            <w:tcW w:w="665" w:type="dxa"/>
            <w:vMerge/>
            <w:vAlign w:val="center"/>
          </w:tcPr>
          <w:p w14:paraId="79DCAA7C" w14:textId="77777777" w:rsidR="00E579B9" w:rsidRDefault="00E579B9">
            <w:pPr>
              <w:spacing w:line="240" w:lineRule="auto"/>
              <w:ind w:firstLineChars="0" w:firstLine="0"/>
              <w:rPr>
                <w:rFonts w:cs="Times New Roman"/>
                <w:sz w:val="21"/>
                <w:szCs w:val="21"/>
              </w:rPr>
            </w:pPr>
          </w:p>
        </w:tc>
        <w:tc>
          <w:tcPr>
            <w:tcW w:w="1181" w:type="dxa"/>
            <w:vAlign w:val="center"/>
          </w:tcPr>
          <w:p w14:paraId="21854BA3" w14:textId="77777777" w:rsidR="00E579B9" w:rsidRDefault="006A1398">
            <w:pPr>
              <w:widowControl w:val="0"/>
              <w:spacing w:line="360" w:lineRule="exact"/>
              <w:ind w:firstLineChars="0" w:firstLine="0"/>
              <w:jc w:val="center"/>
              <w:rPr>
                <w:rFonts w:cs="Times New Roman"/>
                <w:sz w:val="21"/>
                <w:szCs w:val="21"/>
              </w:rPr>
            </w:pPr>
            <w:r>
              <w:rPr>
                <w:rFonts w:cs="Times New Roman"/>
                <w:kern w:val="0"/>
                <w:sz w:val="21"/>
                <w:szCs w:val="21"/>
              </w:rPr>
              <w:t>爆破</w:t>
            </w:r>
          </w:p>
        </w:tc>
        <w:tc>
          <w:tcPr>
            <w:tcW w:w="692" w:type="dxa"/>
            <w:vMerge/>
            <w:vAlign w:val="center"/>
          </w:tcPr>
          <w:p w14:paraId="11B377F8" w14:textId="77777777" w:rsidR="00E579B9" w:rsidRDefault="00E579B9">
            <w:pPr>
              <w:spacing w:line="240" w:lineRule="auto"/>
              <w:ind w:firstLineChars="0" w:firstLine="0"/>
              <w:rPr>
                <w:rFonts w:cs="Times New Roman"/>
                <w:sz w:val="21"/>
                <w:szCs w:val="21"/>
              </w:rPr>
            </w:pPr>
          </w:p>
        </w:tc>
        <w:tc>
          <w:tcPr>
            <w:tcW w:w="1838" w:type="dxa"/>
            <w:vAlign w:val="center"/>
          </w:tcPr>
          <w:p w14:paraId="2D0E311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无组织：</w:t>
            </w:r>
            <w:r>
              <w:rPr>
                <w:rFonts w:cs="Times New Roman" w:hint="eastAsia"/>
                <w:sz w:val="21"/>
                <w:szCs w:val="21"/>
              </w:rPr>
              <w:t>46t/a</w:t>
            </w:r>
          </w:p>
        </w:tc>
        <w:tc>
          <w:tcPr>
            <w:tcW w:w="1700" w:type="dxa"/>
            <w:vAlign w:val="center"/>
          </w:tcPr>
          <w:p w14:paraId="147D606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无组织：</w:t>
            </w:r>
            <w:r>
              <w:rPr>
                <w:rFonts w:cs="Times New Roman" w:hint="eastAsia"/>
                <w:sz w:val="21"/>
                <w:szCs w:val="21"/>
              </w:rPr>
              <w:t>0.46t/a</w:t>
            </w:r>
          </w:p>
        </w:tc>
        <w:tc>
          <w:tcPr>
            <w:tcW w:w="2550" w:type="dxa"/>
            <w:vAlign w:val="center"/>
          </w:tcPr>
          <w:p w14:paraId="28E8E3C1"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采用水封爆破法</w:t>
            </w:r>
          </w:p>
        </w:tc>
      </w:tr>
      <w:tr w:rsidR="00E579B9" w14:paraId="69E3969D" w14:textId="77777777">
        <w:trPr>
          <w:trHeight w:val="416"/>
        </w:trPr>
        <w:tc>
          <w:tcPr>
            <w:tcW w:w="554" w:type="dxa"/>
            <w:vMerge/>
            <w:vAlign w:val="center"/>
          </w:tcPr>
          <w:p w14:paraId="176C358F" w14:textId="77777777" w:rsidR="00E579B9" w:rsidRDefault="00E579B9">
            <w:pPr>
              <w:spacing w:line="240" w:lineRule="auto"/>
              <w:ind w:firstLineChars="0" w:firstLine="0"/>
              <w:rPr>
                <w:rFonts w:cs="Times New Roman"/>
                <w:sz w:val="21"/>
                <w:szCs w:val="21"/>
              </w:rPr>
            </w:pPr>
          </w:p>
        </w:tc>
        <w:tc>
          <w:tcPr>
            <w:tcW w:w="665" w:type="dxa"/>
            <w:vMerge/>
            <w:vAlign w:val="center"/>
          </w:tcPr>
          <w:p w14:paraId="2D4F6294" w14:textId="77777777" w:rsidR="00E579B9" w:rsidRDefault="00E579B9">
            <w:pPr>
              <w:spacing w:line="240" w:lineRule="auto"/>
              <w:ind w:firstLineChars="0" w:firstLine="0"/>
              <w:rPr>
                <w:rFonts w:cs="Times New Roman"/>
                <w:sz w:val="21"/>
                <w:szCs w:val="21"/>
              </w:rPr>
            </w:pPr>
          </w:p>
        </w:tc>
        <w:tc>
          <w:tcPr>
            <w:tcW w:w="1181" w:type="dxa"/>
            <w:vAlign w:val="center"/>
          </w:tcPr>
          <w:p w14:paraId="59858102"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装卸</w:t>
            </w:r>
          </w:p>
        </w:tc>
        <w:tc>
          <w:tcPr>
            <w:tcW w:w="692" w:type="dxa"/>
            <w:vMerge/>
            <w:vAlign w:val="center"/>
          </w:tcPr>
          <w:p w14:paraId="71B3213C" w14:textId="77777777" w:rsidR="00E579B9" w:rsidRDefault="00E579B9">
            <w:pPr>
              <w:spacing w:line="240" w:lineRule="auto"/>
              <w:ind w:firstLineChars="0" w:firstLine="0"/>
              <w:rPr>
                <w:rFonts w:cs="Times New Roman"/>
                <w:sz w:val="21"/>
                <w:szCs w:val="21"/>
              </w:rPr>
            </w:pPr>
          </w:p>
        </w:tc>
        <w:tc>
          <w:tcPr>
            <w:tcW w:w="1838" w:type="dxa"/>
            <w:vAlign w:val="center"/>
          </w:tcPr>
          <w:p w14:paraId="000EF024"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无组织：</w:t>
            </w:r>
            <w:r>
              <w:rPr>
                <w:rFonts w:cs="Times New Roman" w:hint="eastAsia"/>
                <w:sz w:val="21"/>
                <w:szCs w:val="21"/>
              </w:rPr>
              <w:t>18.03t/a</w:t>
            </w:r>
          </w:p>
        </w:tc>
        <w:tc>
          <w:tcPr>
            <w:tcW w:w="1700" w:type="dxa"/>
            <w:vAlign w:val="center"/>
          </w:tcPr>
          <w:p w14:paraId="581F339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无组织：</w:t>
            </w:r>
            <w:r>
              <w:rPr>
                <w:rFonts w:cs="Times New Roman" w:hint="eastAsia"/>
                <w:sz w:val="21"/>
                <w:szCs w:val="21"/>
              </w:rPr>
              <w:t>1.8t/a</w:t>
            </w:r>
          </w:p>
        </w:tc>
        <w:tc>
          <w:tcPr>
            <w:tcW w:w="2550" w:type="dxa"/>
            <w:vAlign w:val="center"/>
          </w:tcPr>
          <w:p w14:paraId="400A657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降低装卸落差</w:t>
            </w:r>
            <w:r>
              <w:rPr>
                <w:rFonts w:cs="Times New Roman"/>
                <w:sz w:val="21"/>
                <w:szCs w:val="21"/>
              </w:rPr>
              <w:t>+</w:t>
            </w:r>
            <w:r>
              <w:rPr>
                <w:rFonts w:ascii="宋体" w:hAnsi="宋体" w:cs="Times New Roman"/>
                <w:sz w:val="21"/>
                <w:szCs w:val="21"/>
              </w:rPr>
              <w:t>装卸部位喷雾降尘</w:t>
            </w:r>
          </w:p>
        </w:tc>
      </w:tr>
      <w:tr w:rsidR="00E579B9" w14:paraId="4A323E99" w14:textId="77777777">
        <w:trPr>
          <w:trHeight w:val="771"/>
        </w:trPr>
        <w:tc>
          <w:tcPr>
            <w:tcW w:w="554" w:type="dxa"/>
            <w:vMerge/>
            <w:vAlign w:val="center"/>
          </w:tcPr>
          <w:p w14:paraId="5B16060F" w14:textId="77777777" w:rsidR="00E579B9" w:rsidRDefault="00E579B9">
            <w:pPr>
              <w:spacing w:line="240" w:lineRule="auto"/>
              <w:ind w:firstLineChars="0" w:firstLine="0"/>
              <w:rPr>
                <w:rFonts w:cs="Times New Roman"/>
                <w:sz w:val="21"/>
                <w:szCs w:val="21"/>
              </w:rPr>
            </w:pPr>
          </w:p>
        </w:tc>
        <w:tc>
          <w:tcPr>
            <w:tcW w:w="665" w:type="dxa"/>
            <w:vMerge w:val="restart"/>
            <w:vAlign w:val="center"/>
          </w:tcPr>
          <w:p w14:paraId="76F36568"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破碎场</w:t>
            </w:r>
            <w:r>
              <w:rPr>
                <w:rFonts w:cs="Times New Roman" w:hint="eastAsia"/>
                <w:sz w:val="21"/>
                <w:szCs w:val="21"/>
              </w:rPr>
              <w:t>地</w:t>
            </w:r>
          </w:p>
        </w:tc>
        <w:tc>
          <w:tcPr>
            <w:tcW w:w="1181" w:type="dxa"/>
            <w:vAlign w:val="center"/>
          </w:tcPr>
          <w:p w14:paraId="72863F9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一破、二破、</w:t>
            </w:r>
            <w:proofErr w:type="gramStart"/>
            <w:r>
              <w:rPr>
                <w:rFonts w:cs="Times New Roman" w:hint="eastAsia"/>
                <w:sz w:val="21"/>
                <w:szCs w:val="21"/>
              </w:rPr>
              <w:t>一</w:t>
            </w:r>
            <w:proofErr w:type="gramEnd"/>
            <w:r>
              <w:rPr>
                <w:rFonts w:cs="Times New Roman" w:hint="eastAsia"/>
                <w:sz w:val="21"/>
                <w:szCs w:val="21"/>
              </w:rPr>
              <w:t>筛</w:t>
            </w:r>
          </w:p>
        </w:tc>
        <w:tc>
          <w:tcPr>
            <w:tcW w:w="692" w:type="dxa"/>
            <w:vMerge w:val="restart"/>
            <w:vAlign w:val="center"/>
          </w:tcPr>
          <w:p w14:paraId="23417006"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颗粒物</w:t>
            </w:r>
          </w:p>
        </w:tc>
        <w:tc>
          <w:tcPr>
            <w:tcW w:w="1838" w:type="dxa"/>
            <w:vAlign w:val="center"/>
          </w:tcPr>
          <w:p w14:paraId="207361A2"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72.105</w:t>
            </w:r>
            <w:r>
              <w:rPr>
                <w:rFonts w:cs="Times New Roman" w:hint="eastAsia"/>
                <w:sz w:val="21"/>
                <w:szCs w:val="21"/>
              </w:rPr>
              <w:t>t/a</w:t>
            </w:r>
            <w:r>
              <w:rPr>
                <w:rFonts w:ascii="宋体" w:hAnsi="宋体" w:cs="Times New Roman" w:hint="eastAsia"/>
                <w:sz w:val="21"/>
                <w:szCs w:val="21"/>
              </w:rPr>
              <w:t>、</w:t>
            </w:r>
          </w:p>
          <w:p w14:paraId="05755A5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805mg/m</w:t>
            </w:r>
            <w:r>
              <w:rPr>
                <w:rFonts w:cs="Times New Roman" w:hint="eastAsia"/>
                <w:sz w:val="21"/>
                <w:szCs w:val="21"/>
                <w:vertAlign w:val="superscript"/>
              </w:rPr>
              <w:t>3</w:t>
            </w:r>
          </w:p>
        </w:tc>
        <w:tc>
          <w:tcPr>
            <w:tcW w:w="1700" w:type="dxa"/>
            <w:vAlign w:val="center"/>
          </w:tcPr>
          <w:p w14:paraId="0216C6C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0.</w:t>
            </w:r>
            <w:r>
              <w:rPr>
                <w:rFonts w:cs="Times New Roman"/>
                <w:sz w:val="21"/>
                <w:szCs w:val="21"/>
              </w:rPr>
              <w:t>0</w:t>
            </w:r>
            <w:r>
              <w:rPr>
                <w:rFonts w:cs="Times New Roman" w:hint="eastAsia"/>
                <w:sz w:val="21"/>
                <w:szCs w:val="21"/>
              </w:rPr>
              <w:t>721t/a</w:t>
            </w:r>
            <w:r>
              <w:rPr>
                <w:rFonts w:ascii="宋体" w:hAnsi="宋体" w:cs="Times New Roman" w:hint="eastAsia"/>
                <w:sz w:val="21"/>
                <w:szCs w:val="21"/>
              </w:rPr>
              <w:t>、</w:t>
            </w:r>
          </w:p>
          <w:p w14:paraId="3ED52CC4"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0.805</w:t>
            </w:r>
            <w:r>
              <w:rPr>
                <w:rFonts w:cs="Times New Roman" w:hint="eastAsia"/>
                <w:sz w:val="21"/>
                <w:szCs w:val="21"/>
              </w:rPr>
              <w:t>mg/m</w:t>
            </w:r>
            <w:r>
              <w:rPr>
                <w:rFonts w:cs="Times New Roman" w:hint="eastAsia"/>
                <w:sz w:val="21"/>
                <w:szCs w:val="21"/>
                <w:vertAlign w:val="superscript"/>
              </w:rPr>
              <w:t>3</w:t>
            </w:r>
          </w:p>
        </w:tc>
        <w:tc>
          <w:tcPr>
            <w:tcW w:w="2550" w:type="dxa"/>
            <w:vAlign w:val="center"/>
          </w:tcPr>
          <w:p w14:paraId="13233EF0"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厂房密闭</w:t>
            </w:r>
            <w:r>
              <w:rPr>
                <w:rFonts w:cs="Times New Roman" w:hint="eastAsia"/>
                <w:sz w:val="21"/>
                <w:szCs w:val="21"/>
              </w:rPr>
              <w:t>、</w:t>
            </w:r>
            <w:r>
              <w:rPr>
                <w:rFonts w:cs="Times New Roman"/>
                <w:sz w:val="21"/>
                <w:szCs w:val="21"/>
              </w:rPr>
              <w:t>布袋除尘器</w:t>
            </w:r>
            <w:r>
              <w:rPr>
                <w:rFonts w:cs="Times New Roman"/>
                <w:sz w:val="21"/>
                <w:szCs w:val="21"/>
              </w:rPr>
              <w:t>+15m</w:t>
            </w:r>
            <w:r>
              <w:rPr>
                <w:rFonts w:ascii="宋体" w:hAnsi="宋体" w:cs="Times New Roman"/>
                <w:sz w:val="21"/>
                <w:szCs w:val="21"/>
              </w:rPr>
              <w:t>高排气筒</w:t>
            </w:r>
          </w:p>
        </w:tc>
      </w:tr>
      <w:tr w:rsidR="00E579B9" w14:paraId="3AA66FA1" w14:textId="77777777">
        <w:trPr>
          <w:trHeight w:val="556"/>
        </w:trPr>
        <w:tc>
          <w:tcPr>
            <w:tcW w:w="554" w:type="dxa"/>
            <w:vMerge/>
            <w:vAlign w:val="center"/>
          </w:tcPr>
          <w:p w14:paraId="04986361" w14:textId="77777777" w:rsidR="00E579B9" w:rsidRDefault="00E579B9">
            <w:pPr>
              <w:spacing w:line="240" w:lineRule="auto"/>
              <w:ind w:firstLineChars="0" w:firstLine="0"/>
              <w:rPr>
                <w:rFonts w:cs="Times New Roman"/>
                <w:sz w:val="21"/>
                <w:szCs w:val="21"/>
              </w:rPr>
            </w:pPr>
          </w:p>
        </w:tc>
        <w:tc>
          <w:tcPr>
            <w:tcW w:w="665" w:type="dxa"/>
            <w:vMerge/>
            <w:vAlign w:val="center"/>
          </w:tcPr>
          <w:p w14:paraId="65293403" w14:textId="77777777" w:rsidR="00E579B9" w:rsidRDefault="00E579B9">
            <w:pPr>
              <w:spacing w:line="240" w:lineRule="auto"/>
              <w:ind w:firstLineChars="0" w:firstLine="0"/>
              <w:rPr>
                <w:rFonts w:cs="Times New Roman"/>
                <w:sz w:val="21"/>
                <w:szCs w:val="21"/>
              </w:rPr>
            </w:pPr>
          </w:p>
        </w:tc>
        <w:tc>
          <w:tcPr>
            <w:tcW w:w="1181" w:type="dxa"/>
            <w:vAlign w:val="center"/>
          </w:tcPr>
          <w:p w14:paraId="78BD44A2"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二筛、三筛</w:t>
            </w:r>
          </w:p>
        </w:tc>
        <w:tc>
          <w:tcPr>
            <w:tcW w:w="692" w:type="dxa"/>
            <w:vMerge/>
            <w:vAlign w:val="center"/>
          </w:tcPr>
          <w:p w14:paraId="0FFEEA20" w14:textId="77777777" w:rsidR="00E579B9" w:rsidRDefault="00E579B9">
            <w:pPr>
              <w:spacing w:line="240" w:lineRule="auto"/>
              <w:ind w:firstLineChars="0" w:firstLine="0"/>
              <w:rPr>
                <w:rFonts w:cs="Times New Roman"/>
                <w:sz w:val="21"/>
                <w:szCs w:val="21"/>
              </w:rPr>
            </w:pPr>
          </w:p>
        </w:tc>
        <w:tc>
          <w:tcPr>
            <w:tcW w:w="1838" w:type="dxa"/>
            <w:vAlign w:val="center"/>
          </w:tcPr>
          <w:p w14:paraId="41687710"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74.29</w:t>
            </w:r>
            <w:r>
              <w:rPr>
                <w:rFonts w:cs="Times New Roman" w:hint="eastAsia"/>
                <w:sz w:val="21"/>
                <w:szCs w:val="21"/>
              </w:rPr>
              <w:t>t/a</w:t>
            </w:r>
            <w:r>
              <w:rPr>
                <w:rFonts w:ascii="宋体" w:hAnsi="宋体" w:cs="Times New Roman" w:hint="eastAsia"/>
                <w:sz w:val="21"/>
                <w:szCs w:val="21"/>
              </w:rPr>
              <w:t>、</w:t>
            </w:r>
          </w:p>
          <w:p w14:paraId="5FAC6572"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829mg/m</w:t>
            </w:r>
            <w:r>
              <w:rPr>
                <w:rFonts w:cs="Times New Roman" w:hint="eastAsia"/>
                <w:sz w:val="21"/>
                <w:szCs w:val="21"/>
                <w:vertAlign w:val="superscript"/>
              </w:rPr>
              <w:t>3</w:t>
            </w:r>
          </w:p>
        </w:tc>
        <w:tc>
          <w:tcPr>
            <w:tcW w:w="1700" w:type="dxa"/>
            <w:vAlign w:val="center"/>
          </w:tcPr>
          <w:p w14:paraId="73BCAEF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0.</w:t>
            </w:r>
            <w:r>
              <w:rPr>
                <w:rFonts w:cs="Times New Roman"/>
                <w:sz w:val="21"/>
                <w:szCs w:val="21"/>
              </w:rPr>
              <w:t>0</w:t>
            </w:r>
            <w:r>
              <w:rPr>
                <w:rFonts w:cs="Times New Roman" w:hint="eastAsia"/>
                <w:sz w:val="21"/>
                <w:szCs w:val="21"/>
              </w:rPr>
              <w:t>74</w:t>
            </w:r>
            <w:r>
              <w:rPr>
                <w:rFonts w:cs="Times New Roman"/>
                <w:sz w:val="21"/>
                <w:szCs w:val="21"/>
              </w:rPr>
              <w:t>3</w:t>
            </w:r>
            <w:r>
              <w:rPr>
                <w:rFonts w:cs="Times New Roman" w:hint="eastAsia"/>
                <w:sz w:val="21"/>
                <w:szCs w:val="21"/>
              </w:rPr>
              <w:t>t/a</w:t>
            </w:r>
            <w:r>
              <w:rPr>
                <w:rFonts w:ascii="宋体" w:hAnsi="宋体" w:cs="Times New Roman" w:hint="eastAsia"/>
                <w:sz w:val="21"/>
                <w:szCs w:val="21"/>
              </w:rPr>
              <w:t>、</w:t>
            </w:r>
            <w:r>
              <w:rPr>
                <w:rFonts w:cs="Times New Roman" w:hint="eastAsia"/>
                <w:sz w:val="21"/>
                <w:szCs w:val="21"/>
              </w:rPr>
              <w:t>0.829mg/m</w:t>
            </w:r>
            <w:r>
              <w:rPr>
                <w:rFonts w:cs="Times New Roman" w:hint="eastAsia"/>
                <w:sz w:val="21"/>
                <w:szCs w:val="21"/>
                <w:vertAlign w:val="superscript"/>
              </w:rPr>
              <w:t>3</w:t>
            </w:r>
          </w:p>
        </w:tc>
        <w:tc>
          <w:tcPr>
            <w:tcW w:w="2550" w:type="dxa"/>
            <w:vAlign w:val="center"/>
          </w:tcPr>
          <w:p w14:paraId="289015F0"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厂房密闭</w:t>
            </w:r>
            <w:r>
              <w:rPr>
                <w:rFonts w:cs="Times New Roman" w:hint="eastAsia"/>
                <w:sz w:val="21"/>
                <w:szCs w:val="21"/>
              </w:rPr>
              <w:t>、</w:t>
            </w:r>
            <w:r>
              <w:rPr>
                <w:rFonts w:cs="Times New Roman"/>
                <w:sz w:val="21"/>
                <w:szCs w:val="21"/>
              </w:rPr>
              <w:t>布袋除尘器</w:t>
            </w:r>
            <w:r>
              <w:rPr>
                <w:rFonts w:cs="Times New Roman"/>
                <w:sz w:val="21"/>
                <w:szCs w:val="21"/>
              </w:rPr>
              <w:t>+15m</w:t>
            </w:r>
            <w:r>
              <w:rPr>
                <w:rFonts w:ascii="宋体" w:hAnsi="宋体" w:cs="Times New Roman"/>
                <w:sz w:val="21"/>
                <w:szCs w:val="21"/>
              </w:rPr>
              <w:t>高排气筒</w:t>
            </w:r>
          </w:p>
        </w:tc>
      </w:tr>
      <w:tr w:rsidR="00E579B9" w14:paraId="32C0A94C" w14:textId="77777777">
        <w:trPr>
          <w:trHeight w:val="122"/>
        </w:trPr>
        <w:tc>
          <w:tcPr>
            <w:tcW w:w="554" w:type="dxa"/>
            <w:vMerge/>
            <w:vAlign w:val="center"/>
          </w:tcPr>
          <w:p w14:paraId="1E154C5B" w14:textId="77777777" w:rsidR="00E579B9" w:rsidRDefault="00E579B9">
            <w:pPr>
              <w:spacing w:line="240" w:lineRule="auto"/>
              <w:ind w:firstLineChars="0" w:firstLine="0"/>
              <w:rPr>
                <w:rFonts w:cs="Times New Roman"/>
                <w:sz w:val="21"/>
                <w:szCs w:val="21"/>
              </w:rPr>
            </w:pPr>
          </w:p>
        </w:tc>
        <w:tc>
          <w:tcPr>
            <w:tcW w:w="665" w:type="dxa"/>
            <w:vMerge/>
            <w:vAlign w:val="center"/>
          </w:tcPr>
          <w:p w14:paraId="321F02DF" w14:textId="77777777" w:rsidR="00E579B9" w:rsidRDefault="00E579B9">
            <w:pPr>
              <w:spacing w:line="240" w:lineRule="auto"/>
              <w:ind w:firstLineChars="0" w:firstLine="0"/>
              <w:rPr>
                <w:rFonts w:cs="Times New Roman"/>
                <w:sz w:val="21"/>
                <w:szCs w:val="21"/>
              </w:rPr>
            </w:pPr>
          </w:p>
        </w:tc>
        <w:tc>
          <w:tcPr>
            <w:tcW w:w="1181" w:type="dxa"/>
            <w:vAlign w:val="center"/>
          </w:tcPr>
          <w:p w14:paraId="6ABDE73F"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无组织</w:t>
            </w:r>
          </w:p>
        </w:tc>
        <w:tc>
          <w:tcPr>
            <w:tcW w:w="692" w:type="dxa"/>
            <w:vMerge/>
            <w:vAlign w:val="center"/>
          </w:tcPr>
          <w:p w14:paraId="125D4B9C" w14:textId="77777777" w:rsidR="00E579B9" w:rsidRDefault="00E579B9">
            <w:pPr>
              <w:spacing w:line="240" w:lineRule="auto"/>
              <w:ind w:firstLineChars="0" w:firstLine="0"/>
              <w:rPr>
                <w:rFonts w:cs="Times New Roman"/>
                <w:sz w:val="21"/>
                <w:szCs w:val="21"/>
              </w:rPr>
            </w:pPr>
          </w:p>
        </w:tc>
        <w:tc>
          <w:tcPr>
            <w:tcW w:w="1838" w:type="dxa"/>
            <w:vAlign w:val="center"/>
          </w:tcPr>
          <w:p w14:paraId="202A4C7B"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7.705t/a</w:t>
            </w:r>
          </w:p>
        </w:tc>
        <w:tc>
          <w:tcPr>
            <w:tcW w:w="1700" w:type="dxa"/>
            <w:vAlign w:val="center"/>
          </w:tcPr>
          <w:p w14:paraId="11C4D5F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0.77t/a</w:t>
            </w:r>
          </w:p>
        </w:tc>
        <w:tc>
          <w:tcPr>
            <w:tcW w:w="2550" w:type="dxa"/>
            <w:vAlign w:val="center"/>
          </w:tcPr>
          <w:p w14:paraId="47521371"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密闭车间沉降</w:t>
            </w:r>
          </w:p>
        </w:tc>
      </w:tr>
      <w:tr w:rsidR="00E579B9" w14:paraId="22A285E1" w14:textId="77777777">
        <w:trPr>
          <w:trHeight w:val="458"/>
        </w:trPr>
        <w:tc>
          <w:tcPr>
            <w:tcW w:w="554" w:type="dxa"/>
            <w:vMerge/>
            <w:vAlign w:val="center"/>
          </w:tcPr>
          <w:p w14:paraId="242B9AE2" w14:textId="77777777" w:rsidR="00E579B9" w:rsidRDefault="00E579B9">
            <w:pPr>
              <w:spacing w:line="240" w:lineRule="auto"/>
              <w:ind w:firstLineChars="0" w:firstLine="0"/>
              <w:rPr>
                <w:rFonts w:cs="Times New Roman"/>
                <w:sz w:val="21"/>
                <w:szCs w:val="21"/>
              </w:rPr>
            </w:pPr>
          </w:p>
        </w:tc>
        <w:tc>
          <w:tcPr>
            <w:tcW w:w="1846" w:type="dxa"/>
            <w:gridSpan w:val="2"/>
            <w:vAlign w:val="center"/>
          </w:tcPr>
          <w:p w14:paraId="37E1948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运输道路</w:t>
            </w:r>
          </w:p>
        </w:tc>
        <w:tc>
          <w:tcPr>
            <w:tcW w:w="692" w:type="dxa"/>
            <w:vAlign w:val="center"/>
          </w:tcPr>
          <w:p w14:paraId="640B3935"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颗粒物</w:t>
            </w:r>
          </w:p>
        </w:tc>
        <w:tc>
          <w:tcPr>
            <w:tcW w:w="1838" w:type="dxa"/>
            <w:vAlign w:val="center"/>
          </w:tcPr>
          <w:p w14:paraId="1D9E9B5F"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无组织：</w:t>
            </w:r>
            <w:r>
              <w:rPr>
                <w:rFonts w:cs="Times New Roman" w:hint="eastAsia"/>
                <w:sz w:val="21"/>
                <w:szCs w:val="21"/>
              </w:rPr>
              <w:t>0.927</w:t>
            </w:r>
            <w:r>
              <w:rPr>
                <w:rFonts w:cs="Times New Roman"/>
                <w:sz w:val="21"/>
                <w:szCs w:val="21"/>
              </w:rPr>
              <w:t>t/a</w:t>
            </w:r>
          </w:p>
        </w:tc>
        <w:tc>
          <w:tcPr>
            <w:tcW w:w="1700" w:type="dxa"/>
            <w:vAlign w:val="center"/>
          </w:tcPr>
          <w:p w14:paraId="68BB3B5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无组织：</w:t>
            </w:r>
            <w:r>
              <w:rPr>
                <w:rFonts w:cs="Times New Roman"/>
                <w:sz w:val="21"/>
                <w:szCs w:val="21"/>
              </w:rPr>
              <w:t>0.</w:t>
            </w:r>
            <w:r>
              <w:rPr>
                <w:rFonts w:cs="Times New Roman" w:hint="eastAsia"/>
                <w:sz w:val="21"/>
                <w:szCs w:val="21"/>
              </w:rPr>
              <w:t>0927</w:t>
            </w:r>
            <w:r>
              <w:rPr>
                <w:rFonts w:cs="Times New Roman"/>
                <w:sz w:val="21"/>
                <w:szCs w:val="21"/>
              </w:rPr>
              <w:t>t/a</w:t>
            </w:r>
          </w:p>
        </w:tc>
        <w:tc>
          <w:tcPr>
            <w:tcW w:w="2550" w:type="dxa"/>
            <w:vAlign w:val="center"/>
          </w:tcPr>
          <w:p w14:paraId="71DF67EB"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出厂口设车轮清洗装置，对运输车辆加盖帆布篷，对运输道路经常洒水清扫</w:t>
            </w:r>
          </w:p>
        </w:tc>
      </w:tr>
      <w:tr w:rsidR="00E579B9" w14:paraId="697F2AEA" w14:textId="77777777">
        <w:trPr>
          <w:trHeight w:val="458"/>
        </w:trPr>
        <w:tc>
          <w:tcPr>
            <w:tcW w:w="554" w:type="dxa"/>
            <w:vMerge/>
            <w:vAlign w:val="center"/>
          </w:tcPr>
          <w:p w14:paraId="4FF6C49B" w14:textId="77777777" w:rsidR="00E579B9" w:rsidRDefault="00E579B9">
            <w:pPr>
              <w:spacing w:line="240" w:lineRule="auto"/>
              <w:ind w:firstLineChars="0" w:firstLine="0"/>
              <w:rPr>
                <w:rFonts w:cs="Times New Roman"/>
                <w:sz w:val="21"/>
                <w:szCs w:val="21"/>
              </w:rPr>
            </w:pPr>
          </w:p>
        </w:tc>
        <w:tc>
          <w:tcPr>
            <w:tcW w:w="1846" w:type="dxa"/>
            <w:gridSpan w:val="2"/>
            <w:vAlign w:val="center"/>
          </w:tcPr>
          <w:p w14:paraId="48E14D2B" w14:textId="77777777" w:rsidR="00E579B9" w:rsidRDefault="006A1398">
            <w:pPr>
              <w:widowControl w:val="0"/>
              <w:spacing w:line="360" w:lineRule="exact"/>
              <w:ind w:firstLineChars="0" w:firstLine="0"/>
              <w:jc w:val="center"/>
              <w:rPr>
                <w:rFonts w:cs="Times New Roman"/>
                <w:sz w:val="21"/>
                <w:szCs w:val="21"/>
              </w:rPr>
            </w:pPr>
            <w:proofErr w:type="gramStart"/>
            <w:r>
              <w:rPr>
                <w:rFonts w:cs="Times New Roman" w:hint="eastAsia"/>
                <w:sz w:val="21"/>
                <w:szCs w:val="21"/>
              </w:rPr>
              <w:t>表土场</w:t>
            </w:r>
            <w:proofErr w:type="gramEnd"/>
          </w:p>
        </w:tc>
        <w:tc>
          <w:tcPr>
            <w:tcW w:w="692" w:type="dxa"/>
            <w:vAlign w:val="center"/>
          </w:tcPr>
          <w:p w14:paraId="065A42D1"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颗粒物</w:t>
            </w:r>
          </w:p>
        </w:tc>
        <w:tc>
          <w:tcPr>
            <w:tcW w:w="1838" w:type="dxa"/>
            <w:vAlign w:val="center"/>
          </w:tcPr>
          <w:p w14:paraId="4FC1F762"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无组织：</w:t>
            </w:r>
            <w:r>
              <w:rPr>
                <w:rFonts w:cs="Times New Roman" w:hint="eastAsia"/>
                <w:sz w:val="21"/>
                <w:szCs w:val="21"/>
              </w:rPr>
              <w:t>4.8</w:t>
            </w:r>
            <w:r>
              <w:rPr>
                <w:rFonts w:cs="Times New Roman"/>
                <w:sz w:val="21"/>
                <w:szCs w:val="21"/>
              </w:rPr>
              <w:t>t/a</w:t>
            </w:r>
          </w:p>
        </w:tc>
        <w:tc>
          <w:tcPr>
            <w:tcW w:w="1700" w:type="dxa"/>
            <w:vAlign w:val="center"/>
          </w:tcPr>
          <w:p w14:paraId="5F3C51E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无组织：</w:t>
            </w:r>
            <w:r>
              <w:rPr>
                <w:rFonts w:cs="Times New Roman" w:hint="eastAsia"/>
                <w:sz w:val="21"/>
                <w:szCs w:val="21"/>
              </w:rPr>
              <w:t>0.48</w:t>
            </w:r>
            <w:r>
              <w:rPr>
                <w:rFonts w:cs="Times New Roman"/>
                <w:sz w:val="21"/>
                <w:szCs w:val="21"/>
              </w:rPr>
              <w:t>t/a</w:t>
            </w:r>
          </w:p>
        </w:tc>
        <w:tc>
          <w:tcPr>
            <w:tcW w:w="2550" w:type="dxa"/>
            <w:vAlign w:val="center"/>
          </w:tcPr>
          <w:p w14:paraId="281FDD72"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定期</w:t>
            </w:r>
            <w:r>
              <w:rPr>
                <w:rFonts w:cs="Times New Roman"/>
                <w:sz w:val="21"/>
                <w:szCs w:val="21"/>
              </w:rPr>
              <w:t>洒水降尘</w:t>
            </w:r>
          </w:p>
        </w:tc>
      </w:tr>
      <w:tr w:rsidR="00E579B9" w14:paraId="1C559D6E" w14:textId="77777777">
        <w:trPr>
          <w:trHeight w:val="340"/>
        </w:trPr>
        <w:tc>
          <w:tcPr>
            <w:tcW w:w="554" w:type="dxa"/>
            <w:vMerge w:val="restart"/>
            <w:vAlign w:val="center"/>
          </w:tcPr>
          <w:p w14:paraId="4E9E3E4E"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固废</w:t>
            </w:r>
          </w:p>
        </w:tc>
        <w:tc>
          <w:tcPr>
            <w:tcW w:w="1846" w:type="dxa"/>
            <w:gridSpan w:val="2"/>
            <w:vAlign w:val="center"/>
          </w:tcPr>
          <w:p w14:paraId="27C9145F"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袋式除尘器收集粉尘</w:t>
            </w:r>
          </w:p>
        </w:tc>
        <w:tc>
          <w:tcPr>
            <w:tcW w:w="692" w:type="dxa"/>
            <w:vAlign w:val="center"/>
          </w:tcPr>
          <w:p w14:paraId="681F58C6"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固废</w:t>
            </w:r>
          </w:p>
        </w:tc>
        <w:tc>
          <w:tcPr>
            <w:tcW w:w="1838" w:type="dxa"/>
            <w:vAlign w:val="center"/>
          </w:tcPr>
          <w:p w14:paraId="159DA316"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14.</w:t>
            </w:r>
            <w:r>
              <w:rPr>
                <w:rFonts w:cs="Times New Roman" w:hint="eastAsia"/>
                <w:sz w:val="21"/>
                <w:szCs w:val="21"/>
              </w:rPr>
              <w:t>6</w:t>
            </w:r>
            <w:r>
              <w:rPr>
                <w:rFonts w:cs="Times New Roman"/>
                <w:sz w:val="21"/>
                <w:szCs w:val="21"/>
              </w:rPr>
              <w:t>3t/a</w:t>
            </w:r>
          </w:p>
        </w:tc>
        <w:tc>
          <w:tcPr>
            <w:tcW w:w="1700" w:type="dxa"/>
            <w:vAlign w:val="center"/>
          </w:tcPr>
          <w:p w14:paraId="5B863FD5"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0</w:t>
            </w:r>
          </w:p>
        </w:tc>
        <w:tc>
          <w:tcPr>
            <w:tcW w:w="2550" w:type="dxa"/>
            <w:vAlign w:val="center"/>
          </w:tcPr>
          <w:p w14:paraId="484BBB1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作为产品出售</w:t>
            </w:r>
          </w:p>
        </w:tc>
      </w:tr>
      <w:tr w:rsidR="00E579B9" w14:paraId="7CA0EBDD" w14:textId="77777777">
        <w:trPr>
          <w:trHeight w:val="340"/>
        </w:trPr>
        <w:tc>
          <w:tcPr>
            <w:tcW w:w="554" w:type="dxa"/>
            <w:vMerge/>
            <w:vAlign w:val="center"/>
          </w:tcPr>
          <w:p w14:paraId="1B85354B" w14:textId="77777777" w:rsidR="00E579B9" w:rsidRDefault="00E579B9">
            <w:pPr>
              <w:widowControl w:val="0"/>
              <w:spacing w:line="360" w:lineRule="exact"/>
              <w:ind w:firstLineChars="0" w:firstLine="0"/>
              <w:jc w:val="center"/>
              <w:rPr>
                <w:rFonts w:cs="Times New Roman"/>
                <w:sz w:val="21"/>
                <w:szCs w:val="21"/>
              </w:rPr>
            </w:pPr>
          </w:p>
        </w:tc>
        <w:tc>
          <w:tcPr>
            <w:tcW w:w="1846" w:type="dxa"/>
            <w:gridSpan w:val="2"/>
            <w:vAlign w:val="center"/>
          </w:tcPr>
          <w:p w14:paraId="605A37C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废弃土石方</w:t>
            </w:r>
          </w:p>
        </w:tc>
        <w:tc>
          <w:tcPr>
            <w:tcW w:w="692" w:type="dxa"/>
            <w:vAlign w:val="center"/>
          </w:tcPr>
          <w:p w14:paraId="001B2D68"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固废</w:t>
            </w:r>
          </w:p>
        </w:tc>
        <w:tc>
          <w:tcPr>
            <w:tcW w:w="1838" w:type="dxa"/>
            <w:vAlign w:val="center"/>
          </w:tcPr>
          <w:p w14:paraId="2DA9AD46"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18.558</w:t>
            </w:r>
            <w:r>
              <w:rPr>
                <w:rFonts w:cs="Times New Roman" w:hint="eastAsia"/>
                <w:sz w:val="21"/>
                <w:szCs w:val="21"/>
              </w:rPr>
              <w:t>万</w:t>
            </w:r>
            <w:r>
              <w:rPr>
                <w:rFonts w:cs="Times New Roman" w:hint="eastAsia"/>
                <w:sz w:val="21"/>
                <w:szCs w:val="21"/>
              </w:rPr>
              <w:t>t</w:t>
            </w:r>
            <w:r>
              <w:rPr>
                <w:rFonts w:cs="Times New Roman"/>
                <w:sz w:val="21"/>
                <w:szCs w:val="21"/>
              </w:rPr>
              <w:t>/a</w:t>
            </w:r>
          </w:p>
        </w:tc>
        <w:tc>
          <w:tcPr>
            <w:tcW w:w="1700" w:type="dxa"/>
            <w:vAlign w:val="center"/>
          </w:tcPr>
          <w:p w14:paraId="61691CA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0</w:t>
            </w:r>
          </w:p>
        </w:tc>
        <w:tc>
          <w:tcPr>
            <w:tcW w:w="2550" w:type="dxa"/>
            <w:vAlign w:val="center"/>
          </w:tcPr>
          <w:p w14:paraId="187C8903" w14:textId="77777777" w:rsidR="00E579B9" w:rsidRDefault="006A1398">
            <w:pPr>
              <w:widowControl w:val="0"/>
              <w:spacing w:line="360" w:lineRule="exact"/>
              <w:ind w:firstLineChars="0" w:firstLine="0"/>
              <w:jc w:val="center"/>
              <w:rPr>
                <w:rFonts w:cs="Times New Roman"/>
                <w:sz w:val="21"/>
                <w:szCs w:val="21"/>
              </w:rPr>
            </w:pPr>
            <w:proofErr w:type="gramStart"/>
            <w:r>
              <w:rPr>
                <w:rFonts w:hint="eastAsia"/>
                <w:sz w:val="21"/>
                <w:szCs w:val="21"/>
              </w:rPr>
              <w:t>剥离物中残坡积物</w:t>
            </w:r>
            <w:proofErr w:type="gramEnd"/>
            <w:r>
              <w:rPr>
                <w:rFonts w:hint="eastAsia"/>
                <w:sz w:val="21"/>
                <w:szCs w:val="21"/>
              </w:rPr>
              <w:t>可在废石剥离后随即运至终了台阶用作覆土绿化，前期可暂时堆放于表土堆场；碳质泥岩和页岩可直接卖给当地页岩砖厂，综合利用</w:t>
            </w:r>
          </w:p>
        </w:tc>
      </w:tr>
      <w:tr w:rsidR="00E579B9" w14:paraId="6553B5EE" w14:textId="77777777">
        <w:trPr>
          <w:trHeight w:val="340"/>
        </w:trPr>
        <w:tc>
          <w:tcPr>
            <w:tcW w:w="554" w:type="dxa"/>
            <w:vMerge/>
            <w:vAlign w:val="center"/>
          </w:tcPr>
          <w:p w14:paraId="44856AD5" w14:textId="77777777" w:rsidR="00E579B9" w:rsidRDefault="00E579B9">
            <w:pPr>
              <w:spacing w:line="240" w:lineRule="auto"/>
              <w:ind w:firstLineChars="0" w:firstLine="0"/>
              <w:rPr>
                <w:rFonts w:cs="Times New Roman"/>
                <w:sz w:val="21"/>
                <w:szCs w:val="21"/>
              </w:rPr>
            </w:pPr>
          </w:p>
        </w:tc>
        <w:tc>
          <w:tcPr>
            <w:tcW w:w="1846" w:type="dxa"/>
            <w:gridSpan w:val="2"/>
            <w:vAlign w:val="center"/>
          </w:tcPr>
          <w:p w14:paraId="4D60366F"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生活</w:t>
            </w:r>
          </w:p>
          <w:p w14:paraId="7F151DFB"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垃圾</w:t>
            </w:r>
          </w:p>
        </w:tc>
        <w:tc>
          <w:tcPr>
            <w:tcW w:w="692" w:type="dxa"/>
            <w:vAlign w:val="center"/>
          </w:tcPr>
          <w:p w14:paraId="682C2855"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固废</w:t>
            </w:r>
          </w:p>
        </w:tc>
        <w:tc>
          <w:tcPr>
            <w:tcW w:w="1838" w:type="dxa"/>
            <w:vAlign w:val="center"/>
          </w:tcPr>
          <w:p w14:paraId="0114325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22.26</w:t>
            </w:r>
            <w:r>
              <w:rPr>
                <w:rFonts w:cs="Times New Roman"/>
                <w:sz w:val="21"/>
                <w:szCs w:val="21"/>
              </w:rPr>
              <w:t>t/a</w:t>
            </w:r>
          </w:p>
        </w:tc>
        <w:tc>
          <w:tcPr>
            <w:tcW w:w="1700" w:type="dxa"/>
            <w:vAlign w:val="center"/>
          </w:tcPr>
          <w:p w14:paraId="7EDC68A1"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0</w:t>
            </w:r>
          </w:p>
        </w:tc>
        <w:tc>
          <w:tcPr>
            <w:tcW w:w="2550" w:type="dxa"/>
            <w:vAlign w:val="center"/>
          </w:tcPr>
          <w:p w14:paraId="68A6E2B2"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办公生活区</w:t>
            </w:r>
            <w:r>
              <w:rPr>
                <w:rFonts w:cs="Times New Roman"/>
                <w:sz w:val="21"/>
                <w:szCs w:val="21"/>
              </w:rPr>
              <w:t>设置垃圾桶</w:t>
            </w:r>
            <w:r>
              <w:rPr>
                <w:rFonts w:cs="Times New Roman" w:hint="eastAsia"/>
                <w:sz w:val="21"/>
                <w:szCs w:val="21"/>
              </w:rPr>
              <w:t>收集</w:t>
            </w:r>
            <w:r>
              <w:rPr>
                <w:rFonts w:cs="Times New Roman"/>
                <w:sz w:val="21"/>
                <w:szCs w:val="21"/>
              </w:rPr>
              <w:t>，</w:t>
            </w:r>
            <w:r>
              <w:rPr>
                <w:rFonts w:cs="Times New Roman" w:hint="eastAsia"/>
                <w:sz w:val="21"/>
                <w:szCs w:val="21"/>
              </w:rPr>
              <w:t>定期运往当地垃圾中转站集中处理</w:t>
            </w:r>
          </w:p>
        </w:tc>
      </w:tr>
    </w:tbl>
    <w:p w14:paraId="5777618C" w14:textId="77777777" w:rsidR="00E579B9" w:rsidRDefault="006A1398">
      <w:pPr>
        <w:pStyle w:val="2"/>
        <w:ind w:firstLine="560"/>
      </w:pPr>
      <w:bookmarkStart w:id="166" w:name="_Toc33021800"/>
      <w:r>
        <w:rPr>
          <w:rFonts w:hint="eastAsia"/>
        </w:rPr>
        <w:t>3.10</w:t>
      </w:r>
      <w:r>
        <w:rPr>
          <w:rFonts w:hint="eastAsia"/>
        </w:rPr>
        <w:t>项目闭矿期环境影响因素及污染防治措施</w:t>
      </w:r>
      <w:bookmarkEnd w:id="166"/>
    </w:p>
    <w:p w14:paraId="19E61BE4" w14:textId="77777777" w:rsidR="00E579B9" w:rsidRDefault="006A1398">
      <w:pPr>
        <w:widowControl w:val="0"/>
        <w:spacing w:line="520" w:lineRule="exact"/>
        <w:jc w:val="both"/>
        <w:rPr>
          <w:rFonts w:cs="宋体"/>
          <w:szCs w:val="24"/>
        </w:rPr>
      </w:pPr>
      <w:r>
        <w:rPr>
          <w:rFonts w:ascii="宋体" w:hAnsi="宋体" w:cs="宋体" w:hint="eastAsia"/>
          <w:szCs w:val="24"/>
        </w:rPr>
        <w:t>本项目不设置取土场，砂、石等建筑材料均采取外购，不足土方由其他企业调入。项目营运期满后，对周边环境的影响主要是由于采矿活动会形成</w:t>
      </w:r>
      <w:proofErr w:type="gramStart"/>
      <w:r>
        <w:rPr>
          <w:rFonts w:ascii="宋体" w:hAnsi="宋体" w:cs="宋体" w:hint="eastAsia"/>
          <w:szCs w:val="24"/>
        </w:rPr>
        <w:t>露天采坑及</w:t>
      </w:r>
      <w:proofErr w:type="gramEnd"/>
      <w:r>
        <w:rPr>
          <w:rFonts w:ascii="宋体" w:hAnsi="宋体" w:cs="宋体" w:hint="eastAsia"/>
          <w:szCs w:val="24"/>
        </w:rPr>
        <w:t>废弃破碎场地等，如果采取措施不当或未采取防护措施，容易造成滑坡、水土流失等自然灾害。因此，矿山运营期结束时，企业应对采矿造成的环境问题进行处理，以保护生态环境。评价要求项目每个矿体采取边开采边恢复，开采下一台阶时对上一台阶进行生</w:t>
      </w:r>
      <w:r>
        <w:rPr>
          <w:rFonts w:ascii="宋体" w:hAnsi="宋体" w:cs="宋体" w:hint="eastAsia"/>
          <w:szCs w:val="24"/>
        </w:rPr>
        <w:lastRenderedPageBreak/>
        <w:t>态恢复，开采完一个矿体恢复一个矿体，对采区及破碎筛分场地采取如下防治措施：</w:t>
      </w:r>
    </w:p>
    <w:p w14:paraId="2BC8C01D" w14:textId="77777777" w:rsidR="00E579B9" w:rsidRDefault="006A1398">
      <w:pPr>
        <w:widowControl w:val="0"/>
        <w:spacing w:line="520" w:lineRule="exact"/>
        <w:jc w:val="both"/>
        <w:rPr>
          <w:rFonts w:cs="宋体"/>
          <w:szCs w:val="24"/>
        </w:rPr>
      </w:pPr>
      <w:r>
        <w:rPr>
          <w:rFonts w:cs="宋体" w:hint="eastAsia"/>
          <w:szCs w:val="24"/>
        </w:rPr>
        <w:t>①对露采区及开采台阶进行覆土，恢复为林草地、灌草地</w:t>
      </w:r>
      <w:r>
        <w:rPr>
          <w:rFonts w:ascii="宋体" w:hAnsi="宋体" w:cs="宋体" w:hint="eastAsia"/>
          <w:szCs w:val="24"/>
        </w:rPr>
        <w:t>。</w:t>
      </w:r>
    </w:p>
    <w:p w14:paraId="4F7EDA8C" w14:textId="77777777" w:rsidR="00E579B9" w:rsidRDefault="006A1398">
      <w:pPr>
        <w:widowControl w:val="0"/>
        <w:spacing w:line="520" w:lineRule="exact"/>
        <w:jc w:val="both"/>
        <w:rPr>
          <w:rFonts w:cs="宋体"/>
          <w:szCs w:val="24"/>
        </w:rPr>
      </w:pPr>
      <w:r>
        <w:rPr>
          <w:rFonts w:cs="宋体" w:hint="eastAsia"/>
          <w:szCs w:val="24"/>
        </w:rPr>
        <w:t>②对运输道路进行覆土绿化，恢复植被，恢复为灌草地</w:t>
      </w:r>
      <w:r>
        <w:rPr>
          <w:rFonts w:ascii="宋体" w:hAnsi="宋体" w:cs="宋体" w:hint="eastAsia"/>
          <w:szCs w:val="24"/>
        </w:rPr>
        <w:t>。</w:t>
      </w:r>
    </w:p>
    <w:p w14:paraId="509307AC" w14:textId="77777777" w:rsidR="00E579B9" w:rsidRDefault="006A1398">
      <w:pPr>
        <w:widowControl w:val="0"/>
        <w:spacing w:line="520" w:lineRule="exact"/>
        <w:jc w:val="both"/>
        <w:rPr>
          <w:rFonts w:cs="宋体"/>
          <w:szCs w:val="24"/>
        </w:rPr>
      </w:pPr>
      <w:r>
        <w:rPr>
          <w:rFonts w:cs="宋体" w:hint="eastAsia"/>
          <w:szCs w:val="24"/>
        </w:rPr>
        <w:t>③破碎筛分场地、办公生活区建筑物拆除、场地清理整治、覆土，土地整治</w:t>
      </w:r>
      <w:proofErr w:type="gramStart"/>
      <w:r>
        <w:rPr>
          <w:rFonts w:cs="宋体" w:hint="eastAsia"/>
          <w:szCs w:val="24"/>
        </w:rPr>
        <w:t>内容同露采区</w:t>
      </w:r>
      <w:proofErr w:type="gramEnd"/>
      <w:r>
        <w:rPr>
          <w:rFonts w:cs="宋体" w:hint="eastAsia"/>
          <w:szCs w:val="24"/>
        </w:rPr>
        <w:t>。</w:t>
      </w:r>
    </w:p>
    <w:p w14:paraId="5AB147BB" w14:textId="77777777" w:rsidR="00E579B9" w:rsidRDefault="00E579B9">
      <w:pPr>
        <w:rPr>
          <w:highlight w:val="yellow"/>
        </w:rPr>
        <w:sectPr w:rsidR="00E579B9">
          <w:pgSz w:w="11906" w:h="16838"/>
          <w:pgMar w:top="1701" w:right="1588" w:bottom="1985" w:left="1588" w:header="851" w:footer="992" w:gutter="0"/>
          <w:cols w:space="720"/>
          <w:docGrid w:linePitch="312"/>
        </w:sectPr>
      </w:pPr>
    </w:p>
    <w:p w14:paraId="5E19BBA1" w14:textId="77777777" w:rsidR="00E579B9" w:rsidRDefault="006A1398">
      <w:pPr>
        <w:pStyle w:val="1"/>
      </w:pPr>
      <w:bookmarkStart w:id="167" w:name="_Toc531939548"/>
      <w:bookmarkStart w:id="168" w:name="_Toc531939337"/>
      <w:bookmarkStart w:id="169" w:name="_Toc33021801"/>
      <w:bookmarkStart w:id="170" w:name="_Toc5125"/>
      <w:bookmarkStart w:id="171" w:name="_Toc531939400"/>
      <w:bookmarkStart w:id="172" w:name="_Toc32342"/>
      <w:r>
        <w:lastRenderedPageBreak/>
        <w:t>第</w:t>
      </w:r>
      <w:r>
        <w:rPr>
          <w:rFonts w:hint="eastAsia"/>
        </w:rPr>
        <w:t>四</w:t>
      </w:r>
      <w:r>
        <w:t>章环境现状调查与评价</w:t>
      </w:r>
      <w:bookmarkEnd w:id="167"/>
      <w:bookmarkEnd w:id="168"/>
      <w:bookmarkEnd w:id="169"/>
    </w:p>
    <w:p w14:paraId="1C400281" w14:textId="77777777" w:rsidR="00E579B9" w:rsidRDefault="006A1398">
      <w:pPr>
        <w:pStyle w:val="2"/>
        <w:ind w:firstLine="560"/>
      </w:pPr>
      <w:bookmarkStart w:id="173" w:name="_Toc531939549"/>
      <w:bookmarkStart w:id="174" w:name="_Toc531939338"/>
      <w:bookmarkStart w:id="175" w:name="_Toc33021802"/>
      <w:r>
        <w:t>4.1</w:t>
      </w:r>
      <w:r>
        <w:t>自然环境简况</w:t>
      </w:r>
      <w:bookmarkEnd w:id="173"/>
      <w:bookmarkEnd w:id="174"/>
      <w:bookmarkEnd w:id="175"/>
    </w:p>
    <w:p w14:paraId="5EACE1BC" w14:textId="77777777" w:rsidR="00E579B9" w:rsidRDefault="006A1398">
      <w:pPr>
        <w:pStyle w:val="3"/>
        <w:ind w:firstLine="560"/>
      </w:pPr>
      <w:bookmarkStart w:id="176" w:name="_Toc274638166"/>
      <w:bookmarkStart w:id="177" w:name="_Toc273523088"/>
      <w:bookmarkStart w:id="178" w:name="_Toc531939550"/>
      <w:bookmarkStart w:id="179" w:name="_Toc273522003"/>
      <w:bookmarkStart w:id="180" w:name="_Toc279158452"/>
      <w:bookmarkStart w:id="181" w:name="_Toc531939339"/>
      <w:bookmarkStart w:id="182" w:name="_Toc273288814"/>
      <w:r>
        <w:t>4.1.1</w:t>
      </w:r>
      <w:r>
        <w:t>地理位置及交通</w:t>
      </w:r>
      <w:bookmarkEnd w:id="176"/>
      <w:bookmarkEnd w:id="177"/>
      <w:bookmarkEnd w:id="178"/>
      <w:bookmarkEnd w:id="179"/>
      <w:bookmarkEnd w:id="180"/>
      <w:bookmarkEnd w:id="181"/>
      <w:bookmarkEnd w:id="182"/>
    </w:p>
    <w:p w14:paraId="295CBF17" w14:textId="77777777" w:rsidR="00E579B9" w:rsidRDefault="006A1398">
      <w:pPr>
        <w:rPr>
          <w:rFonts w:ascii="Calibri" w:hAnsi="Calibri"/>
          <w:sz w:val="22"/>
        </w:rPr>
      </w:pPr>
      <w:r>
        <w:rPr>
          <w:rFonts w:hint="eastAsia"/>
        </w:rPr>
        <w:t>驻马店市</w:t>
      </w:r>
      <w:proofErr w:type="gramStart"/>
      <w:r>
        <w:rPr>
          <w:rFonts w:hint="eastAsia"/>
        </w:rPr>
        <w:t>驿</w:t>
      </w:r>
      <w:proofErr w:type="gramEnd"/>
      <w:r>
        <w:rPr>
          <w:rFonts w:hint="eastAsia"/>
        </w:rPr>
        <w:t>城区地处河南省南部，位于东经</w:t>
      </w:r>
      <w:r>
        <w:t>113°51′</w:t>
      </w:r>
      <w:r>
        <w:rPr>
          <w:rFonts w:hint="eastAsia"/>
        </w:rPr>
        <w:t>－</w:t>
      </w:r>
      <w:r>
        <w:t>114°05′</w:t>
      </w:r>
      <w:r>
        <w:rPr>
          <w:rFonts w:hint="eastAsia"/>
        </w:rPr>
        <w:t>，北纬</w:t>
      </w:r>
      <w:r>
        <w:t>32°55′</w:t>
      </w:r>
      <w:r>
        <w:rPr>
          <w:rFonts w:hint="eastAsia"/>
        </w:rPr>
        <w:t>－</w:t>
      </w:r>
      <w:r>
        <w:t>33°01′</w:t>
      </w:r>
      <w:r>
        <w:rPr>
          <w:rFonts w:hint="eastAsia"/>
        </w:rPr>
        <w:t>之间，东、南、西、北分别与汝南县、确山县、泌阳县和遂平县接壤，全区总面积</w:t>
      </w:r>
      <w:r>
        <w:t>203km</w:t>
      </w:r>
      <w:r>
        <w:rPr>
          <w:position w:val="9"/>
          <w:sz w:val="18"/>
          <w:szCs w:val="18"/>
        </w:rPr>
        <w:t>2</w:t>
      </w:r>
      <w:r>
        <w:rPr>
          <w:rFonts w:hint="eastAsia"/>
        </w:rPr>
        <w:t>，其中城市建成区面积点近</w:t>
      </w:r>
      <w:r>
        <w:t>36km</w:t>
      </w:r>
      <w:r>
        <w:rPr>
          <w:position w:val="9"/>
          <w:sz w:val="18"/>
          <w:szCs w:val="18"/>
        </w:rPr>
        <w:t>2</w:t>
      </w:r>
      <w:r>
        <w:rPr>
          <w:rFonts w:hint="eastAsia"/>
        </w:rPr>
        <w:t>。</w:t>
      </w:r>
    </w:p>
    <w:p w14:paraId="661BAE5E" w14:textId="77777777" w:rsidR="00E579B9" w:rsidRDefault="006A1398">
      <w:pPr>
        <w:rPr>
          <w:szCs w:val="24"/>
        </w:rPr>
      </w:pPr>
      <w:r>
        <w:t>项目</w:t>
      </w:r>
      <w:r>
        <w:rPr>
          <w:rFonts w:hint="eastAsia"/>
        </w:rPr>
        <w:t>矿区位于驻马店市</w:t>
      </w:r>
      <w:proofErr w:type="gramStart"/>
      <w:r>
        <w:rPr>
          <w:rFonts w:hint="eastAsia"/>
        </w:rPr>
        <w:t>驿</w:t>
      </w:r>
      <w:proofErr w:type="gramEnd"/>
      <w:r>
        <w:rPr>
          <w:rFonts w:hint="eastAsia"/>
        </w:rPr>
        <w:t>城区沙河店</w:t>
      </w:r>
      <w:proofErr w:type="gramStart"/>
      <w:r>
        <w:rPr>
          <w:rFonts w:hint="eastAsia"/>
        </w:rPr>
        <w:t>镇赵尧村</w:t>
      </w:r>
      <w:proofErr w:type="gramEnd"/>
      <w:r>
        <w:rPr>
          <w:rFonts w:hint="eastAsia"/>
        </w:rPr>
        <w:t>，分布在大顶山一带，北与舞钢市搭界。矿区内有简易乡村道路</w:t>
      </w:r>
      <w:proofErr w:type="gramStart"/>
      <w:r>
        <w:rPr>
          <w:rFonts w:hint="eastAsia"/>
        </w:rPr>
        <w:t>通往驻</w:t>
      </w:r>
      <w:proofErr w:type="gramEnd"/>
      <w:r>
        <w:rPr>
          <w:rFonts w:hint="eastAsia"/>
        </w:rPr>
        <w:t>马店—南阳的公路，矿区东南至驻马店</w:t>
      </w:r>
      <w:r>
        <w:rPr>
          <w:rFonts w:hint="eastAsia"/>
        </w:rPr>
        <w:t>50km</w:t>
      </w:r>
      <w:r>
        <w:rPr>
          <w:rFonts w:hint="eastAsia"/>
        </w:rPr>
        <w:t>，西北至舞钢</w:t>
      </w:r>
      <w:r>
        <w:rPr>
          <w:rFonts w:hint="eastAsia"/>
        </w:rPr>
        <w:t>20km</w:t>
      </w:r>
      <w:r>
        <w:rPr>
          <w:rFonts w:hint="eastAsia"/>
        </w:rPr>
        <w:t>，其间均为沥青路面与国道和京广铁路各车站相通，交通较便利。</w:t>
      </w:r>
    </w:p>
    <w:p w14:paraId="4EFD4442" w14:textId="77777777" w:rsidR="00E579B9" w:rsidRDefault="006A1398">
      <w:pPr>
        <w:pStyle w:val="3"/>
        <w:ind w:firstLine="560"/>
      </w:pPr>
      <w:bookmarkStart w:id="183" w:name="_Toc279158453"/>
      <w:bookmarkStart w:id="184" w:name="_Toc273288815"/>
      <w:bookmarkStart w:id="185" w:name="_Toc531939340"/>
      <w:bookmarkStart w:id="186" w:name="_Toc273522004"/>
      <w:bookmarkStart w:id="187" w:name="_Toc273523089"/>
      <w:bookmarkStart w:id="188" w:name="_Toc531939551"/>
      <w:bookmarkStart w:id="189" w:name="_Toc274638167"/>
      <w:r>
        <w:rPr>
          <w:rFonts w:hint="eastAsia"/>
        </w:rPr>
        <w:t>4</w:t>
      </w:r>
      <w:r>
        <w:t>.1.2</w:t>
      </w:r>
      <w:r>
        <w:t>地形地貌</w:t>
      </w:r>
      <w:bookmarkEnd w:id="183"/>
      <w:bookmarkEnd w:id="184"/>
      <w:bookmarkEnd w:id="185"/>
      <w:bookmarkEnd w:id="186"/>
      <w:bookmarkEnd w:id="187"/>
      <w:bookmarkEnd w:id="188"/>
      <w:bookmarkEnd w:id="189"/>
    </w:p>
    <w:p w14:paraId="65307855" w14:textId="77777777" w:rsidR="00E579B9" w:rsidRDefault="006A1398">
      <w:bookmarkStart w:id="190" w:name="_Toc531939341"/>
      <w:bookmarkStart w:id="191" w:name="_Toc531939552"/>
      <w:r>
        <w:rPr>
          <w:rFonts w:hint="eastAsia"/>
        </w:rPr>
        <w:t>本期项目位于驻马店市东南部。本期项目厂址所在区域地质结构和成土母质多为变质岩系，工程地质均匀，土层深厚，土壤多为黄棕壤，</w:t>
      </w:r>
      <w:r>
        <w:rPr>
          <w:rFonts w:hint="eastAsia"/>
          <w:spacing w:val="-5"/>
        </w:rPr>
        <w:t>少数为潮土类。该区域抗震设防烈度为</w:t>
      </w:r>
      <w:r>
        <w:rPr>
          <w:spacing w:val="-5"/>
        </w:rPr>
        <w:t>6</w:t>
      </w:r>
      <w:r>
        <w:rPr>
          <w:rFonts w:hint="eastAsia"/>
          <w:spacing w:val="-5"/>
        </w:rPr>
        <w:t>度，设计地震分组为第一组。设</w:t>
      </w:r>
      <w:r>
        <w:rPr>
          <w:rFonts w:hint="eastAsia"/>
        </w:rPr>
        <w:t>计基本地震加速度值为</w:t>
      </w:r>
      <w:r>
        <w:t>0.05g</w:t>
      </w:r>
      <w:r>
        <w:rPr>
          <w:rFonts w:hint="eastAsia"/>
        </w:rPr>
        <w:t>，设计特征周期为</w:t>
      </w:r>
      <w:r>
        <w:t>0.45s</w:t>
      </w:r>
      <w:r>
        <w:rPr>
          <w:rFonts w:hint="eastAsia"/>
        </w:rPr>
        <w:t>。</w:t>
      </w:r>
    </w:p>
    <w:p w14:paraId="0F854559" w14:textId="77777777" w:rsidR="00E579B9" w:rsidRDefault="006A1398">
      <w:pPr>
        <w:pStyle w:val="3"/>
        <w:ind w:firstLine="560"/>
        <w:rPr>
          <w:rFonts w:ascii="楷体" w:hAnsi="楷体"/>
        </w:rPr>
      </w:pPr>
      <w:r>
        <w:rPr>
          <w:rFonts w:hint="eastAsia"/>
        </w:rPr>
        <w:t>4</w:t>
      </w:r>
      <w:r>
        <w:t>.1.3</w:t>
      </w:r>
      <w:r>
        <w:rPr>
          <w:rFonts w:ascii="楷体" w:hAnsi="楷体" w:hint="eastAsia"/>
        </w:rPr>
        <w:t>水文特征</w:t>
      </w:r>
    </w:p>
    <w:p w14:paraId="06C23377" w14:textId="77777777" w:rsidR="00E579B9" w:rsidRDefault="006A1398">
      <w:r>
        <w:rPr>
          <w:rFonts w:hint="eastAsia"/>
        </w:rPr>
        <w:t>①地表水</w:t>
      </w:r>
    </w:p>
    <w:p w14:paraId="633CFE52" w14:textId="77777777" w:rsidR="00E579B9" w:rsidRDefault="006A1398">
      <w:pPr>
        <w:widowControl w:val="0"/>
        <w:jc w:val="both"/>
        <w:rPr>
          <w:rFonts w:cs="Times New Roman"/>
          <w:szCs w:val="24"/>
        </w:rPr>
      </w:pPr>
      <w:r>
        <w:rPr>
          <w:rFonts w:ascii="宋体" w:hAnsi="宋体" w:cs="Times New Roman"/>
          <w:szCs w:val="24"/>
        </w:rPr>
        <w:t>驻马店市属淮河</w:t>
      </w:r>
      <w:proofErr w:type="gramStart"/>
      <w:r>
        <w:rPr>
          <w:rFonts w:ascii="宋体" w:hAnsi="宋体" w:cs="Times New Roman"/>
          <w:szCs w:val="24"/>
        </w:rPr>
        <w:t>流域洪汝河水</w:t>
      </w:r>
      <w:proofErr w:type="gramEnd"/>
      <w:r>
        <w:rPr>
          <w:rFonts w:ascii="宋体" w:hAnsi="宋体" w:cs="Times New Roman"/>
          <w:szCs w:val="24"/>
        </w:rPr>
        <w:t>系。本期项目所在区域的主要地表水体有河流和湖库，其中，主要河流有汝河、</w:t>
      </w:r>
      <w:proofErr w:type="gramStart"/>
      <w:r>
        <w:rPr>
          <w:rFonts w:ascii="宋体" w:hAnsi="宋体" w:cs="Times New Roman"/>
          <w:szCs w:val="24"/>
        </w:rPr>
        <w:t>臻</w:t>
      </w:r>
      <w:proofErr w:type="gramEnd"/>
      <w:r>
        <w:rPr>
          <w:rFonts w:ascii="宋体" w:hAnsi="宋体" w:cs="Times New Roman"/>
          <w:szCs w:val="24"/>
        </w:rPr>
        <w:t>头河、练江河、冷水河、小清河、奎旺河和北汝河，流经</w:t>
      </w:r>
      <w:proofErr w:type="gramStart"/>
      <w:r>
        <w:rPr>
          <w:rFonts w:ascii="宋体" w:hAnsi="宋体" w:cs="Times New Roman"/>
          <w:szCs w:val="24"/>
        </w:rPr>
        <w:t>驿</w:t>
      </w:r>
      <w:proofErr w:type="gramEnd"/>
      <w:r>
        <w:rPr>
          <w:rFonts w:ascii="宋体" w:hAnsi="宋体" w:cs="Times New Roman"/>
          <w:szCs w:val="24"/>
        </w:rPr>
        <w:t>城区的河流有二条，即练江河和冷水河；湖库主要有板桥水库、宿鸭湖水库和薄山水库。</w:t>
      </w:r>
    </w:p>
    <w:p w14:paraId="35F5826E" w14:textId="77777777" w:rsidR="00E579B9" w:rsidRDefault="006A1398">
      <w:pPr>
        <w:widowControl w:val="0"/>
        <w:jc w:val="both"/>
        <w:rPr>
          <w:rFonts w:cs="Times New Roman"/>
          <w:szCs w:val="24"/>
        </w:rPr>
      </w:pPr>
      <w:r>
        <w:rPr>
          <w:rFonts w:ascii="宋体" w:hAnsi="宋体" w:cs="Times New Roman"/>
          <w:szCs w:val="24"/>
        </w:rPr>
        <w:t>汝河，又称南汝河，古称汝水。发源于泌阳县北部的王峰山区，东流穿过遂平县，由罗店乡大王桥村西入境，东南流至老村入宿鸭湖水库，水库泄水经刘大桥、宿</w:t>
      </w:r>
      <w:proofErr w:type="gramStart"/>
      <w:r>
        <w:rPr>
          <w:rFonts w:ascii="宋体" w:hAnsi="宋体" w:cs="Times New Roman"/>
          <w:szCs w:val="24"/>
        </w:rPr>
        <w:t>鸭湖引洪</w:t>
      </w:r>
      <w:proofErr w:type="gramEnd"/>
      <w:r>
        <w:rPr>
          <w:rFonts w:ascii="宋体" w:hAnsi="宋体" w:cs="Times New Roman"/>
          <w:szCs w:val="24"/>
        </w:rPr>
        <w:t>道，至</w:t>
      </w:r>
      <w:proofErr w:type="gramStart"/>
      <w:r>
        <w:rPr>
          <w:rFonts w:ascii="宋体" w:hAnsi="宋体" w:cs="Times New Roman"/>
          <w:szCs w:val="24"/>
        </w:rPr>
        <w:t>夏屯汇入臻</w:t>
      </w:r>
      <w:proofErr w:type="gramEnd"/>
      <w:r>
        <w:rPr>
          <w:rFonts w:ascii="宋体" w:hAnsi="宋体" w:cs="Times New Roman"/>
          <w:szCs w:val="24"/>
        </w:rPr>
        <w:t>头河，过泄洪闸沿</w:t>
      </w:r>
      <w:proofErr w:type="gramStart"/>
      <w:r>
        <w:rPr>
          <w:rFonts w:ascii="宋体" w:hAnsi="宋体" w:cs="Times New Roman"/>
          <w:szCs w:val="24"/>
        </w:rPr>
        <w:t>臻</w:t>
      </w:r>
      <w:proofErr w:type="gramEnd"/>
      <w:r>
        <w:rPr>
          <w:rFonts w:ascii="宋体" w:hAnsi="宋体" w:cs="Times New Roman"/>
          <w:szCs w:val="24"/>
        </w:rPr>
        <w:t>头河故道东流，至三桥乡尹庄折向东南，至君</w:t>
      </w:r>
      <w:proofErr w:type="gramStart"/>
      <w:r>
        <w:rPr>
          <w:rFonts w:ascii="宋体" w:hAnsi="宋体" w:cs="Times New Roman"/>
          <w:szCs w:val="24"/>
        </w:rPr>
        <w:t>于庄北入</w:t>
      </w:r>
      <w:proofErr w:type="gramEnd"/>
      <w:r>
        <w:rPr>
          <w:rFonts w:ascii="宋体" w:hAnsi="宋体" w:cs="Times New Roman"/>
          <w:szCs w:val="24"/>
        </w:rPr>
        <w:t>老河道向东，</w:t>
      </w:r>
      <w:proofErr w:type="gramStart"/>
      <w:r>
        <w:rPr>
          <w:rFonts w:ascii="宋体" w:hAnsi="宋体" w:cs="Times New Roman"/>
          <w:szCs w:val="24"/>
        </w:rPr>
        <w:t>至阎湾北</w:t>
      </w:r>
      <w:proofErr w:type="gramEnd"/>
      <w:r>
        <w:rPr>
          <w:rFonts w:ascii="宋体" w:hAnsi="宋体" w:cs="Times New Roman"/>
          <w:szCs w:val="24"/>
        </w:rPr>
        <w:t>又走新道，经李庄北、北胡北，至张岗乡</w:t>
      </w:r>
      <w:proofErr w:type="gramStart"/>
      <w:r>
        <w:rPr>
          <w:rFonts w:ascii="宋体" w:hAnsi="宋体" w:cs="Times New Roman"/>
          <w:szCs w:val="24"/>
        </w:rPr>
        <w:t>夏湾折</w:t>
      </w:r>
      <w:proofErr w:type="gramEnd"/>
      <w:r>
        <w:rPr>
          <w:rFonts w:ascii="宋体" w:hAnsi="宋体" w:cs="Times New Roman"/>
          <w:szCs w:val="24"/>
        </w:rPr>
        <w:t>向东南，至陈庄又走新道，向南至小张庄南入汝河（入口在</w:t>
      </w:r>
      <w:r>
        <w:rPr>
          <w:rFonts w:ascii="宋体" w:hAnsi="宋体" w:cs="Times New Roman"/>
          <w:szCs w:val="24"/>
        </w:rPr>
        <w:lastRenderedPageBreak/>
        <w:t>汝河西岸，河东岸</w:t>
      </w:r>
      <w:proofErr w:type="gramStart"/>
      <w:r>
        <w:rPr>
          <w:rFonts w:ascii="宋体" w:hAnsi="宋体" w:cs="Times New Roman"/>
          <w:szCs w:val="24"/>
        </w:rPr>
        <w:t>为赵埠口</w:t>
      </w:r>
      <w:proofErr w:type="gramEnd"/>
      <w:r>
        <w:rPr>
          <w:rFonts w:ascii="宋体" w:hAnsi="宋体" w:cs="Times New Roman"/>
          <w:szCs w:val="24"/>
        </w:rPr>
        <w:t>自然村）。汝河为淮河水系二级支流。在新蔡</w:t>
      </w:r>
      <w:proofErr w:type="gramStart"/>
      <w:r>
        <w:rPr>
          <w:rFonts w:ascii="宋体" w:hAnsi="宋体" w:cs="Times New Roman"/>
          <w:szCs w:val="24"/>
        </w:rPr>
        <w:t>县班台</w:t>
      </w:r>
      <w:proofErr w:type="gramEnd"/>
      <w:r>
        <w:rPr>
          <w:rFonts w:ascii="宋体" w:hAnsi="宋体" w:cs="Times New Roman"/>
          <w:szCs w:val="24"/>
        </w:rPr>
        <w:t>和小洪河汇合后于安徽省的王家</w:t>
      </w:r>
      <w:proofErr w:type="gramStart"/>
      <w:r>
        <w:rPr>
          <w:rFonts w:ascii="宋体" w:hAnsi="宋体" w:cs="Times New Roman"/>
          <w:szCs w:val="24"/>
        </w:rPr>
        <w:t>坝附近</w:t>
      </w:r>
      <w:proofErr w:type="gramEnd"/>
      <w:r>
        <w:rPr>
          <w:rFonts w:ascii="宋体" w:hAnsi="宋体" w:cs="Times New Roman"/>
          <w:szCs w:val="24"/>
        </w:rPr>
        <w:t>注入淮河干流。其流域面积</w:t>
      </w:r>
      <w:r>
        <w:rPr>
          <w:rFonts w:cs="Times New Roman"/>
          <w:szCs w:val="24"/>
        </w:rPr>
        <w:t>12380km</w:t>
      </w:r>
      <w:r>
        <w:rPr>
          <w:rFonts w:cs="Times New Roman"/>
          <w:szCs w:val="24"/>
          <w:vertAlign w:val="superscript"/>
        </w:rPr>
        <w:t>2</w:t>
      </w:r>
      <w:r>
        <w:rPr>
          <w:rFonts w:ascii="宋体" w:hAnsi="宋体" w:cs="Times New Roman"/>
          <w:szCs w:val="24"/>
        </w:rPr>
        <w:t>，耕地</w:t>
      </w:r>
      <w:r>
        <w:rPr>
          <w:rFonts w:cs="Times New Roman"/>
          <w:szCs w:val="24"/>
        </w:rPr>
        <w:t>1100</w:t>
      </w:r>
      <w:r>
        <w:rPr>
          <w:rFonts w:ascii="宋体" w:hAnsi="宋体" w:cs="Times New Roman"/>
          <w:szCs w:val="24"/>
        </w:rPr>
        <w:t>万亩，人口约</w:t>
      </w:r>
      <w:r>
        <w:rPr>
          <w:rFonts w:cs="Times New Roman"/>
          <w:szCs w:val="24"/>
        </w:rPr>
        <w:t>610</w:t>
      </w:r>
      <w:r>
        <w:rPr>
          <w:rFonts w:ascii="宋体" w:hAnsi="宋体" w:cs="Times New Roman"/>
          <w:szCs w:val="24"/>
        </w:rPr>
        <w:t>万。流域内土地肥沃，气候温和，是河南省主要的粮棉油生产基地之一。</w:t>
      </w:r>
    </w:p>
    <w:p w14:paraId="26998C5B" w14:textId="77777777" w:rsidR="00E579B9" w:rsidRDefault="006A1398">
      <w:pPr>
        <w:widowControl w:val="0"/>
        <w:jc w:val="both"/>
        <w:rPr>
          <w:rFonts w:cs="Times New Roman"/>
          <w:szCs w:val="24"/>
        </w:rPr>
      </w:pPr>
      <w:proofErr w:type="gramStart"/>
      <w:r>
        <w:rPr>
          <w:rFonts w:ascii="宋体" w:hAnsi="宋体" w:cs="Times New Roman"/>
          <w:szCs w:val="24"/>
        </w:rPr>
        <w:t>臻</w:t>
      </w:r>
      <w:proofErr w:type="gramEnd"/>
      <w:r>
        <w:rPr>
          <w:rFonts w:ascii="宋体" w:hAnsi="宋体" w:cs="Times New Roman"/>
          <w:szCs w:val="24"/>
        </w:rPr>
        <w:t>头河，发源于确山与泌阳交界的千眼岭，为淮河北岸支流汝河分支。流经确山、汝南两县，于汝南县沙口村注入汝河。全长</w:t>
      </w:r>
      <w:r>
        <w:rPr>
          <w:rFonts w:cs="Times New Roman"/>
          <w:szCs w:val="24"/>
        </w:rPr>
        <w:t>135km</w:t>
      </w:r>
      <w:r>
        <w:rPr>
          <w:rFonts w:ascii="宋体" w:hAnsi="宋体" w:cs="Times New Roman"/>
          <w:szCs w:val="24"/>
        </w:rPr>
        <w:t>，流域面积</w:t>
      </w:r>
      <w:r>
        <w:rPr>
          <w:rFonts w:cs="Times New Roman"/>
          <w:szCs w:val="24"/>
        </w:rPr>
        <w:t>1800km</w:t>
      </w:r>
      <w:r>
        <w:rPr>
          <w:rFonts w:cs="Times New Roman"/>
          <w:szCs w:val="24"/>
          <w:vertAlign w:val="superscript"/>
        </w:rPr>
        <w:t>2</w:t>
      </w:r>
      <w:r>
        <w:rPr>
          <w:rFonts w:ascii="宋体" w:hAnsi="宋体" w:cs="Times New Roman"/>
          <w:szCs w:val="24"/>
        </w:rPr>
        <w:t>。</w:t>
      </w:r>
      <w:proofErr w:type="gramStart"/>
      <w:r>
        <w:rPr>
          <w:rFonts w:ascii="宋体" w:hAnsi="宋体" w:cs="Times New Roman"/>
          <w:szCs w:val="24"/>
        </w:rPr>
        <w:t>臻</w:t>
      </w:r>
      <w:proofErr w:type="gramEnd"/>
      <w:r>
        <w:rPr>
          <w:rFonts w:ascii="宋体" w:hAnsi="宋体" w:cs="Times New Roman"/>
          <w:szCs w:val="24"/>
        </w:rPr>
        <w:t>头河古称</w:t>
      </w:r>
      <w:proofErr w:type="gramStart"/>
      <w:r>
        <w:rPr>
          <w:rFonts w:ascii="宋体" w:hAnsi="宋体" w:cs="Times New Roman"/>
          <w:szCs w:val="24"/>
        </w:rPr>
        <w:t>溱</w:t>
      </w:r>
      <w:proofErr w:type="gramEnd"/>
      <w:r>
        <w:rPr>
          <w:rFonts w:ascii="宋体" w:hAnsi="宋体" w:cs="Times New Roman"/>
          <w:szCs w:val="24"/>
        </w:rPr>
        <w:t>水，今称</w:t>
      </w:r>
      <w:r>
        <w:rPr>
          <w:rFonts w:cs="Times New Roman"/>
          <w:szCs w:val="24"/>
        </w:rPr>
        <w:t>“</w:t>
      </w:r>
      <w:hyperlink r:id="rId39" w:history="1">
        <w:proofErr w:type="gramStart"/>
        <w:r>
          <w:t>溱</w:t>
        </w:r>
        <w:proofErr w:type="gramEnd"/>
        <w:r>
          <w:t>头河</w:t>
        </w:r>
      </w:hyperlink>
      <w:r>
        <w:t>”</w:t>
      </w:r>
      <w:r>
        <w:rPr>
          <w:rFonts w:ascii="宋体" w:hAnsi="宋体" w:cs="Times New Roman"/>
          <w:szCs w:val="24"/>
        </w:rPr>
        <w:t>，又作</w:t>
      </w:r>
      <w:proofErr w:type="gramStart"/>
      <w:r>
        <w:rPr>
          <w:rFonts w:ascii="宋体" w:hAnsi="宋体" w:cs="Times New Roman"/>
          <w:szCs w:val="24"/>
        </w:rPr>
        <w:t>臻</w:t>
      </w:r>
      <w:proofErr w:type="gramEnd"/>
      <w:r>
        <w:rPr>
          <w:rFonts w:ascii="宋体" w:hAnsi="宋体" w:cs="Times New Roman"/>
          <w:szCs w:val="24"/>
        </w:rPr>
        <w:t>头河。</w:t>
      </w:r>
      <w:proofErr w:type="gramStart"/>
      <w:r>
        <w:rPr>
          <w:rFonts w:ascii="宋体" w:hAnsi="宋体" w:cs="Times New Roman"/>
          <w:szCs w:val="24"/>
        </w:rPr>
        <w:t>臻</w:t>
      </w:r>
      <w:proofErr w:type="gramEnd"/>
      <w:r>
        <w:rPr>
          <w:rFonts w:ascii="宋体" w:hAnsi="宋体" w:cs="Times New Roman"/>
          <w:szCs w:val="24"/>
        </w:rPr>
        <w:t>头河俗称大沙河（区别于小沙河），在上游称石滚河，下游称余子河。</w:t>
      </w:r>
    </w:p>
    <w:p w14:paraId="6BAA4317" w14:textId="77777777" w:rsidR="00E579B9" w:rsidRDefault="006A1398">
      <w:pPr>
        <w:widowControl w:val="0"/>
        <w:jc w:val="both"/>
        <w:rPr>
          <w:rFonts w:cs="Times New Roman"/>
          <w:szCs w:val="24"/>
        </w:rPr>
      </w:pPr>
      <w:r>
        <w:rPr>
          <w:rFonts w:ascii="宋体" w:hAnsi="宋体" w:cs="Times New Roman"/>
          <w:szCs w:val="24"/>
        </w:rPr>
        <w:t>练江河，发源于市区西部的桃木山北侧，</w:t>
      </w:r>
      <w:proofErr w:type="gramStart"/>
      <w:r>
        <w:rPr>
          <w:rFonts w:ascii="宋体" w:hAnsi="宋体" w:cs="Times New Roman"/>
          <w:szCs w:val="24"/>
        </w:rPr>
        <w:t>在水屯东</w:t>
      </w:r>
      <w:proofErr w:type="gramEnd"/>
      <w:r>
        <w:rPr>
          <w:rFonts w:ascii="宋体" w:hAnsi="宋体" w:cs="Times New Roman"/>
          <w:szCs w:val="24"/>
        </w:rPr>
        <w:t>流入宿鸭湖，全厂</w:t>
      </w:r>
      <w:r>
        <w:rPr>
          <w:rFonts w:cs="Times New Roman"/>
          <w:szCs w:val="24"/>
        </w:rPr>
        <w:t>42.7km</w:t>
      </w:r>
      <w:r>
        <w:rPr>
          <w:rFonts w:ascii="宋体" w:hAnsi="宋体" w:cs="Times New Roman"/>
          <w:szCs w:val="24"/>
        </w:rPr>
        <w:t>，流域面积</w:t>
      </w:r>
      <w:r>
        <w:rPr>
          <w:rFonts w:cs="Times New Roman"/>
          <w:szCs w:val="24"/>
        </w:rPr>
        <w:t>204km</w:t>
      </w:r>
      <w:r>
        <w:rPr>
          <w:rFonts w:cs="Times New Roman"/>
          <w:szCs w:val="24"/>
          <w:vertAlign w:val="superscript"/>
        </w:rPr>
        <w:t>2</w:t>
      </w:r>
      <w:r>
        <w:rPr>
          <w:rFonts w:ascii="宋体" w:hAnsi="宋体" w:cs="Times New Roman"/>
          <w:szCs w:val="24"/>
        </w:rPr>
        <w:t>，河床较浅，不易泛滥，比降</w:t>
      </w:r>
      <w:r>
        <w:rPr>
          <w:rFonts w:cs="Times New Roman"/>
          <w:szCs w:val="24"/>
        </w:rPr>
        <w:t>1</w:t>
      </w:r>
      <w:r>
        <w:rPr>
          <w:rFonts w:ascii="宋体" w:hAnsi="宋体" w:cs="Times New Roman"/>
          <w:szCs w:val="24"/>
        </w:rPr>
        <w:t>：</w:t>
      </w:r>
      <w:r>
        <w:rPr>
          <w:rFonts w:cs="Times New Roman"/>
          <w:szCs w:val="24"/>
        </w:rPr>
        <w:t>1500</w:t>
      </w:r>
      <w:r>
        <w:rPr>
          <w:rFonts w:ascii="宋体" w:hAnsi="宋体" w:cs="Times New Roman"/>
          <w:szCs w:val="24"/>
        </w:rPr>
        <w:t>，流量变化较大。根据驻马店市水文站长期观测资料，最大径流量达</w:t>
      </w:r>
      <w:r>
        <w:rPr>
          <w:rFonts w:cs="Times New Roman"/>
          <w:szCs w:val="24"/>
        </w:rPr>
        <w:t>716m</w:t>
      </w:r>
      <w:r>
        <w:rPr>
          <w:rFonts w:cs="Times New Roman"/>
          <w:szCs w:val="24"/>
          <w:vertAlign w:val="superscript"/>
        </w:rPr>
        <w:t>3</w:t>
      </w:r>
      <w:r>
        <w:rPr>
          <w:rFonts w:cs="Times New Roman"/>
          <w:szCs w:val="24"/>
        </w:rPr>
        <w:t>/s</w:t>
      </w:r>
      <w:r>
        <w:rPr>
          <w:rFonts w:ascii="宋体" w:hAnsi="宋体" w:cs="Times New Roman"/>
          <w:szCs w:val="24"/>
        </w:rPr>
        <w:t>，最小流量为</w:t>
      </w:r>
      <w:r>
        <w:rPr>
          <w:rFonts w:cs="Times New Roman"/>
          <w:szCs w:val="24"/>
        </w:rPr>
        <w:t>0</w:t>
      </w:r>
      <w:r>
        <w:rPr>
          <w:rFonts w:ascii="宋体" w:hAnsi="宋体" w:cs="Times New Roman"/>
          <w:szCs w:val="24"/>
        </w:rPr>
        <w:t>，目前已成为驻马店市的排污河，驻马店市</w:t>
      </w:r>
      <w:proofErr w:type="gramStart"/>
      <w:r>
        <w:rPr>
          <w:rFonts w:ascii="宋体" w:hAnsi="宋体" w:cs="Times New Roman"/>
          <w:szCs w:val="24"/>
        </w:rPr>
        <w:t>刘楼城市</w:t>
      </w:r>
      <w:proofErr w:type="gramEnd"/>
      <w:r>
        <w:rPr>
          <w:rFonts w:ascii="宋体" w:hAnsi="宋体" w:cs="Times New Roman"/>
          <w:szCs w:val="24"/>
        </w:rPr>
        <w:t>污水处理厂投入运行后，练江河水质有了显著改善。</w:t>
      </w:r>
      <w:r>
        <w:rPr>
          <w:rFonts w:ascii="宋体" w:hAnsi="宋体" w:cs="Times New Roman"/>
          <w:spacing w:val="4"/>
          <w:szCs w:val="24"/>
        </w:rPr>
        <w:t>目前，本项目污水处理厂服务范围内的工业废水和生活污水直接汇入练江河。</w:t>
      </w:r>
    </w:p>
    <w:p w14:paraId="7DDCC6DB" w14:textId="77777777" w:rsidR="00E579B9" w:rsidRDefault="006A1398">
      <w:pPr>
        <w:widowControl w:val="0"/>
        <w:jc w:val="both"/>
        <w:rPr>
          <w:rFonts w:cs="Times New Roman"/>
          <w:szCs w:val="24"/>
        </w:rPr>
      </w:pPr>
      <w:r>
        <w:rPr>
          <w:rFonts w:ascii="宋体" w:hAnsi="宋体" w:cs="Times New Roman"/>
          <w:szCs w:val="24"/>
        </w:rPr>
        <w:t>冷水河，发源于市区北郊的范楼，东入宿鸭湖，全长</w:t>
      </w:r>
      <w:r>
        <w:rPr>
          <w:rFonts w:cs="Times New Roman"/>
          <w:szCs w:val="24"/>
        </w:rPr>
        <w:t>18.8km</w:t>
      </w:r>
      <w:r>
        <w:rPr>
          <w:rFonts w:ascii="宋体" w:hAnsi="宋体" w:cs="Times New Roman"/>
          <w:szCs w:val="24"/>
        </w:rPr>
        <w:t>，为一条人工河流。</w:t>
      </w:r>
    </w:p>
    <w:p w14:paraId="19C5C95B" w14:textId="77777777" w:rsidR="00E579B9" w:rsidRDefault="006A1398">
      <w:pPr>
        <w:widowControl w:val="0"/>
        <w:jc w:val="both"/>
        <w:rPr>
          <w:rFonts w:cs="Times New Roman"/>
          <w:szCs w:val="24"/>
        </w:rPr>
      </w:pPr>
      <w:r>
        <w:rPr>
          <w:rFonts w:ascii="宋体" w:hAnsi="宋体" w:cs="Times New Roman"/>
          <w:szCs w:val="24"/>
        </w:rPr>
        <w:t>小清河，季节性河流，发源于驻马店</w:t>
      </w:r>
      <w:proofErr w:type="gramStart"/>
      <w:r>
        <w:rPr>
          <w:rFonts w:ascii="宋体" w:hAnsi="宋体" w:cs="Times New Roman"/>
          <w:szCs w:val="24"/>
        </w:rPr>
        <w:t>市刘阁乡</w:t>
      </w:r>
      <w:proofErr w:type="gramEnd"/>
      <w:r>
        <w:rPr>
          <w:rFonts w:ascii="宋体" w:hAnsi="宋体" w:cs="Times New Roman"/>
          <w:szCs w:val="24"/>
        </w:rPr>
        <w:t>汪刘庄北部，并接纳板桥水库南干渠排水，最终入宿鸭湖水库上游。</w:t>
      </w:r>
    </w:p>
    <w:p w14:paraId="53CA5D08" w14:textId="77777777" w:rsidR="00E579B9" w:rsidRDefault="006A1398">
      <w:pPr>
        <w:widowControl w:val="0"/>
        <w:jc w:val="both"/>
        <w:rPr>
          <w:rFonts w:cs="Times New Roman"/>
          <w:szCs w:val="24"/>
        </w:rPr>
      </w:pPr>
      <w:r>
        <w:rPr>
          <w:rFonts w:ascii="宋体" w:hAnsi="宋体" w:cs="Times New Roman"/>
          <w:szCs w:val="24"/>
        </w:rPr>
        <w:t>北汝河，发源于西平县境内，有红</w:t>
      </w:r>
      <w:proofErr w:type="gramStart"/>
      <w:r>
        <w:rPr>
          <w:rFonts w:ascii="宋体" w:hAnsi="宋体" w:cs="Times New Roman"/>
          <w:szCs w:val="24"/>
        </w:rPr>
        <w:t>澍</w:t>
      </w:r>
      <w:proofErr w:type="gramEnd"/>
      <w:r>
        <w:rPr>
          <w:rFonts w:ascii="宋体" w:hAnsi="宋体" w:cs="Times New Roman"/>
          <w:szCs w:val="24"/>
        </w:rPr>
        <w:t>河、北柳堰河、奎旺河等支流汇入，在汝南县境内汇入汝河。</w:t>
      </w:r>
    </w:p>
    <w:p w14:paraId="155FE5DC" w14:textId="77777777" w:rsidR="00E579B9" w:rsidRDefault="006A1398">
      <w:pPr>
        <w:jc w:val="both"/>
        <w:rPr>
          <w:rFonts w:cs="Times New Roman"/>
          <w:color w:val="000000"/>
          <w:spacing w:val="10"/>
          <w:szCs w:val="24"/>
        </w:rPr>
      </w:pPr>
      <w:r>
        <w:rPr>
          <w:rFonts w:ascii="宋体" w:hAnsi="宋体" w:cs="Times New Roman"/>
          <w:szCs w:val="24"/>
        </w:rPr>
        <w:t>板桥水库，位于淮河支流</w:t>
      </w:r>
      <w:r w:rsidR="00682975">
        <w:fldChar w:fldCharType="begin"/>
      </w:r>
      <w:r w:rsidR="00682975">
        <w:instrText xml:space="preserve"> HYPERLINK "http://baike.baidu.com/view/107648.htm" </w:instrText>
      </w:r>
      <w:r w:rsidR="00682975">
        <w:fldChar w:fldCharType="separate"/>
      </w:r>
      <w:r>
        <w:rPr>
          <w:rFonts w:ascii="宋体" w:hAnsi="宋体" w:cs="Times New Roman"/>
          <w:szCs w:val="24"/>
        </w:rPr>
        <w:t>汝河</w:t>
      </w:r>
      <w:r w:rsidR="00682975">
        <w:rPr>
          <w:rFonts w:ascii="宋体" w:hAnsi="宋体" w:cs="Times New Roman"/>
          <w:szCs w:val="24"/>
        </w:rPr>
        <w:fldChar w:fldCharType="end"/>
      </w:r>
      <w:r>
        <w:rPr>
          <w:rFonts w:ascii="宋体" w:hAnsi="宋体" w:cs="Times New Roman"/>
          <w:szCs w:val="24"/>
        </w:rPr>
        <w:t>上游泌阳县</w:t>
      </w:r>
      <w:hyperlink r:id="rId40" w:history="1">
        <w:r>
          <w:rPr>
            <w:rFonts w:ascii="宋体" w:hAnsi="宋体" w:cs="Times New Roman"/>
            <w:szCs w:val="24"/>
          </w:rPr>
          <w:t>板桥镇</w:t>
        </w:r>
      </w:hyperlink>
      <w:r>
        <w:rPr>
          <w:rFonts w:ascii="宋体" w:hAnsi="宋体" w:cs="Times New Roman"/>
          <w:szCs w:val="24"/>
        </w:rPr>
        <w:t>，风光秀丽的</w:t>
      </w:r>
      <w:hyperlink r:id="rId41" w:history="1">
        <w:r>
          <w:rPr>
            <w:rFonts w:ascii="宋体" w:hAnsi="宋体" w:cs="Times New Roman"/>
            <w:szCs w:val="24"/>
          </w:rPr>
          <w:t>白云山</w:t>
        </w:r>
      </w:hyperlink>
      <w:r>
        <w:rPr>
          <w:rFonts w:ascii="宋体" w:hAnsi="宋体" w:cs="Times New Roman"/>
          <w:szCs w:val="24"/>
        </w:rPr>
        <w:t>脚下。是一座以防洪为主，兼有灌溉、发电、城市供水、水产养殖及旅游等综合效益的大型水利枢纽工程。</w:t>
      </w:r>
      <w:r>
        <w:rPr>
          <w:rFonts w:ascii="宋体" w:hAnsi="宋体" w:cs="Times New Roman"/>
          <w:color w:val="000000"/>
          <w:spacing w:val="10"/>
          <w:szCs w:val="24"/>
        </w:rPr>
        <w:t>水库始建于</w:t>
      </w:r>
      <w:r>
        <w:rPr>
          <w:rFonts w:cs="Times New Roman"/>
          <w:color w:val="000000"/>
          <w:spacing w:val="10"/>
          <w:szCs w:val="24"/>
        </w:rPr>
        <w:t>1951</w:t>
      </w:r>
      <w:r>
        <w:rPr>
          <w:rFonts w:ascii="宋体" w:hAnsi="宋体" w:cs="Times New Roman"/>
          <w:color w:val="000000"/>
          <w:spacing w:val="10"/>
          <w:szCs w:val="24"/>
        </w:rPr>
        <w:t>年，控制流域面积</w:t>
      </w:r>
      <w:r>
        <w:rPr>
          <w:rFonts w:cs="Times New Roman"/>
          <w:color w:val="000000"/>
          <w:spacing w:val="10"/>
          <w:szCs w:val="24"/>
        </w:rPr>
        <w:t>768km</w:t>
      </w:r>
      <w:r>
        <w:rPr>
          <w:rFonts w:cs="Times New Roman"/>
          <w:color w:val="000000"/>
          <w:spacing w:val="10"/>
          <w:szCs w:val="24"/>
          <w:vertAlign w:val="superscript"/>
        </w:rPr>
        <w:t>2</w:t>
      </w:r>
      <w:r>
        <w:rPr>
          <w:rFonts w:ascii="宋体" w:hAnsi="宋体" w:cs="Times New Roman"/>
          <w:color w:val="000000"/>
          <w:spacing w:val="10"/>
          <w:szCs w:val="24"/>
        </w:rPr>
        <w:t>，最大库容</w:t>
      </w:r>
      <w:r>
        <w:rPr>
          <w:rFonts w:cs="Times New Roman"/>
          <w:color w:val="000000"/>
          <w:spacing w:val="10"/>
          <w:szCs w:val="24"/>
        </w:rPr>
        <w:t>6.75</w:t>
      </w:r>
      <w:r>
        <w:rPr>
          <w:rFonts w:ascii="宋体" w:hAnsi="宋体" w:cs="Times New Roman"/>
          <w:color w:val="000000"/>
          <w:spacing w:val="10"/>
          <w:szCs w:val="24"/>
        </w:rPr>
        <w:t>亿</w:t>
      </w:r>
      <w:r>
        <w:rPr>
          <w:rFonts w:cs="Times New Roman"/>
          <w:color w:val="000000"/>
          <w:spacing w:val="10"/>
          <w:szCs w:val="24"/>
        </w:rPr>
        <w:t>m</w:t>
      </w:r>
      <w:r>
        <w:rPr>
          <w:rFonts w:cs="Times New Roman"/>
          <w:color w:val="000000"/>
          <w:spacing w:val="10"/>
          <w:szCs w:val="24"/>
          <w:vertAlign w:val="superscript"/>
        </w:rPr>
        <w:t>3</w:t>
      </w:r>
      <w:r>
        <w:rPr>
          <w:rFonts w:ascii="宋体" w:hAnsi="宋体" w:cs="Times New Roman"/>
          <w:color w:val="000000"/>
          <w:spacing w:val="10"/>
          <w:szCs w:val="24"/>
        </w:rPr>
        <w:t>。兴利水位</w:t>
      </w:r>
      <w:r>
        <w:rPr>
          <w:rFonts w:cs="Times New Roman"/>
          <w:color w:val="000000"/>
          <w:spacing w:val="10"/>
          <w:szCs w:val="24"/>
        </w:rPr>
        <w:t>111.5m</w:t>
      </w:r>
      <w:r>
        <w:rPr>
          <w:rFonts w:ascii="宋体" w:hAnsi="宋体" w:cs="Times New Roman"/>
          <w:color w:val="000000"/>
          <w:spacing w:val="10"/>
          <w:szCs w:val="24"/>
        </w:rPr>
        <w:t>，相应库容</w:t>
      </w:r>
      <w:r>
        <w:rPr>
          <w:rFonts w:cs="Times New Roman"/>
          <w:color w:val="000000"/>
          <w:spacing w:val="10"/>
          <w:szCs w:val="24"/>
        </w:rPr>
        <w:t>2.56</w:t>
      </w:r>
      <w:r>
        <w:rPr>
          <w:rFonts w:ascii="宋体" w:hAnsi="宋体" w:cs="Times New Roman"/>
          <w:color w:val="000000"/>
          <w:spacing w:val="10"/>
          <w:szCs w:val="24"/>
        </w:rPr>
        <w:t>亿</w:t>
      </w:r>
      <w:r>
        <w:rPr>
          <w:rFonts w:cs="Times New Roman"/>
          <w:color w:val="000000"/>
          <w:spacing w:val="10"/>
          <w:szCs w:val="24"/>
        </w:rPr>
        <w:t>m</w:t>
      </w:r>
      <w:r>
        <w:rPr>
          <w:rFonts w:cs="Times New Roman"/>
          <w:color w:val="000000"/>
          <w:spacing w:val="10"/>
          <w:szCs w:val="24"/>
          <w:vertAlign w:val="superscript"/>
        </w:rPr>
        <w:t>3</w:t>
      </w:r>
      <w:r>
        <w:rPr>
          <w:rFonts w:ascii="宋体" w:hAnsi="宋体" w:cs="Times New Roman"/>
          <w:color w:val="000000"/>
          <w:spacing w:val="10"/>
          <w:szCs w:val="24"/>
        </w:rPr>
        <w:t>，可养殖面积</w:t>
      </w:r>
      <w:r>
        <w:rPr>
          <w:rFonts w:cs="Times New Roman"/>
          <w:color w:val="000000"/>
          <w:spacing w:val="10"/>
          <w:szCs w:val="24"/>
        </w:rPr>
        <w:t>3</w:t>
      </w:r>
      <w:r>
        <w:rPr>
          <w:rFonts w:ascii="宋体" w:hAnsi="宋体" w:cs="Times New Roman"/>
          <w:color w:val="000000"/>
          <w:spacing w:val="10"/>
          <w:szCs w:val="24"/>
        </w:rPr>
        <w:t>万亩，水电站装机</w:t>
      </w:r>
      <w:r>
        <w:rPr>
          <w:rFonts w:cs="Times New Roman"/>
          <w:color w:val="000000"/>
          <w:spacing w:val="10"/>
          <w:szCs w:val="24"/>
        </w:rPr>
        <w:t>3200kw</w:t>
      </w:r>
      <w:r>
        <w:rPr>
          <w:rFonts w:ascii="宋体" w:hAnsi="宋体" w:cs="Times New Roman"/>
          <w:color w:val="000000"/>
          <w:spacing w:val="10"/>
          <w:szCs w:val="24"/>
        </w:rPr>
        <w:t>，坝顶高程</w:t>
      </w:r>
      <w:r>
        <w:rPr>
          <w:rFonts w:cs="Times New Roman"/>
          <w:color w:val="000000"/>
          <w:spacing w:val="10"/>
          <w:szCs w:val="24"/>
        </w:rPr>
        <w:t>120m</w:t>
      </w:r>
      <w:r>
        <w:rPr>
          <w:rFonts w:ascii="宋体" w:hAnsi="宋体" w:cs="Times New Roman"/>
          <w:color w:val="000000"/>
          <w:spacing w:val="10"/>
          <w:szCs w:val="24"/>
        </w:rPr>
        <w:t>，最大坝高</w:t>
      </w:r>
      <w:r>
        <w:rPr>
          <w:rFonts w:cs="Times New Roman"/>
          <w:color w:val="000000"/>
          <w:spacing w:val="10"/>
          <w:szCs w:val="24"/>
        </w:rPr>
        <w:t>50.5m</w:t>
      </w:r>
      <w:r>
        <w:rPr>
          <w:rFonts w:ascii="宋体" w:hAnsi="宋体" w:cs="Times New Roman"/>
          <w:color w:val="000000"/>
          <w:spacing w:val="10"/>
          <w:szCs w:val="24"/>
        </w:rPr>
        <w:t>，水库总泄量</w:t>
      </w:r>
      <w:r>
        <w:rPr>
          <w:rFonts w:cs="Times New Roman"/>
          <w:color w:val="000000"/>
          <w:spacing w:val="10"/>
          <w:szCs w:val="24"/>
        </w:rPr>
        <w:t>15000m</w:t>
      </w:r>
      <w:r>
        <w:rPr>
          <w:rFonts w:cs="Times New Roman"/>
          <w:color w:val="000000"/>
          <w:spacing w:val="10"/>
          <w:szCs w:val="24"/>
          <w:vertAlign w:val="superscript"/>
        </w:rPr>
        <w:t>3</w:t>
      </w:r>
      <w:r>
        <w:rPr>
          <w:rFonts w:cs="Times New Roman"/>
          <w:color w:val="000000"/>
          <w:spacing w:val="10"/>
          <w:szCs w:val="24"/>
        </w:rPr>
        <w:t>/s</w:t>
      </w:r>
      <w:r>
        <w:rPr>
          <w:rFonts w:ascii="宋体" w:hAnsi="宋体" w:cs="Times New Roman"/>
          <w:color w:val="000000"/>
          <w:spacing w:val="10"/>
          <w:szCs w:val="24"/>
        </w:rPr>
        <w:t>，大坝全长</w:t>
      </w:r>
      <w:r>
        <w:rPr>
          <w:rFonts w:cs="Times New Roman"/>
          <w:color w:val="000000"/>
          <w:spacing w:val="10"/>
          <w:szCs w:val="24"/>
        </w:rPr>
        <w:t>3720m</w:t>
      </w:r>
      <w:r>
        <w:rPr>
          <w:rFonts w:ascii="宋体" w:hAnsi="宋体" w:cs="Times New Roman"/>
          <w:color w:val="000000"/>
          <w:spacing w:val="10"/>
          <w:szCs w:val="24"/>
        </w:rPr>
        <w:t>。</w:t>
      </w:r>
    </w:p>
    <w:p w14:paraId="1B01D642" w14:textId="77777777" w:rsidR="00E579B9" w:rsidRDefault="006A1398">
      <w:pPr>
        <w:widowControl w:val="0"/>
        <w:jc w:val="both"/>
        <w:rPr>
          <w:rFonts w:cs="Times New Roman"/>
          <w:szCs w:val="24"/>
        </w:rPr>
      </w:pPr>
      <w:r>
        <w:rPr>
          <w:rFonts w:ascii="宋体" w:hAnsi="宋体" w:cs="Times New Roman"/>
          <w:szCs w:val="24"/>
        </w:rPr>
        <w:t>宿鸭湖水库，为一平原人工水库，</w:t>
      </w:r>
      <w:r>
        <w:rPr>
          <w:rFonts w:cs="Times New Roman"/>
          <w:szCs w:val="24"/>
        </w:rPr>
        <w:t>1958</w:t>
      </w:r>
      <w:r>
        <w:rPr>
          <w:rFonts w:ascii="宋体" w:hAnsi="宋体" w:cs="Times New Roman"/>
          <w:szCs w:val="24"/>
        </w:rPr>
        <w:t>年修建，位于驻马店市东部汝南县境内，距离本工程约</w:t>
      </w:r>
      <w:r>
        <w:rPr>
          <w:rFonts w:cs="Times New Roman"/>
          <w:szCs w:val="24"/>
        </w:rPr>
        <w:t>15km</w:t>
      </w:r>
      <w:r>
        <w:rPr>
          <w:rFonts w:ascii="宋体" w:hAnsi="宋体" w:cs="Times New Roman"/>
          <w:szCs w:val="24"/>
        </w:rPr>
        <w:t>。宿鸭湖水库南北长</w:t>
      </w:r>
      <w:r>
        <w:rPr>
          <w:rFonts w:cs="Times New Roman"/>
          <w:szCs w:val="24"/>
        </w:rPr>
        <w:t>35km</w:t>
      </w:r>
      <w:r>
        <w:rPr>
          <w:rFonts w:ascii="宋体" w:hAnsi="宋体" w:cs="Times New Roman"/>
          <w:szCs w:val="24"/>
        </w:rPr>
        <w:t>，东西宽</w:t>
      </w:r>
      <w:r>
        <w:rPr>
          <w:rFonts w:cs="Times New Roman"/>
          <w:szCs w:val="24"/>
        </w:rPr>
        <w:t>15km</w:t>
      </w:r>
      <w:r>
        <w:rPr>
          <w:rFonts w:ascii="宋体" w:hAnsi="宋体" w:cs="Times New Roman"/>
          <w:szCs w:val="24"/>
        </w:rPr>
        <w:t>，总面积</w:t>
      </w:r>
      <w:r>
        <w:rPr>
          <w:rFonts w:cs="Times New Roman"/>
          <w:szCs w:val="24"/>
        </w:rPr>
        <w:t>167km</w:t>
      </w:r>
      <w:r>
        <w:rPr>
          <w:rFonts w:cs="Times New Roman"/>
          <w:szCs w:val="24"/>
          <w:vertAlign w:val="superscript"/>
        </w:rPr>
        <w:t>2</w:t>
      </w:r>
      <w:r>
        <w:rPr>
          <w:rFonts w:ascii="宋体" w:hAnsi="宋体" w:cs="Times New Roman"/>
          <w:szCs w:val="24"/>
        </w:rPr>
        <w:t>，库容达</w:t>
      </w:r>
      <w:r>
        <w:rPr>
          <w:rFonts w:cs="Times New Roman"/>
          <w:szCs w:val="24"/>
        </w:rPr>
        <w:t>16.5</w:t>
      </w:r>
      <w:r>
        <w:rPr>
          <w:rFonts w:ascii="宋体" w:hAnsi="宋体" w:cs="Times New Roman"/>
          <w:szCs w:val="24"/>
        </w:rPr>
        <w:t>亿</w:t>
      </w:r>
      <w:r>
        <w:rPr>
          <w:rFonts w:cs="Times New Roman"/>
          <w:szCs w:val="24"/>
        </w:rPr>
        <w:t>m</w:t>
      </w:r>
      <w:r>
        <w:rPr>
          <w:rFonts w:cs="Times New Roman"/>
          <w:szCs w:val="24"/>
          <w:vertAlign w:val="superscript"/>
        </w:rPr>
        <w:t>3</w:t>
      </w:r>
      <w:r>
        <w:rPr>
          <w:rFonts w:ascii="宋体" w:hAnsi="宋体" w:cs="Times New Roman"/>
          <w:szCs w:val="24"/>
        </w:rPr>
        <w:t>，水位高程一般保持在</w:t>
      </w:r>
      <w:r>
        <w:rPr>
          <w:rFonts w:cs="Times New Roman"/>
          <w:szCs w:val="24"/>
        </w:rPr>
        <w:t>52.5-53.5m</w:t>
      </w:r>
      <w:r>
        <w:rPr>
          <w:rFonts w:ascii="宋体" w:hAnsi="宋体" w:cs="Times New Roman"/>
          <w:szCs w:val="24"/>
        </w:rPr>
        <w:t>之间，汛期最高水位</w:t>
      </w:r>
      <w:r>
        <w:rPr>
          <w:rFonts w:cs="Times New Roman"/>
          <w:szCs w:val="24"/>
        </w:rPr>
        <w:t>54.5m</w:t>
      </w:r>
      <w:r>
        <w:rPr>
          <w:rFonts w:ascii="宋体" w:hAnsi="宋体" w:cs="Times New Roman"/>
          <w:szCs w:val="24"/>
        </w:rPr>
        <w:t>，</w:t>
      </w:r>
      <w:r>
        <w:rPr>
          <w:rFonts w:ascii="宋体" w:hAnsi="宋体" w:cs="Times New Roman"/>
          <w:szCs w:val="24"/>
        </w:rPr>
        <w:lastRenderedPageBreak/>
        <w:t>非汛期最高水位</w:t>
      </w:r>
      <w:r>
        <w:rPr>
          <w:rFonts w:cs="Times New Roman"/>
          <w:szCs w:val="24"/>
        </w:rPr>
        <w:t>52.5m</w:t>
      </w:r>
      <w:r>
        <w:rPr>
          <w:rFonts w:ascii="宋体" w:hAnsi="宋体" w:cs="Times New Roman"/>
          <w:szCs w:val="24"/>
        </w:rPr>
        <w:t>，是一座以防洪灌溉为主，结合农用、养鱼等综合利用的大型调节水库，也是河南省最大的平原水库。汝河从库区自西北至东南穿过，汝河最终与洪河汇合后流入淮河。</w:t>
      </w:r>
    </w:p>
    <w:p w14:paraId="30855155" w14:textId="77777777" w:rsidR="00E579B9" w:rsidRDefault="006A1398">
      <w:pPr>
        <w:widowControl w:val="0"/>
        <w:jc w:val="both"/>
        <w:rPr>
          <w:rFonts w:cs="Times New Roman"/>
          <w:color w:val="000000"/>
          <w:szCs w:val="24"/>
        </w:rPr>
      </w:pPr>
      <w:r>
        <w:rPr>
          <w:rFonts w:ascii="宋体" w:hAnsi="宋体" w:cs="Times New Roman"/>
          <w:color w:val="000000"/>
          <w:szCs w:val="24"/>
        </w:rPr>
        <w:t>薄山水库，又称薄山湖，以防洪，灌溉为主结合发电、养鱼、等综合利用多功能水库。位于确山县西南</w:t>
      </w:r>
      <w:r>
        <w:rPr>
          <w:rFonts w:cs="Times New Roman"/>
          <w:color w:val="000000"/>
          <w:szCs w:val="24"/>
        </w:rPr>
        <w:t>23km</w:t>
      </w:r>
      <w:r>
        <w:rPr>
          <w:rFonts w:ascii="宋体" w:hAnsi="宋体" w:cs="Times New Roman"/>
          <w:color w:val="000000"/>
          <w:szCs w:val="24"/>
        </w:rPr>
        <w:t>的汝河支流</w:t>
      </w:r>
      <w:proofErr w:type="gramStart"/>
      <w:r>
        <w:rPr>
          <w:rFonts w:ascii="宋体" w:hAnsi="宋体" w:cs="Times New Roman"/>
          <w:color w:val="000000"/>
          <w:szCs w:val="24"/>
        </w:rPr>
        <w:t>臻</w:t>
      </w:r>
      <w:proofErr w:type="gramEnd"/>
      <w:r>
        <w:rPr>
          <w:rFonts w:ascii="宋体" w:hAnsi="宋体" w:cs="Times New Roman"/>
          <w:color w:val="000000"/>
          <w:szCs w:val="24"/>
        </w:rPr>
        <w:t>头河上。控制流域面积</w:t>
      </w:r>
      <w:r>
        <w:rPr>
          <w:rFonts w:cs="Times New Roman"/>
          <w:color w:val="000000"/>
          <w:szCs w:val="24"/>
        </w:rPr>
        <w:t>580km</w:t>
      </w:r>
      <w:r>
        <w:rPr>
          <w:rFonts w:cs="Times New Roman"/>
          <w:color w:val="000000"/>
          <w:szCs w:val="24"/>
          <w:vertAlign w:val="superscript"/>
        </w:rPr>
        <w:t>2</w:t>
      </w:r>
      <w:r>
        <w:rPr>
          <w:rFonts w:ascii="宋体" w:hAnsi="宋体" w:cs="Times New Roman"/>
          <w:color w:val="000000"/>
          <w:szCs w:val="24"/>
        </w:rPr>
        <w:t>，</w:t>
      </w:r>
      <w:r>
        <w:rPr>
          <w:rFonts w:cs="Times New Roman"/>
          <w:color w:val="000000"/>
          <w:szCs w:val="24"/>
        </w:rPr>
        <w:t>l954</w:t>
      </w:r>
      <w:r>
        <w:rPr>
          <w:rFonts w:ascii="宋体" w:hAnsi="宋体" w:cs="Times New Roman"/>
          <w:color w:val="000000"/>
          <w:szCs w:val="24"/>
        </w:rPr>
        <w:t>年建成。</w:t>
      </w:r>
      <w:r>
        <w:rPr>
          <w:rFonts w:cs="Times New Roman"/>
          <w:color w:val="000000"/>
          <w:szCs w:val="24"/>
        </w:rPr>
        <w:t>l956</w:t>
      </w:r>
      <w:r>
        <w:rPr>
          <w:rFonts w:ascii="宋体" w:hAnsi="宋体" w:cs="Times New Roman"/>
          <w:color w:val="000000"/>
          <w:szCs w:val="24"/>
        </w:rPr>
        <w:t>年按</w:t>
      </w:r>
      <w:r>
        <w:rPr>
          <w:rFonts w:cs="Times New Roman"/>
          <w:color w:val="000000"/>
          <w:szCs w:val="24"/>
        </w:rPr>
        <w:t>100</w:t>
      </w:r>
      <w:r>
        <w:rPr>
          <w:rFonts w:ascii="宋体" w:hAnsi="宋体" w:cs="Times New Roman"/>
          <w:color w:val="000000"/>
          <w:szCs w:val="24"/>
        </w:rPr>
        <w:t>年一遇设计，</w:t>
      </w:r>
      <w:r>
        <w:rPr>
          <w:rFonts w:cs="Times New Roman"/>
          <w:color w:val="000000"/>
          <w:szCs w:val="24"/>
        </w:rPr>
        <w:t>l000</w:t>
      </w:r>
      <w:r>
        <w:rPr>
          <w:rFonts w:ascii="宋体" w:hAnsi="宋体" w:cs="Times New Roman"/>
          <w:color w:val="000000"/>
          <w:szCs w:val="24"/>
        </w:rPr>
        <w:t>年一遇校核标准进行加固。</w:t>
      </w:r>
      <w:r>
        <w:rPr>
          <w:rFonts w:cs="Times New Roman"/>
          <w:color w:val="000000"/>
          <w:szCs w:val="24"/>
        </w:rPr>
        <w:t>l979―l983</w:t>
      </w:r>
      <w:r>
        <w:rPr>
          <w:rFonts w:ascii="宋体" w:hAnsi="宋体" w:cs="Times New Roman"/>
          <w:color w:val="000000"/>
          <w:szCs w:val="24"/>
        </w:rPr>
        <w:t>年又按防御可能最大洪水标准进行除险加固，水库总库容</w:t>
      </w:r>
      <w:r>
        <w:rPr>
          <w:rFonts w:cs="Times New Roman"/>
          <w:color w:val="000000"/>
          <w:szCs w:val="24"/>
        </w:rPr>
        <w:t>6.20</w:t>
      </w:r>
      <w:r>
        <w:rPr>
          <w:rFonts w:ascii="宋体" w:hAnsi="宋体" w:cs="Times New Roman"/>
          <w:color w:val="000000"/>
          <w:szCs w:val="24"/>
        </w:rPr>
        <w:t>亿</w:t>
      </w:r>
      <w:r>
        <w:rPr>
          <w:rFonts w:cs="Times New Roman"/>
          <w:color w:val="000000"/>
          <w:szCs w:val="24"/>
        </w:rPr>
        <w:t>m</w:t>
      </w:r>
      <w:r>
        <w:rPr>
          <w:rFonts w:cs="Times New Roman"/>
          <w:color w:val="000000"/>
          <w:szCs w:val="24"/>
          <w:vertAlign w:val="superscript"/>
        </w:rPr>
        <w:t>3</w:t>
      </w:r>
      <w:r>
        <w:rPr>
          <w:rFonts w:ascii="宋体" w:hAnsi="宋体" w:cs="Times New Roman"/>
          <w:color w:val="000000"/>
          <w:szCs w:val="24"/>
        </w:rPr>
        <w:t>，相应水位</w:t>
      </w:r>
      <w:r>
        <w:rPr>
          <w:rFonts w:cs="Times New Roman"/>
          <w:color w:val="000000"/>
          <w:szCs w:val="24"/>
        </w:rPr>
        <w:t>128.2m</w:t>
      </w:r>
      <w:r>
        <w:rPr>
          <w:rFonts w:ascii="宋体" w:hAnsi="宋体" w:cs="Times New Roman"/>
          <w:color w:val="000000"/>
          <w:szCs w:val="24"/>
        </w:rPr>
        <w:t>，设计水位</w:t>
      </w:r>
      <w:r>
        <w:rPr>
          <w:rFonts w:cs="Times New Roman"/>
          <w:color w:val="000000"/>
          <w:szCs w:val="24"/>
        </w:rPr>
        <w:t>l21.3m</w:t>
      </w:r>
      <w:r>
        <w:rPr>
          <w:rFonts w:ascii="宋体" w:hAnsi="宋体" w:cs="Times New Roman"/>
          <w:color w:val="000000"/>
          <w:szCs w:val="24"/>
        </w:rPr>
        <w:t>，相应库容</w:t>
      </w:r>
      <w:r>
        <w:rPr>
          <w:rFonts w:cs="Times New Roman"/>
          <w:color w:val="000000"/>
          <w:szCs w:val="24"/>
        </w:rPr>
        <w:t>3.95</w:t>
      </w:r>
      <w:r>
        <w:rPr>
          <w:rFonts w:ascii="宋体" w:hAnsi="宋体" w:cs="Times New Roman"/>
          <w:color w:val="000000"/>
          <w:szCs w:val="24"/>
        </w:rPr>
        <w:t>亿</w:t>
      </w:r>
      <w:r>
        <w:rPr>
          <w:rFonts w:cs="Times New Roman"/>
          <w:color w:val="000000"/>
          <w:szCs w:val="24"/>
        </w:rPr>
        <w:t>m</w:t>
      </w:r>
      <w:r>
        <w:rPr>
          <w:rFonts w:cs="Times New Roman"/>
          <w:color w:val="000000"/>
          <w:szCs w:val="24"/>
          <w:vertAlign w:val="superscript"/>
        </w:rPr>
        <w:t>3</w:t>
      </w:r>
      <w:r>
        <w:rPr>
          <w:rFonts w:ascii="宋体" w:hAnsi="宋体" w:cs="Times New Roman"/>
          <w:color w:val="000000"/>
          <w:szCs w:val="24"/>
        </w:rPr>
        <w:t>，兴利水位</w:t>
      </w:r>
      <w:r>
        <w:rPr>
          <w:rFonts w:cs="Times New Roman"/>
          <w:color w:val="000000"/>
          <w:szCs w:val="24"/>
        </w:rPr>
        <w:t>116.6m</w:t>
      </w:r>
      <w:r>
        <w:rPr>
          <w:rFonts w:ascii="宋体" w:hAnsi="宋体" w:cs="Times New Roman"/>
          <w:color w:val="000000"/>
          <w:szCs w:val="24"/>
        </w:rPr>
        <w:t>，相应库容</w:t>
      </w:r>
      <w:r>
        <w:rPr>
          <w:rFonts w:cs="Times New Roman"/>
          <w:color w:val="000000"/>
          <w:szCs w:val="24"/>
        </w:rPr>
        <w:t>2.8</w:t>
      </w:r>
      <w:r>
        <w:rPr>
          <w:rFonts w:ascii="宋体" w:hAnsi="宋体" w:cs="Times New Roman"/>
          <w:color w:val="000000"/>
          <w:szCs w:val="24"/>
        </w:rPr>
        <w:t>亿</w:t>
      </w:r>
      <w:r>
        <w:rPr>
          <w:rFonts w:cs="Times New Roman"/>
          <w:color w:val="000000"/>
          <w:szCs w:val="24"/>
        </w:rPr>
        <w:t>m</w:t>
      </w:r>
      <w:r>
        <w:rPr>
          <w:rFonts w:cs="Times New Roman"/>
          <w:color w:val="000000"/>
          <w:szCs w:val="24"/>
          <w:vertAlign w:val="superscript"/>
        </w:rPr>
        <w:t>3</w:t>
      </w:r>
      <w:r>
        <w:rPr>
          <w:rFonts w:ascii="宋体" w:hAnsi="宋体" w:cs="Times New Roman"/>
          <w:color w:val="000000"/>
          <w:szCs w:val="24"/>
        </w:rPr>
        <w:t>。</w:t>
      </w:r>
    </w:p>
    <w:p w14:paraId="058DFBEE" w14:textId="77777777" w:rsidR="00E579B9" w:rsidRDefault="006A1398">
      <w:r>
        <w:rPr>
          <w:rFonts w:hint="eastAsia"/>
        </w:rPr>
        <w:t>②地下水</w:t>
      </w:r>
    </w:p>
    <w:p w14:paraId="330688F7" w14:textId="77777777" w:rsidR="00E579B9" w:rsidRDefault="006A1398">
      <w:r>
        <w:rPr>
          <w:rFonts w:hint="eastAsia"/>
        </w:rPr>
        <w:t>厂址区域位于伏牛～大别弧形构造带内的中新生盆地内，基底为</w:t>
      </w:r>
      <w:proofErr w:type="gramStart"/>
      <w:r>
        <w:rPr>
          <w:rFonts w:hint="eastAsia"/>
        </w:rPr>
        <w:t>古生代炭系或</w:t>
      </w:r>
      <w:proofErr w:type="gramEnd"/>
      <w:r>
        <w:rPr>
          <w:rFonts w:hint="eastAsia"/>
        </w:rPr>
        <w:t>奥陶、寒武系海陆交互相和海相沉积的陆源碎屑岩及碳酸盐岩类地层，以后直接沉积了第三系陆相地层，上部则覆盖了厚度不大的第四系</w:t>
      </w:r>
      <w:proofErr w:type="gramStart"/>
      <w:r>
        <w:rPr>
          <w:rFonts w:hint="eastAsia"/>
        </w:rPr>
        <w:t>冲洪积</w:t>
      </w:r>
      <w:proofErr w:type="gramEnd"/>
      <w:r>
        <w:rPr>
          <w:rFonts w:hint="eastAsia"/>
        </w:rPr>
        <w:t>地层。浅层含水层由第四系中、上更新统冲积、洪积相细</w:t>
      </w:r>
      <w:r>
        <w:rPr>
          <w:rFonts w:hint="eastAsia"/>
          <w:spacing w:val="2"/>
        </w:rPr>
        <w:t>砂、中细砂、砂砾石组成，水位埋深</w:t>
      </w:r>
      <w:r>
        <w:rPr>
          <w:spacing w:val="2"/>
        </w:rPr>
        <w:t>5</w:t>
      </w:r>
      <w:r>
        <w:rPr>
          <w:rFonts w:hint="eastAsia"/>
          <w:spacing w:val="2"/>
        </w:rPr>
        <w:t>～</w:t>
      </w:r>
      <w:r>
        <w:rPr>
          <w:spacing w:val="2"/>
        </w:rPr>
        <w:t>8m</w:t>
      </w:r>
      <w:r>
        <w:rPr>
          <w:rFonts w:hint="eastAsia"/>
          <w:spacing w:val="2"/>
        </w:rPr>
        <w:t>；深层含水层由第四系中更</w:t>
      </w:r>
      <w:r>
        <w:rPr>
          <w:rFonts w:hint="eastAsia"/>
        </w:rPr>
        <w:t>新统底部</w:t>
      </w:r>
      <w:proofErr w:type="gramStart"/>
      <w:r>
        <w:rPr>
          <w:rFonts w:hint="eastAsia"/>
        </w:rPr>
        <w:t>冲洪积</w:t>
      </w:r>
      <w:proofErr w:type="gramEnd"/>
      <w:r>
        <w:rPr>
          <w:rFonts w:hint="eastAsia"/>
        </w:rPr>
        <w:t>和下更新统上部和</w:t>
      </w:r>
      <w:proofErr w:type="gramStart"/>
      <w:r>
        <w:rPr>
          <w:rFonts w:hint="eastAsia"/>
        </w:rPr>
        <w:t>冰积湖积</w:t>
      </w:r>
      <w:proofErr w:type="gramEnd"/>
      <w:r>
        <w:rPr>
          <w:rFonts w:hint="eastAsia"/>
        </w:rPr>
        <w:t>泥质中细砂、泥质中粗砂及小砾石组成，埋深</w:t>
      </w:r>
      <w:r>
        <w:t>60</w:t>
      </w:r>
      <w:r>
        <w:rPr>
          <w:rFonts w:hint="eastAsia"/>
        </w:rPr>
        <w:t>～</w:t>
      </w:r>
      <w:r>
        <w:t>250m</w:t>
      </w:r>
      <w:r>
        <w:rPr>
          <w:rFonts w:hint="eastAsia"/>
        </w:rPr>
        <w:t>。</w:t>
      </w:r>
    </w:p>
    <w:p w14:paraId="1CC14BB7" w14:textId="77777777" w:rsidR="00E579B9" w:rsidRDefault="006A1398">
      <w:r>
        <w:rPr>
          <w:rFonts w:hint="eastAsia"/>
        </w:rPr>
        <w:t>浅层地下水补给来源为大气降水补给、地下水侧向径流补给和井灌渗入补给。厂址区域浅层地下水径流总体呈西北向东南方向。枯水期水</w:t>
      </w:r>
      <w:r>
        <w:rPr>
          <w:rFonts w:hint="eastAsia"/>
          <w:spacing w:val="-2"/>
        </w:rPr>
        <w:t>力坡度</w:t>
      </w:r>
      <w:r>
        <w:rPr>
          <w:spacing w:val="-2"/>
        </w:rPr>
        <w:t>1.3‰</w:t>
      </w:r>
      <w:r>
        <w:rPr>
          <w:rFonts w:hint="eastAsia"/>
          <w:spacing w:val="-2"/>
        </w:rPr>
        <w:t>～</w:t>
      </w:r>
      <w:r>
        <w:rPr>
          <w:spacing w:val="-2"/>
        </w:rPr>
        <w:t>2.5‰</w:t>
      </w:r>
      <w:r>
        <w:rPr>
          <w:rFonts w:hint="eastAsia"/>
          <w:spacing w:val="-2"/>
        </w:rPr>
        <w:t>，丰水期水力坡度为</w:t>
      </w:r>
      <w:r>
        <w:rPr>
          <w:spacing w:val="-2"/>
        </w:rPr>
        <w:t>1.3‰</w:t>
      </w:r>
      <w:r>
        <w:rPr>
          <w:rFonts w:hint="eastAsia"/>
          <w:spacing w:val="-2"/>
        </w:rPr>
        <w:t>～</w:t>
      </w:r>
      <w:r>
        <w:rPr>
          <w:spacing w:val="-2"/>
        </w:rPr>
        <w:t>2‰</w:t>
      </w:r>
      <w:r>
        <w:rPr>
          <w:rFonts w:hint="eastAsia"/>
          <w:spacing w:val="-2"/>
        </w:rPr>
        <w:t>。区域浅层地下水的</w:t>
      </w:r>
      <w:r>
        <w:rPr>
          <w:rFonts w:hint="eastAsia"/>
        </w:rPr>
        <w:t>排泄方式主要为工农业开采、蒸发排泄、径流排泄。地下水的动态变化</w:t>
      </w:r>
      <w:r>
        <w:rPr>
          <w:rFonts w:hint="eastAsia"/>
          <w:spacing w:val="-3"/>
        </w:rPr>
        <w:t>主要受季节控制。地下水位年变幅</w:t>
      </w:r>
      <w:r>
        <w:rPr>
          <w:spacing w:val="-3"/>
        </w:rPr>
        <w:t>1.0</w:t>
      </w:r>
      <w:r>
        <w:rPr>
          <w:rFonts w:hint="eastAsia"/>
          <w:spacing w:val="-3"/>
        </w:rPr>
        <w:t>～</w:t>
      </w:r>
      <w:r>
        <w:rPr>
          <w:spacing w:val="-3"/>
        </w:rPr>
        <w:t>1.5m</w:t>
      </w:r>
      <w:r>
        <w:rPr>
          <w:rFonts w:hint="eastAsia"/>
          <w:spacing w:val="-3"/>
        </w:rPr>
        <w:t>，历史最高水位按</w:t>
      </w:r>
      <w:r>
        <w:rPr>
          <w:spacing w:val="-3"/>
        </w:rPr>
        <w:t>1.0m</w:t>
      </w:r>
      <w:r>
        <w:rPr>
          <w:rFonts w:hint="eastAsia"/>
          <w:spacing w:val="-3"/>
        </w:rPr>
        <w:t>考虑</w:t>
      </w:r>
      <w:r>
        <w:rPr>
          <w:rFonts w:hint="eastAsia"/>
        </w:rPr>
        <w:t>（即抗浮设计水位）。</w:t>
      </w:r>
    </w:p>
    <w:p w14:paraId="3E82791B" w14:textId="77777777" w:rsidR="00E579B9" w:rsidRDefault="006A1398">
      <w:pPr>
        <w:pStyle w:val="3"/>
        <w:ind w:firstLine="560"/>
        <w:rPr>
          <w:rFonts w:ascii="楷体" w:hAnsi="楷体"/>
        </w:rPr>
      </w:pPr>
      <w:r>
        <w:rPr>
          <w:rFonts w:hint="eastAsia"/>
        </w:rPr>
        <w:t>4</w:t>
      </w:r>
      <w:r>
        <w:t>.1.4</w:t>
      </w:r>
      <w:r>
        <w:rPr>
          <w:rFonts w:ascii="楷体" w:hAnsi="楷体" w:hint="eastAsia"/>
        </w:rPr>
        <w:t>气候特点</w:t>
      </w:r>
    </w:p>
    <w:p w14:paraId="2E6CE18B" w14:textId="77777777" w:rsidR="00E579B9" w:rsidRDefault="006A1398">
      <w:pPr>
        <w:rPr>
          <w:rFonts w:ascii="Calibri" w:hAnsi="Calibri" w:cs="Times New Roman"/>
          <w:kern w:val="0"/>
          <w:sz w:val="22"/>
        </w:rPr>
      </w:pPr>
      <w:r>
        <w:rPr>
          <w:rFonts w:ascii="宋体" w:hAnsi="宋体" w:hint="eastAsia"/>
        </w:rPr>
        <w:t>驻马店市处于北</w:t>
      </w:r>
      <w:proofErr w:type="gramStart"/>
      <w:r>
        <w:rPr>
          <w:rFonts w:ascii="宋体" w:hAnsi="宋体" w:hint="eastAsia"/>
        </w:rPr>
        <w:t>亚热带向暖温带</w:t>
      </w:r>
      <w:proofErr w:type="gramEnd"/>
      <w:r>
        <w:rPr>
          <w:rFonts w:ascii="宋体" w:hAnsi="宋体" w:hint="eastAsia"/>
        </w:rPr>
        <w:t>过渡区，属大陆性季风型半湿润气候，四季分明，气候温和。据驻马店市气象台多年气象资料统计，市区年平均气温</w:t>
      </w:r>
      <w:r>
        <w:t>14.8</w:t>
      </w:r>
      <w:r>
        <w:rPr>
          <w:rFonts w:ascii="宋体" w:hAnsi="宋体" w:hint="eastAsia"/>
        </w:rPr>
        <w:t>℃，年平均气压</w:t>
      </w:r>
      <w:r>
        <w:t>1006.9hPa</w:t>
      </w:r>
      <w:r>
        <w:rPr>
          <w:rFonts w:ascii="宋体" w:hAnsi="宋体" w:hint="eastAsia"/>
        </w:rPr>
        <w:t>，年平均相对湿度</w:t>
      </w:r>
      <w:r>
        <w:t>73%</w:t>
      </w:r>
      <w:r>
        <w:rPr>
          <w:rFonts w:ascii="宋体" w:hAnsi="宋体" w:hint="eastAsia"/>
        </w:rPr>
        <w:t>，年日照</w:t>
      </w:r>
      <w:r>
        <w:t>2166.8</w:t>
      </w:r>
      <w:r>
        <w:rPr>
          <w:rFonts w:ascii="宋体" w:hAnsi="宋体" w:hint="eastAsia"/>
        </w:rPr>
        <w:t>小时，平均年降水量</w:t>
      </w:r>
      <w:r>
        <w:t>985.6mm</w:t>
      </w:r>
      <w:r>
        <w:rPr>
          <w:rFonts w:ascii="宋体" w:hAnsi="宋体" w:hint="eastAsia"/>
        </w:rPr>
        <w:t>，平均年蒸发量</w:t>
      </w:r>
      <w:r>
        <w:t>1572.8mm</w:t>
      </w:r>
      <w:r>
        <w:rPr>
          <w:rFonts w:ascii="宋体" w:hAnsi="宋体" w:hint="eastAsia"/>
        </w:rPr>
        <w:t>，平均年无霜期</w:t>
      </w:r>
      <w:r>
        <w:t>217</w:t>
      </w:r>
      <w:r>
        <w:rPr>
          <w:rFonts w:ascii="宋体" w:hAnsi="宋体" w:hint="eastAsia"/>
        </w:rPr>
        <w:t>天。</w:t>
      </w:r>
      <w:r>
        <w:rPr>
          <w:rFonts w:hint="eastAsia"/>
        </w:rPr>
        <w:t>市区全年以北风为主，东南风次之。夏季盛行偏南风，冬季盛行偏北风；一年中春季风速最高，秋季风速较低，全年平均风速</w:t>
      </w:r>
      <w:r>
        <w:t>2.3m/s</w:t>
      </w:r>
      <w:r>
        <w:rPr>
          <w:rFonts w:hint="eastAsia"/>
        </w:rPr>
        <w:t>；静风频率也较高，全年平均约</w:t>
      </w:r>
      <w:r>
        <w:t>12%</w:t>
      </w:r>
      <w:r>
        <w:rPr>
          <w:rFonts w:hint="eastAsia"/>
        </w:rPr>
        <w:t>。驻马店市风向频率玫瑰图见图</w:t>
      </w:r>
      <w:r>
        <w:rPr>
          <w:rFonts w:hint="eastAsia"/>
        </w:rPr>
        <w:t>4.1-1</w:t>
      </w:r>
      <w:r>
        <w:rPr>
          <w:rFonts w:hint="eastAsia"/>
        </w:rPr>
        <w:t>。</w:t>
      </w:r>
    </w:p>
    <w:p w14:paraId="22155815" w14:textId="77777777" w:rsidR="00E579B9" w:rsidRDefault="006A1398">
      <w:pPr>
        <w:jc w:val="center"/>
      </w:pPr>
      <w:r>
        <w:rPr>
          <w:noProof/>
        </w:rPr>
        <w:lastRenderedPageBreak/>
        <w:drawing>
          <wp:inline distT="0" distB="0" distL="0" distR="0" wp14:anchorId="67514524" wp14:editId="33D67502">
            <wp:extent cx="2025015" cy="1840865"/>
            <wp:effectExtent l="0" t="0" r="0" b="6985"/>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jpeg"/>
                    <pic:cNvPicPr>
                      <a:picLocks noChangeAspect="1"/>
                    </pic:cNvPicPr>
                  </pic:nvPicPr>
                  <pic:blipFill>
                    <a:blip r:embed="rId42" cstate="print"/>
                    <a:stretch>
                      <a:fillRect/>
                    </a:stretch>
                  </pic:blipFill>
                  <pic:spPr>
                    <a:xfrm>
                      <a:off x="0" y="0"/>
                      <a:ext cx="2025015" cy="1840865"/>
                    </a:xfrm>
                    <a:prstGeom prst="rect">
                      <a:avLst/>
                    </a:prstGeom>
                  </pic:spPr>
                </pic:pic>
              </a:graphicData>
            </a:graphic>
          </wp:inline>
        </w:drawing>
      </w:r>
    </w:p>
    <w:p w14:paraId="27E0D527" w14:textId="77777777" w:rsidR="00E579B9" w:rsidRDefault="006A1398">
      <w:pPr>
        <w:pStyle w:val="21"/>
      </w:pPr>
      <w:r>
        <w:rPr>
          <w:rFonts w:hint="eastAsia"/>
        </w:rPr>
        <w:t>图</w:t>
      </w:r>
      <w:r>
        <w:rPr>
          <w:rFonts w:hint="eastAsia"/>
        </w:rPr>
        <w:t>4.1-1</w:t>
      </w:r>
      <w:r>
        <w:rPr>
          <w:spacing w:val="13"/>
        </w:rPr>
        <w:tab/>
      </w:r>
      <w:r>
        <w:rPr>
          <w:rFonts w:hint="eastAsia"/>
        </w:rPr>
        <w:t>平均风向频率玫瑰图</w:t>
      </w:r>
    </w:p>
    <w:p w14:paraId="775E037E" w14:textId="77777777" w:rsidR="00E579B9" w:rsidRDefault="006A1398">
      <w:pPr>
        <w:pStyle w:val="3"/>
        <w:ind w:firstLine="560"/>
      </w:pPr>
      <w:r>
        <w:rPr>
          <w:rFonts w:hint="eastAsia"/>
        </w:rPr>
        <w:t>4.1.5</w:t>
      </w:r>
      <w:r>
        <w:rPr>
          <w:rFonts w:hint="eastAsia"/>
        </w:rPr>
        <w:t>植被</w:t>
      </w:r>
    </w:p>
    <w:p w14:paraId="6CB9002B" w14:textId="77777777" w:rsidR="00E579B9" w:rsidRDefault="006A1398">
      <w:pPr>
        <w:ind w:firstLine="516"/>
      </w:pPr>
      <w:r>
        <w:rPr>
          <w:rFonts w:hint="eastAsia"/>
          <w:spacing w:val="9"/>
        </w:rPr>
        <w:t>驻马店市在地理分布上属于温带夏绿林与暖温带混交林的过渡地</w:t>
      </w:r>
      <w:r>
        <w:rPr>
          <w:rFonts w:hint="eastAsia"/>
        </w:rPr>
        <w:t>带。温度、雨量等条件均适合温带森林的发育生长。但目前自然森林已很少，西部山区多为人工栽培的林木和灌林栎林，其中大部分地区为草木植被。本项目拟建厂址位于驻马店市建成区边缘，地表植被以人工栽培植被为主。</w:t>
      </w:r>
    </w:p>
    <w:p w14:paraId="10485428" w14:textId="77777777" w:rsidR="00E579B9" w:rsidRDefault="006A1398">
      <w:pPr>
        <w:pStyle w:val="3"/>
        <w:ind w:firstLine="560"/>
      </w:pPr>
      <w:r>
        <w:rPr>
          <w:rFonts w:hint="eastAsia"/>
        </w:rPr>
        <w:t>4.1.6</w:t>
      </w:r>
      <w:r>
        <w:t>矿产资源</w:t>
      </w:r>
    </w:p>
    <w:p w14:paraId="41D1309D" w14:textId="77777777" w:rsidR="00E579B9" w:rsidRDefault="006A1398">
      <w:pPr>
        <w:widowControl w:val="0"/>
        <w:adjustRightInd w:val="0"/>
        <w:snapToGrid w:val="0"/>
        <w:jc w:val="both"/>
        <w:rPr>
          <w:rFonts w:cs="Times New Roman"/>
          <w:color w:val="000000"/>
          <w:szCs w:val="24"/>
        </w:rPr>
      </w:pPr>
      <w:r>
        <w:rPr>
          <w:rFonts w:ascii="宋体" w:hAnsi="宋体" w:cs="Times New Roman"/>
          <w:color w:val="000000"/>
          <w:szCs w:val="24"/>
        </w:rPr>
        <w:t>驻马店矿产资源种类多、储量大，初步探明的矿产有</w:t>
      </w:r>
      <w:r>
        <w:rPr>
          <w:rFonts w:cs="Times New Roman"/>
          <w:color w:val="000000"/>
          <w:szCs w:val="24"/>
        </w:rPr>
        <w:t>30</w:t>
      </w:r>
      <w:r>
        <w:rPr>
          <w:rFonts w:ascii="宋体" w:hAnsi="宋体" w:cs="Times New Roman"/>
          <w:color w:val="000000"/>
          <w:szCs w:val="24"/>
        </w:rPr>
        <w:t>多种，煤、铁、石油及一些非金属矿资源含量大、品质好，其中化工炭岩、玻璃用砂、莹石储量分别居全省第一、第二和第四位，新探明的金红石矿储量达</w:t>
      </w:r>
      <w:r>
        <w:rPr>
          <w:rFonts w:cs="Times New Roman"/>
          <w:color w:val="000000"/>
          <w:szCs w:val="24"/>
        </w:rPr>
        <w:t>5000</w:t>
      </w:r>
      <w:r>
        <w:rPr>
          <w:rFonts w:ascii="宋体" w:hAnsi="宋体" w:cs="Times New Roman"/>
          <w:color w:val="000000"/>
          <w:szCs w:val="24"/>
        </w:rPr>
        <w:t>万吨以上，居全国第一位。煤炭储量达</w:t>
      </w:r>
      <w:r>
        <w:rPr>
          <w:rFonts w:cs="Times New Roman"/>
          <w:color w:val="000000"/>
          <w:szCs w:val="24"/>
        </w:rPr>
        <w:t>1.37</w:t>
      </w:r>
      <w:r>
        <w:rPr>
          <w:rFonts w:ascii="宋体" w:hAnsi="宋体" w:cs="Times New Roman"/>
          <w:color w:val="000000"/>
          <w:szCs w:val="24"/>
        </w:rPr>
        <w:t>亿吨。</w:t>
      </w:r>
    </w:p>
    <w:p w14:paraId="1142C5B7" w14:textId="77777777" w:rsidR="00E579B9" w:rsidRDefault="006A1398">
      <w:pPr>
        <w:pStyle w:val="3"/>
        <w:ind w:firstLine="560"/>
      </w:pPr>
      <w:r>
        <w:rPr>
          <w:rFonts w:hint="eastAsia"/>
        </w:rPr>
        <w:t>4.1.7</w:t>
      </w:r>
      <w:r>
        <w:t>土壤</w:t>
      </w:r>
    </w:p>
    <w:p w14:paraId="49A7A651" w14:textId="77777777" w:rsidR="00E579B9" w:rsidRDefault="006A1398">
      <w:pPr>
        <w:widowControl w:val="0"/>
        <w:adjustRightInd w:val="0"/>
        <w:snapToGrid w:val="0"/>
        <w:jc w:val="both"/>
        <w:rPr>
          <w:rFonts w:cs="Times New Roman"/>
          <w:color w:val="000000"/>
          <w:szCs w:val="24"/>
        </w:rPr>
      </w:pPr>
      <w:r>
        <w:rPr>
          <w:rFonts w:ascii="宋体" w:hAnsi="宋体" w:cs="Times New Roman"/>
          <w:color w:val="000000"/>
          <w:szCs w:val="24"/>
        </w:rPr>
        <w:t>区域多为沙姜黑土，土壤理化性状良好，矿质营养元素全面而丰富，地下水水位</w:t>
      </w:r>
      <w:r>
        <w:rPr>
          <w:rFonts w:cs="Times New Roman"/>
          <w:color w:val="000000"/>
          <w:szCs w:val="24"/>
        </w:rPr>
        <w:t>6.5</w:t>
      </w:r>
      <w:r>
        <w:rPr>
          <w:rFonts w:ascii="宋体" w:hAnsi="宋体" w:cs="Times New Roman"/>
          <w:color w:val="000000"/>
          <w:szCs w:val="24"/>
        </w:rPr>
        <w:t>米，土壤</w:t>
      </w:r>
      <w:r>
        <w:rPr>
          <w:rFonts w:cs="Times New Roman"/>
          <w:color w:val="000000"/>
          <w:szCs w:val="24"/>
        </w:rPr>
        <w:t>pH</w:t>
      </w:r>
      <w:r>
        <w:rPr>
          <w:rFonts w:ascii="宋体" w:hAnsi="宋体" w:cs="Times New Roman"/>
          <w:color w:val="000000"/>
          <w:szCs w:val="24"/>
        </w:rPr>
        <w:t>值</w:t>
      </w:r>
      <w:r>
        <w:rPr>
          <w:rFonts w:cs="Times New Roman"/>
          <w:color w:val="000000"/>
          <w:szCs w:val="24"/>
        </w:rPr>
        <w:t>6.8~7.8</w:t>
      </w:r>
      <w:r>
        <w:rPr>
          <w:rFonts w:ascii="宋体" w:hAnsi="宋体" w:cs="Times New Roman"/>
          <w:color w:val="000000"/>
          <w:szCs w:val="24"/>
        </w:rPr>
        <w:t>。</w:t>
      </w:r>
    </w:p>
    <w:p w14:paraId="3FA44B0A" w14:textId="77777777" w:rsidR="00E579B9" w:rsidRDefault="006A1398">
      <w:pPr>
        <w:pStyle w:val="3"/>
        <w:ind w:firstLine="560"/>
      </w:pPr>
      <w:r>
        <w:rPr>
          <w:rFonts w:hint="eastAsia"/>
        </w:rPr>
        <w:t>4.1.8</w:t>
      </w:r>
      <w:r>
        <w:t>生物资源</w:t>
      </w:r>
    </w:p>
    <w:p w14:paraId="1CDFA1C4" w14:textId="77777777" w:rsidR="00E579B9" w:rsidRDefault="006A1398">
      <w:pPr>
        <w:widowControl w:val="0"/>
        <w:adjustRightInd w:val="0"/>
        <w:snapToGrid w:val="0"/>
        <w:jc w:val="both"/>
        <w:rPr>
          <w:rFonts w:cs="Times New Roman"/>
          <w:szCs w:val="24"/>
        </w:rPr>
      </w:pPr>
      <w:r>
        <w:rPr>
          <w:rFonts w:ascii="宋体" w:hAnsi="宋体" w:cs="Times New Roman"/>
          <w:szCs w:val="24"/>
        </w:rPr>
        <w:t>项目区域地理分布上属于温带夏绿林与暖温带混交林的过渡地带。温度、雨量等条件均适合温带森林的发育生长。但目前自然森林已很少，西部山区多为人工栽培的林木和灌林栎林，其中大部分地区为草木植被。</w:t>
      </w:r>
    </w:p>
    <w:p w14:paraId="4A4D9B98" w14:textId="77777777" w:rsidR="00E579B9" w:rsidRDefault="006A1398">
      <w:pPr>
        <w:widowControl w:val="0"/>
        <w:adjustRightInd w:val="0"/>
        <w:snapToGrid w:val="0"/>
        <w:jc w:val="both"/>
        <w:rPr>
          <w:rFonts w:cs="Times New Roman"/>
          <w:color w:val="000000"/>
          <w:szCs w:val="24"/>
        </w:rPr>
      </w:pPr>
      <w:r>
        <w:rPr>
          <w:rFonts w:ascii="宋体" w:hAnsi="宋体" w:cs="Times New Roman"/>
          <w:color w:val="000000"/>
          <w:szCs w:val="24"/>
        </w:rPr>
        <w:t>本项目周边</w:t>
      </w:r>
      <w:r>
        <w:rPr>
          <w:rFonts w:cs="Times New Roman"/>
          <w:color w:val="000000"/>
          <w:szCs w:val="24"/>
        </w:rPr>
        <w:t>500m</w:t>
      </w:r>
      <w:r>
        <w:rPr>
          <w:rFonts w:ascii="宋体" w:hAnsi="宋体" w:cs="Times New Roman"/>
          <w:color w:val="000000"/>
          <w:szCs w:val="24"/>
        </w:rPr>
        <w:t>范围内无列入《国家重点保护野生植物名录》和《国家重点保护野生动物名录》的动植物。</w:t>
      </w:r>
    </w:p>
    <w:p w14:paraId="1E56E353" w14:textId="77777777" w:rsidR="00E579B9" w:rsidRDefault="00E579B9"/>
    <w:p w14:paraId="065B971C" w14:textId="77777777" w:rsidR="00E579B9" w:rsidRDefault="006A1398">
      <w:pPr>
        <w:pStyle w:val="2"/>
        <w:ind w:firstLine="560"/>
      </w:pPr>
      <w:bookmarkStart w:id="192" w:name="_Toc531939351"/>
      <w:bookmarkStart w:id="193" w:name="_Toc531939562"/>
      <w:bookmarkStart w:id="194" w:name="_Toc33021803"/>
      <w:bookmarkStart w:id="195" w:name="_Toc501525772"/>
      <w:bookmarkEnd w:id="190"/>
      <w:bookmarkEnd w:id="191"/>
      <w:r>
        <w:lastRenderedPageBreak/>
        <w:t>4.2</w:t>
      </w:r>
      <w:r>
        <w:t>项目周边污染源</w:t>
      </w:r>
      <w:bookmarkEnd w:id="192"/>
      <w:bookmarkEnd w:id="193"/>
      <w:bookmarkEnd w:id="194"/>
    </w:p>
    <w:p w14:paraId="02C0CA3E" w14:textId="3E232FEB" w:rsidR="00E579B9" w:rsidRDefault="006A1398">
      <w:r>
        <w:t>经现场调查，</w:t>
      </w:r>
      <w:r>
        <w:rPr>
          <w:rFonts w:hint="eastAsia"/>
        </w:rPr>
        <w:t>本项目</w:t>
      </w:r>
      <w:proofErr w:type="gramStart"/>
      <w:r>
        <w:rPr>
          <w:rFonts w:hint="eastAsia"/>
        </w:rPr>
        <w:t>评价区</w:t>
      </w:r>
      <w:proofErr w:type="gramEnd"/>
      <w:r>
        <w:t>周边</w:t>
      </w:r>
      <w:r>
        <w:rPr>
          <w:rFonts w:hint="eastAsia"/>
        </w:rPr>
        <w:t>主要污染源</w:t>
      </w:r>
      <w:r>
        <w:t>为项目</w:t>
      </w:r>
      <w:r>
        <w:rPr>
          <w:rFonts w:hint="eastAsia"/>
        </w:rPr>
        <w:t>西北</w:t>
      </w:r>
      <w:r>
        <w:t>侧</w:t>
      </w:r>
      <w:r>
        <w:rPr>
          <w:rFonts w:hint="eastAsia"/>
        </w:rPr>
        <w:t>377</w:t>
      </w:r>
      <w:r>
        <w:rPr>
          <w:rFonts w:hint="eastAsia"/>
        </w:rPr>
        <w:t>米</w:t>
      </w:r>
      <w:r>
        <w:t>的华泰石料厂</w:t>
      </w:r>
      <w:r>
        <w:rPr>
          <w:rFonts w:hint="eastAsia"/>
        </w:rPr>
        <w:t>，目前</w:t>
      </w:r>
      <w:r>
        <w:t>处于</w:t>
      </w:r>
      <w:r>
        <w:rPr>
          <w:rFonts w:hint="eastAsia"/>
        </w:rPr>
        <w:t>停产状态</w:t>
      </w:r>
      <w:r>
        <w:t>；项目北侧</w:t>
      </w:r>
      <w:r>
        <w:rPr>
          <w:rFonts w:hint="eastAsia"/>
        </w:rPr>
        <w:t>分布</w:t>
      </w:r>
      <w:r>
        <w:t>有同类型矿山，距离该矿山大于</w:t>
      </w:r>
      <w:r>
        <w:rPr>
          <w:rFonts w:hint="eastAsia"/>
        </w:rPr>
        <w:t>300</w:t>
      </w:r>
      <w:r>
        <w:rPr>
          <w:rFonts w:hint="eastAsia"/>
        </w:rPr>
        <w:t>米</w:t>
      </w:r>
      <w:r>
        <w:t>。</w:t>
      </w:r>
    </w:p>
    <w:p w14:paraId="391B616C" w14:textId="77777777" w:rsidR="00E579B9" w:rsidRDefault="006A1398">
      <w:pPr>
        <w:pStyle w:val="2"/>
        <w:ind w:firstLine="560"/>
      </w:pPr>
      <w:bookmarkStart w:id="196" w:name="_Toc531939563"/>
      <w:bookmarkStart w:id="197" w:name="_Toc531939352"/>
      <w:bookmarkStart w:id="198" w:name="_Toc33021804"/>
      <w:r>
        <w:t>4.3</w:t>
      </w:r>
      <w:r>
        <w:t>环境质量现状监测与评价</w:t>
      </w:r>
      <w:bookmarkEnd w:id="195"/>
      <w:bookmarkEnd w:id="196"/>
      <w:bookmarkEnd w:id="197"/>
      <w:bookmarkEnd w:id="198"/>
    </w:p>
    <w:p w14:paraId="6A754F37" w14:textId="77777777" w:rsidR="00E579B9" w:rsidRDefault="006A1398">
      <w:pPr>
        <w:pStyle w:val="3"/>
        <w:ind w:firstLine="560"/>
      </w:pPr>
      <w:bookmarkStart w:id="199" w:name="_Toc531939564"/>
      <w:bookmarkStart w:id="200" w:name="_Toc531939353"/>
      <w:r>
        <w:t>4.3.1</w:t>
      </w:r>
      <w:r>
        <w:t>环境空气</w:t>
      </w:r>
      <w:r>
        <w:rPr>
          <w:rFonts w:hint="eastAsia"/>
        </w:rPr>
        <w:t>常规</w:t>
      </w:r>
      <w:r>
        <w:t>现状监测与评价</w:t>
      </w:r>
      <w:bookmarkEnd w:id="199"/>
      <w:bookmarkEnd w:id="200"/>
    </w:p>
    <w:p w14:paraId="316CDFCD" w14:textId="77777777" w:rsidR="00E579B9" w:rsidRDefault="006A1398">
      <w:r>
        <w:rPr>
          <w:rFonts w:hint="eastAsia"/>
        </w:rPr>
        <w:t>4.3.1.1</w:t>
      </w:r>
      <w:r>
        <w:rPr>
          <w:rFonts w:hint="eastAsia"/>
        </w:rPr>
        <w:t>区域达标情况</w:t>
      </w:r>
    </w:p>
    <w:p w14:paraId="38D287C0" w14:textId="77777777" w:rsidR="00E579B9" w:rsidRDefault="006A1398">
      <w:r>
        <w:rPr>
          <w:rFonts w:hint="eastAsia"/>
        </w:rPr>
        <w:t>本次评价</w:t>
      </w:r>
      <w:proofErr w:type="gramStart"/>
      <w:r>
        <w:rPr>
          <w:rFonts w:hint="eastAsia"/>
        </w:rPr>
        <w:t>采用驻</w:t>
      </w:r>
      <w:proofErr w:type="gramEnd"/>
      <w:r>
        <w:rPr>
          <w:rFonts w:hint="eastAsia"/>
        </w:rPr>
        <w:t>马店市生态环境局公布的《</w:t>
      </w:r>
      <w:r>
        <w:rPr>
          <w:rFonts w:hint="eastAsia"/>
        </w:rPr>
        <w:t>2018</w:t>
      </w:r>
      <w:r>
        <w:rPr>
          <w:rFonts w:hint="eastAsia"/>
        </w:rPr>
        <w:t>年度河南省驻马店市环境质量报告概要》，根据该概要，驻马店市</w:t>
      </w:r>
      <w:r>
        <w:rPr>
          <w:rFonts w:hint="eastAsia"/>
        </w:rPr>
        <w:t>2018</w:t>
      </w:r>
      <w:r>
        <w:rPr>
          <w:rFonts w:hint="eastAsia"/>
        </w:rPr>
        <w:t>年全年</w:t>
      </w:r>
      <w:r>
        <w:rPr>
          <w:rFonts w:hint="eastAsia"/>
        </w:rPr>
        <w:t>SO</w:t>
      </w:r>
      <w:r>
        <w:rPr>
          <w:rFonts w:hint="eastAsia"/>
          <w:vertAlign w:val="subscript"/>
        </w:rPr>
        <w:t>2</w:t>
      </w:r>
      <w:r>
        <w:rPr>
          <w:rFonts w:hint="eastAsia"/>
        </w:rPr>
        <w:t>、</w:t>
      </w:r>
      <w:r>
        <w:rPr>
          <w:rFonts w:hint="eastAsia"/>
        </w:rPr>
        <w:t>NO</w:t>
      </w:r>
      <w:r>
        <w:rPr>
          <w:rFonts w:hint="eastAsia"/>
          <w:vertAlign w:val="subscript"/>
        </w:rPr>
        <w:t>2</w:t>
      </w:r>
      <w:r>
        <w:rPr>
          <w:rFonts w:hint="eastAsia"/>
        </w:rPr>
        <w:t>、</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w:t>
      </w:r>
      <w:r>
        <w:rPr>
          <w:rFonts w:hint="eastAsia"/>
        </w:rPr>
        <w:t>CO</w:t>
      </w:r>
      <w:r>
        <w:rPr>
          <w:rFonts w:hint="eastAsia"/>
        </w:rPr>
        <w:t>和</w:t>
      </w:r>
      <w:r>
        <w:rPr>
          <w:rFonts w:hint="eastAsia"/>
        </w:rPr>
        <w:t>O</w:t>
      </w:r>
      <w:r>
        <w:rPr>
          <w:rFonts w:hint="eastAsia"/>
          <w:vertAlign w:val="subscript"/>
        </w:rPr>
        <w:t>3</w:t>
      </w:r>
      <w:proofErr w:type="gramStart"/>
      <w:r>
        <w:rPr>
          <w:rFonts w:hint="eastAsia"/>
        </w:rPr>
        <w:t>六</w:t>
      </w:r>
      <w:proofErr w:type="gramEnd"/>
      <w:r>
        <w:rPr>
          <w:rFonts w:hint="eastAsia"/>
        </w:rPr>
        <w:t>项基本污染物监测数据统计结果见表</w:t>
      </w:r>
      <w:r>
        <w:t>4.3-1</w:t>
      </w:r>
      <w:r>
        <w:rPr>
          <w:rFonts w:hint="eastAsia"/>
        </w:rPr>
        <w:t>。</w:t>
      </w:r>
    </w:p>
    <w:p w14:paraId="7FAEA724" w14:textId="77777777" w:rsidR="00E579B9" w:rsidRDefault="006A1398">
      <w:pPr>
        <w:pStyle w:val="21"/>
      </w:pPr>
      <w:r>
        <w:t>表</w:t>
      </w:r>
      <w:r>
        <w:t>4.3-1</w:t>
      </w:r>
      <w:r>
        <w:rPr>
          <w:rFonts w:hint="eastAsia"/>
        </w:rPr>
        <w:t>驻马店市</w:t>
      </w:r>
      <w:r>
        <w:rPr>
          <w:rFonts w:hint="eastAsia"/>
        </w:rPr>
        <w:t>2018</w:t>
      </w:r>
      <w:r>
        <w:rPr>
          <w:rFonts w:hint="eastAsia"/>
        </w:rPr>
        <w:t>年基本污染物环境质量现状一览表</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2904"/>
        <w:gridCol w:w="1499"/>
        <w:gridCol w:w="1379"/>
        <w:gridCol w:w="1273"/>
        <w:gridCol w:w="1196"/>
      </w:tblGrid>
      <w:tr w:rsidR="00E579B9" w14:paraId="5EE2D96D" w14:textId="77777777">
        <w:tc>
          <w:tcPr>
            <w:tcW w:w="695" w:type="dxa"/>
            <w:tcBorders>
              <w:top w:val="single" w:sz="4" w:space="0" w:color="auto"/>
              <w:left w:val="single" w:sz="4" w:space="0" w:color="auto"/>
              <w:bottom w:val="single" w:sz="4" w:space="0" w:color="auto"/>
              <w:right w:val="single" w:sz="4" w:space="0" w:color="auto"/>
            </w:tcBorders>
            <w:vAlign w:val="center"/>
          </w:tcPr>
          <w:p w14:paraId="6A4EFA79" w14:textId="77777777" w:rsidR="00E579B9" w:rsidRDefault="006A1398">
            <w:pPr>
              <w:pStyle w:val="aa"/>
            </w:pPr>
            <w:r>
              <w:rPr>
                <w:rFonts w:hint="eastAsia"/>
              </w:rPr>
              <w:t>污染物</w:t>
            </w:r>
          </w:p>
        </w:tc>
        <w:tc>
          <w:tcPr>
            <w:tcW w:w="2904" w:type="dxa"/>
            <w:tcBorders>
              <w:top w:val="single" w:sz="4" w:space="0" w:color="auto"/>
              <w:left w:val="nil"/>
              <w:bottom w:val="single" w:sz="4" w:space="0" w:color="auto"/>
              <w:right w:val="single" w:sz="4" w:space="0" w:color="auto"/>
            </w:tcBorders>
            <w:vAlign w:val="center"/>
          </w:tcPr>
          <w:p w14:paraId="72EBF176" w14:textId="77777777" w:rsidR="00E579B9" w:rsidRDefault="006A1398">
            <w:pPr>
              <w:pStyle w:val="aa"/>
            </w:pPr>
            <w:r>
              <w:rPr>
                <w:rFonts w:hint="eastAsia"/>
              </w:rPr>
              <w:t>评价指标</w:t>
            </w:r>
          </w:p>
        </w:tc>
        <w:tc>
          <w:tcPr>
            <w:tcW w:w="1499" w:type="dxa"/>
            <w:tcBorders>
              <w:top w:val="single" w:sz="4" w:space="0" w:color="auto"/>
              <w:left w:val="nil"/>
              <w:bottom w:val="single" w:sz="4" w:space="0" w:color="auto"/>
              <w:right w:val="single" w:sz="4" w:space="0" w:color="auto"/>
            </w:tcBorders>
            <w:vAlign w:val="center"/>
          </w:tcPr>
          <w:p w14:paraId="609B1F38" w14:textId="77777777" w:rsidR="00E579B9" w:rsidRDefault="006A1398">
            <w:pPr>
              <w:pStyle w:val="aa"/>
            </w:pPr>
            <w:r>
              <w:rPr>
                <w:rFonts w:hint="eastAsia"/>
              </w:rPr>
              <w:t>现状浓度（μ</w:t>
            </w:r>
            <w:r>
              <w:rPr>
                <w:rFonts w:hint="eastAsia"/>
              </w:rPr>
              <w:t>g/m</w:t>
            </w:r>
            <w:r>
              <w:rPr>
                <w:rFonts w:hint="eastAsia"/>
                <w:vertAlign w:val="superscript"/>
              </w:rPr>
              <w:t>3</w:t>
            </w:r>
            <w:r>
              <w:rPr>
                <w:rFonts w:hint="eastAsia"/>
              </w:rPr>
              <w:t>）</w:t>
            </w:r>
          </w:p>
        </w:tc>
        <w:tc>
          <w:tcPr>
            <w:tcW w:w="1379" w:type="dxa"/>
            <w:tcBorders>
              <w:top w:val="single" w:sz="4" w:space="0" w:color="auto"/>
              <w:left w:val="nil"/>
              <w:bottom w:val="single" w:sz="4" w:space="0" w:color="auto"/>
              <w:right w:val="single" w:sz="4" w:space="0" w:color="auto"/>
            </w:tcBorders>
            <w:vAlign w:val="center"/>
          </w:tcPr>
          <w:p w14:paraId="3A09A227" w14:textId="77777777" w:rsidR="00E579B9" w:rsidRDefault="006A1398">
            <w:pPr>
              <w:pStyle w:val="aa"/>
            </w:pPr>
            <w:r>
              <w:rPr>
                <w:rFonts w:hint="eastAsia"/>
              </w:rPr>
              <w:t>标准</w:t>
            </w:r>
          </w:p>
          <w:p w14:paraId="1E9E80D8" w14:textId="77777777" w:rsidR="00E579B9" w:rsidRDefault="006A1398">
            <w:pPr>
              <w:pStyle w:val="aa"/>
            </w:pPr>
            <w:r>
              <w:rPr>
                <w:rFonts w:hint="eastAsia"/>
              </w:rPr>
              <w:t>（μ</w:t>
            </w:r>
            <w:r>
              <w:rPr>
                <w:rFonts w:hint="eastAsia"/>
              </w:rPr>
              <w:t>g/m</w:t>
            </w:r>
            <w:r>
              <w:rPr>
                <w:rFonts w:hint="eastAsia"/>
                <w:vertAlign w:val="superscript"/>
              </w:rPr>
              <w:t>3</w:t>
            </w:r>
            <w:r>
              <w:rPr>
                <w:rFonts w:hint="eastAsia"/>
              </w:rPr>
              <w:t>）</w:t>
            </w:r>
          </w:p>
        </w:tc>
        <w:tc>
          <w:tcPr>
            <w:tcW w:w="1273" w:type="dxa"/>
            <w:tcBorders>
              <w:top w:val="single" w:sz="4" w:space="0" w:color="auto"/>
              <w:left w:val="nil"/>
              <w:bottom w:val="single" w:sz="4" w:space="0" w:color="auto"/>
              <w:right w:val="single" w:sz="4" w:space="0" w:color="auto"/>
            </w:tcBorders>
            <w:vAlign w:val="center"/>
          </w:tcPr>
          <w:p w14:paraId="41C1ADAB" w14:textId="77777777" w:rsidR="00E579B9" w:rsidRDefault="006A1398">
            <w:pPr>
              <w:pStyle w:val="aa"/>
            </w:pPr>
            <w:r>
              <w:rPr>
                <w:rFonts w:hint="eastAsia"/>
              </w:rPr>
              <w:t>占标率（</w:t>
            </w:r>
            <w:r>
              <w:rPr>
                <w:rFonts w:hint="eastAsia"/>
              </w:rPr>
              <w:t>%</w:t>
            </w:r>
            <w:r>
              <w:rPr>
                <w:rFonts w:hint="eastAsia"/>
              </w:rPr>
              <w:t>）</w:t>
            </w:r>
          </w:p>
        </w:tc>
        <w:tc>
          <w:tcPr>
            <w:tcW w:w="1196" w:type="dxa"/>
            <w:tcBorders>
              <w:top w:val="single" w:sz="4" w:space="0" w:color="auto"/>
              <w:left w:val="nil"/>
              <w:bottom w:val="single" w:sz="4" w:space="0" w:color="auto"/>
              <w:right w:val="single" w:sz="4" w:space="0" w:color="auto"/>
            </w:tcBorders>
            <w:vAlign w:val="center"/>
          </w:tcPr>
          <w:p w14:paraId="3E3052BC" w14:textId="77777777" w:rsidR="00E579B9" w:rsidRDefault="006A1398">
            <w:pPr>
              <w:pStyle w:val="aa"/>
            </w:pPr>
            <w:r>
              <w:rPr>
                <w:rFonts w:hint="eastAsia"/>
              </w:rPr>
              <w:t>区域达标情况</w:t>
            </w:r>
          </w:p>
        </w:tc>
      </w:tr>
      <w:tr w:rsidR="00E579B9" w14:paraId="28E38F7C" w14:textId="77777777">
        <w:tc>
          <w:tcPr>
            <w:tcW w:w="695" w:type="dxa"/>
            <w:vMerge w:val="restart"/>
            <w:tcBorders>
              <w:top w:val="nil"/>
              <w:left w:val="single" w:sz="4" w:space="0" w:color="auto"/>
              <w:bottom w:val="single" w:sz="4" w:space="0" w:color="auto"/>
              <w:right w:val="single" w:sz="4" w:space="0" w:color="auto"/>
            </w:tcBorders>
            <w:vAlign w:val="center"/>
          </w:tcPr>
          <w:p w14:paraId="3FBC105A" w14:textId="77777777" w:rsidR="00E579B9" w:rsidRDefault="006A1398">
            <w:pPr>
              <w:pStyle w:val="aa"/>
            </w:pPr>
            <w:r>
              <w:rPr>
                <w:rFonts w:hint="eastAsia"/>
              </w:rPr>
              <w:t>SO</w:t>
            </w:r>
            <w:r>
              <w:rPr>
                <w:rFonts w:hint="eastAsia"/>
                <w:vertAlign w:val="subscript"/>
              </w:rPr>
              <w:t>2</w:t>
            </w:r>
          </w:p>
        </w:tc>
        <w:tc>
          <w:tcPr>
            <w:tcW w:w="2904" w:type="dxa"/>
            <w:tcBorders>
              <w:top w:val="single" w:sz="4" w:space="0" w:color="auto"/>
              <w:left w:val="nil"/>
              <w:bottom w:val="single" w:sz="4" w:space="0" w:color="auto"/>
              <w:right w:val="single" w:sz="4" w:space="0" w:color="auto"/>
            </w:tcBorders>
            <w:vAlign w:val="center"/>
          </w:tcPr>
          <w:p w14:paraId="2CCC19CC" w14:textId="77777777" w:rsidR="00E579B9" w:rsidRDefault="006A1398">
            <w:pPr>
              <w:pStyle w:val="aa"/>
            </w:pPr>
            <w:r>
              <w:rPr>
                <w:rFonts w:hint="eastAsia"/>
              </w:rPr>
              <w:t>年均浓度</w:t>
            </w:r>
          </w:p>
        </w:tc>
        <w:tc>
          <w:tcPr>
            <w:tcW w:w="1499" w:type="dxa"/>
            <w:tcBorders>
              <w:top w:val="single" w:sz="4" w:space="0" w:color="auto"/>
              <w:left w:val="nil"/>
              <w:bottom w:val="single" w:sz="4" w:space="0" w:color="auto"/>
              <w:right w:val="single" w:sz="4" w:space="0" w:color="auto"/>
            </w:tcBorders>
            <w:vAlign w:val="center"/>
          </w:tcPr>
          <w:p w14:paraId="2D067D6E" w14:textId="77777777" w:rsidR="00E579B9" w:rsidRDefault="006A1398">
            <w:pPr>
              <w:pStyle w:val="aa"/>
            </w:pPr>
            <w:r>
              <w:rPr>
                <w:rFonts w:hint="eastAsia"/>
              </w:rPr>
              <w:t>13</w:t>
            </w:r>
          </w:p>
        </w:tc>
        <w:tc>
          <w:tcPr>
            <w:tcW w:w="1379" w:type="dxa"/>
            <w:tcBorders>
              <w:top w:val="single" w:sz="4" w:space="0" w:color="auto"/>
              <w:left w:val="nil"/>
              <w:bottom w:val="single" w:sz="4" w:space="0" w:color="auto"/>
              <w:right w:val="single" w:sz="4" w:space="0" w:color="auto"/>
            </w:tcBorders>
            <w:vAlign w:val="center"/>
          </w:tcPr>
          <w:p w14:paraId="6D06A206" w14:textId="77777777" w:rsidR="00E579B9" w:rsidRDefault="006A1398">
            <w:pPr>
              <w:pStyle w:val="aa"/>
            </w:pPr>
            <w:r>
              <w:rPr>
                <w:rFonts w:hint="eastAsia"/>
              </w:rPr>
              <w:t>60</w:t>
            </w:r>
          </w:p>
        </w:tc>
        <w:tc>
          <w:tcPr>
            <w:tcW w:w="1273" w:type="dxa"/>
            <w:tcBorders>
              <w:top w:val="single" w:sz="4" w:space="0" w:color="auto"/>
              <w:left w:val="nil"/>
              <w:bottom w:val="single" w:sz="4" w:space="0" w:color="auto"/>
              <w:right w:val="single" w:sz="4" w:space="0" w:color="auto"/>
            </w:tcBorders>
            <w:vAlign w:val="center"/>
          </w:tcPr>
          <w:p w14:paraId="3282C1CF" w14:textId="77777777" w:rsidR="00E579B9" w:rsidRDefault="006A1398">
            <w:pPr>
              <w:pStyle w:val="aa"/>
            </w:pPr>
            <w:r>
              <w:rPr>
                <w:rFonts w:hint="eastAsia"/>
              </w:rPr>
              <w:t>21.7</w:t>
            </w:r>
          </w:p>
        </w:tc>
        <w:tc>
          <w:tcPr>
            <w:tcW w:w="1196" w:type="dxa"/>
            <w:vMerge w:val="restart"/>
            <w:tcBorders>
              <w:top w:val="nil"/>
              <w:left w:val="nil"/>
              <w:bottom w:val="single" w:sz="4" w:space="0" w:color="auto"/>
              <w:right w:val="single" w:sz="4" w:space="0" w:color="auto"/>
            </w:tcBorders>
            <w:vAlign w:val="center"/>
          </w:tcPr>
          <w:p w14:paraId="5D51DEF7" w14:textId="77777777" w:rsidR="00E579B9" w:rsidRDefault="006A1398">
            <w:pPr>
              <w:pStyle w:val="aa"/>
            </w:pPr>
            <w:r>
              <w:rPr>
                <w:rFonts w:hint="eastAsia"/>
              </w:rPr>
              <w:t>不达标</w:t>
            </w:r>
          </w:p>
        </w:tc>
      </w:tr>
      <w:tr w:rsidR="00E579B9" w14:paraId="33F06D28" w14:textId="77777777">
        <w:tc>
          <w:tcPr>
            <w:tcW w:w="695" w:type="dxa"/>
            <w:vMerge/>
            <w:tcBorders>
              <w:top w:val="nil"/>
              <w:left w:val="single" w:sz="4" w:space="0" w:color="auto"/>
              <w:bottom w:val="single" w:sz="4" w:space="0" w:color="auto"/>
              <w:right w:val="single" w:sz="4" w:space="0" w:color="auto"/>
            </w:tcBorders>
            <w:vAlign w:val="center"/>
          </w:tcPr>
          <w:p w14:paraId="3D045526" w14:textId="77777777" w:rsidR="00E579B9" w:rsidRDefault="00E579B9">
            <w:pPr>
              <w:pStyle w:val="aa"/>
            </w:pPr>
          </w:p>
        </w:tc>
        <w:tc>
          <w:tcPr>
            <w:tcW w:w="2904" w:type="dxa"/>
            <w:tcBorders>
              <w:top w:val="single" w:sz="4" w:space="0" w:color="auto"/>
              <w:left w:val="nil"/>
              <w:bottom w:val="single" w:sz="4" w:space="0" w:color="auto"/>
              <w:right w:val="single" w:sz="4" w:space="0" w:color="auto"/>
            </w:tcBorders>
            <w:vAlign w:val="center"/>
          </w:tcPr>
          <w:p w14:paraId="6A43691F" w14:textId="77777777" w:rsidR="00E579B9" w:rsidRDefault="006A1398">
            <w:pPr>
              <w:pStyle w:val="aa"/>
            </w:pPr>
            <w:r>
              <w:rPr>
                <w:rFonts w:hint="eastAsia"/>
              </w:rPr>
              <w:t>24</w:t>
            </w:r>
            <w:r>
              <w:rPr>
                <w:rFonts w:hint="eastAsia"/>
              </w:rPr>
              <w:t>小时平均第</w:t>
            </w:r>
            <w:r>
              <w:rPr>
                <w:rFonts w:hint="eastAsia"/>
              </w:rPr>
              <w:t>98</w:t>
            </w:r>
            <w:proofErr w:type="gramStart"/>
            <w:r>
              <w:rPr>
                <w:rFonts w:hint="eastAsia"/>
              </w:rPr>
              <w:t>百</w:t>
            </w:r>
            <w:proofErr w:type="gramEnd"/>
            <w:r>
              <w:rPr>
                <w:rFonts w:hint="eastAsia"/>
              </w:rPr>
              <w:t>分位数</w:t>
            </w:r>
          </w:p>
        </w:tc>
        <w:tc>
          <w:tcPr>
            <w:tcW w:w="1499" w:type="dxa"/>
            <w:tcBorders>
              <w:top w:val="single" w:sz="4" w:space="0" w:color="auto"/>
              <w:left w:val="nil"/>
              <w:bottom w:val="single" w:sz="4" w:space="0" w:color="auto"/>
              <w:right w:val="single" w:sz="4" w:space="0" w:color="auto"/>
            </w:tcBorders>
            <w:vAlign w:val="center"/>
          </w:tcPr>
          <w:p w14:paraId="3724ADB1" w14:textId="77777777" w:rsidR="00E579B9" w:rsidRDefault="006A1398">
            <w:pPr>
              <w:pStyle w:val="aa"/>
            </w:pPr>
            <w:r>
              <w:rPr>
                <w:rFonts w:hint="eastAsia"/>
              </w:rPr>
              <w:t>23</w:t>
            </w:r>
          </w:p>
        </w:tc>
        <w:tc>
          <w:tcPr>
            <w:tcW w:w="1379" w:type="dxa"/>
            <w:tcBorders>
              <w:top w:val="single" w:sz="4" w:space="0" w:color="auto"/>
              <w:left w:val="nil"/>
              <w:bottom w:val="single" w:sz="4" w:space="0" w:color="auto"/>
              <w:right w:val="single" w:sz="4" w:space="0" w:color="auto"/>
            </w:tcBorders>
            <w:vAlign w:val="center"/>
          </w:tcPr>
          <w:p w14:paraId="15283A91" w14:textId="77777777" w:rsidR="00E579B9" w:rsidRDefault="006A1398">
            <w:pPr>
              <w:pStyle w:val="aa"/>
            </w:pPr>
            <w:r>
              <w:rPr>
                <w:rFonts w:hint="eastAsia"/>
              </w:rPr>
              <w:t>150</w:t>
            </w:r>
          </w:p>
        </w:tc>
        <w:tc>
          <w:tcPr>
            <w:tcW w:w="1273" w:type="dxa"/>
            <w:tcBorders>
              <w:top w:val="single" w:sz="4" w:space="0" w:color="auto"/>
              <w:left w:val="nil"/>
              <w:bottom w:val="single" w:sz="4" w:space="0" w:color="auto"/>
              <w:right w:val="single" w:sz="4" w:space="0" w:color="auto"/>
            </w:tcBorders>
            <w:vAlign w:val="center"/>
          </w:tcPr>
          <w:p w14:paraId="435B894B" w14:textId="77777777" w:rsidR="00E579B9" w:rsidRDefault="006A1398">
            <w:pPr>
              <w:pStyle w:val="aa"/>
            </w:pPr>
            <w:r>
              <w:rPr>
                <w:rFonts w:hint="eastAsia"/>
              </w:rPr>
              <w:t>15.3</w:t>
            </w:r>
          </w:p>
        </w:tc>
        <w:tc>
          <w:tcPr>
            <w:tcW w:w="1196" w:type="dxa"/>
            <w:vMerge/>
            <w:tcBorders>
              <w:top w:val="nil"/>
              <w:left w:val="nil"/>
              <w:bottom w:val="single" w:sz="4" w:space="0" w:color="auto"/>
              <w:right w:val="single" w:sz="4" w:space="0" w:color="auto"/>
            </w:tcBorders>
            <w:vAlign w:val="center"/>
          </w:tcPr>
          <w:p w14:paraId="29AEDA10" w14:textId="77777777" w:rsidR="00E579B9" w:rsidRDefault="00E579B9">
            <w:pPr>
              <w:pStyle w:val="aa"/>
            </w:pPr>
          </w:p>
        </w:tc>
      </w:tr>
      <w:tr w:rsidR="00E579B9" w14:paraId="38D5EB9C" w14:textId="77777777">
        <w:tc>
          <w:tcPr>
            <w:tcW w:w="695" w:type="dxa"/>
            <w:vMerge w:val="restart"/>
            <w:tcBorders>
              <w:top w:val="nil"/>
              <w:left w:val="single" w:sz="4" w:space="0" w:color="auto"/>
              <w:bottom w:val="single" w:sz="4" w:space="0" w:color="auto"/>
              <w:right w:val="single" w:sz="4" w:space="0" w:color="auto"/>
            </w:tcBorders>
            <w:vAlign w:val="center"/>
          </w:tcPr>
          <w:p w14:paraId="29986D1A" w14:textId="77777777" w:rsidR="00E579B9" w:rsidRDefault="006A1398">
            <w:pPr>
              <w:pStyle w:val="aa"/>
            </w:pPr>
            <w:r>
              <w:rPr>
                <w:rFonts w:hint="eastAsia"/>
              </w:rPr>
              <w:t>NO</w:t>
            </w:r>
            <w:r>
              <w:rPr>
                <w:rFonts w:hint="eastAsia"/>
                <w:vertAlign w:val="subscript"/>
              </w:rPr>
              <w:t>2</w:t>
            </w:r>
          </w:p>
        </w:tc>
        <w:tc>
          <w:tcPr>
            <w:tcW w:w="2904" w:type="dxa"/>
            <w:tcBorders>
              <w:top w:val="single" w:sz="4" w:space="0" w:color="auto"/>
              <w:left w:val="nil"/>
              <w:bottom w:val="single" w:sz="4" w:space="0" w:color="auto"/>
              <w:right w:val="single" w:sz="4" w:space="0" w:color="auto"/>
            </w:tcBorders>
            <w:vAlign w:val="center"/>
          </w:tcPr>
          <w:p w14:paraId="579E428E" w14:textId="77777777" w:rsidR="00E579B9" w:rsidRDefault="006A1398">
            <w:pPr>
              <w:pStyle w:val="aa"/>
            </w:pPr>
            <w:r>
              <w:rPr>
                <w:rFonts w:hint="eastAsia"/>
              </w:rPr>
              <w:t>年均浓度</w:t>
            </w:r>
          </w:p>
        </w:tc>
        <w:tc>
          <w:tcPr>
            <w:tcW w:w="1499" w:type="dxa"/>
            <w:tcBorders>
              <w:top w:val="single" w:sz="4" w:space="0" w:color="auto"/>
              <w:left w:val="nil"/>
              <w:bottom w:val="single" w:sz="4" w:space="0" w:color="auto"/>
              <w:right w:val="single" w:sz="4" w:space="0" w:color="auto"/>
            </w:tcBorders>
            <w:vAlign w:val="center"/>
          </w:tcPr>
          <w:p w14:paraId="6D6C1FB2" w14:textId="77777777" w:rsidR="00E579B9" w:rsidRDefault="006A1398">
            <w:pPr>
              <w:pStyle w:val="aa"/>
            </w:pPr>
            <w:r>
              <w:rPr>
                <w:rFonts w:hint="eastAsia"/>
              </w:rPr>
              <w:t>35</w:t>
            </w:r>
          </w:p>
        </w:tc>
        <w:tc>
          <w:tcPr>
            <w:tcW w:w="1379" w:type="dxa"/>
            <w:tcBorders>
              <w:top w:val="single" w:sz="4" w:space="0" w:color="auto"/>
              <w:left w:val="nil"/>
              <w:bottom w:val="single" w:sz="4" w:space="0" w:color="auto"/>
              <w:right w:val="single" w:sz="4" w:space="0" w:color="auto"/>
            </w:tcBorders>
            <w:vAlign w:val="center"/>
          </w:tcPr>
          <w:p w14:paraId="6808CEE5" w14:textId="77777777" w:rsidR="00E579B9" w:rsidRDefault="006A1398">
            <w:pPr>
              <w:pStyle w:val="aa"/>
            </w:pPr>
            <w:r>
              <w:rPr>
                <w:rFonts w:hint="eastAsia"/>
              </w:rPr>
              <w:t>40</w:t>
            </w:r>
          </w:p>
        </w:tc>
        <w:tc>
          <w:tcPr>
            <w:tcW w:w="1273" w:type="dxa"/>
            <w:tcBorders>
              <w:top w:val="single" w:sz="4" w:space="0" w:color="auto"/>
              <w:left w:val="nil"/>
              <w:bottom w:val="single" w:sz="4" w:space="0" w:color="auto"/>
              <w:right w:val="single" w:sz="4" w:space="0" w:color="auto"/>
            </w:tcBorders>
            <w:vAlign w:val="center"/>
          </w:tcPr>
          <w:p w14:paraId="34F6224D" w14:textId="77777777" w:rsidR="00E579B9" w:rsidRDefault="006A1398">
            <w:pPr>
              <w:pStyle w:val="aa"/>
            </w:pPr>
            <w:r>
              <w:rPr>
                <w:rFonts w:hint="eastAsia"/>
              </w:rPr>
              <w:t>87.5</w:t>
            </w:r>
          </w:p>
        </w:tc>
        <w:tc>
          <w:tcPr>
            <w:tcW w:w="1196" w:type="dxa"/>
            <w:vMerge/>
            <w:tcBorders>
              <w:top w:val="nil"/>
              <w:left w:val="nil"/>
              <w:bottom w:val="single" w:sz="4" w:space="0" w:color="auto"/>
              <w:right w:val="single" w:sz="4" w:space="0" w:color="auto"/>
            </w:tcBorders>
            <w:vAlign w:val="center"/>
          </w:tcPr>
          <w:p w14:paraId="618EA828" w14:textId="77777777" w:rsidR="00E579B9" w:rsidRDefault="00E579B9">
            <w:pPr>
              <w:pStyle w:val="aa"/>
            </w:pPr>
          </w:p>
        </w:tc>
      </w:tr>
      <w:tr w:rsidR="00E579B9" w14:paraId="59EC66EA" w14:textId="77777777">
        <w:tc>
          <w:tcPr>
            <w:tcW w:w="695" w:type="dxa"/>
            <w:vMerge/>
            <w:tcBorders>
              <w:top w:val="nil"/>
              <w:left w:val="single" w:sz="4" w:space="0" w:color="auto"/>
              <w:bottom w:val="single" w:sz="4" w:space="0" w:color="auto"/>
              <w:right w:val="single" w:sz="4" w:space="0" w:color="auto"/>
            </w:tcBorders>
            <w:vAlign w:val="center"/>
          </w:tcPr>
          <w:p w14:paraId="01BC9ACA" w14:textId="77777777" w:rsidR="00E579B9" w:rsidRDefault="00E579B9">
            <w:pPr>
              <w:pStyle w:val="aa"/>
            </w:pPr>
          </w:p>
        </w:tc>
        <w:tc>
          <w:tcPr>
            <w:tcW w:w="2904" w:type="dxa"/>
            <w:tcBorders>
              <w:top w:val="single" w:sz="4" w:space="0" w:color="auto"/>
              <w:left w:val="nil"/>
              <w:bottom w:val="single" w:sz="4" w:space="0" w:color="auto"/>
              <w:right w:val="single" w:sz="4" w:space="0" w:color="auto"/>
            </w:tcBorders>
            <w:vAlign w:val="center"/>
          </w:tcPr>
          <w:p w14:paraId="3B8AE610" w14:textId="77777777" w:rsidR="00E579B9" w:rsidRDefault="006A1398">
            <w:pPr>
              <w:pStyle w:val="aa"/>
            </w:pPr>
            <w:r>
              <w:rPr>
                <w:rFonts w:hint="eastAsia"/>
              </w:rPr>
              <w:t>24</w:t>
            </w:r>
            <w:r>
              <w:rPr>
                <w:rFonts w:hint="eastAsia"/>
              </w:rPr>
              <w:t>小时平均第</w:t>
            </w:r>
            <w:r>
              <w:rPr>
                <w:rFonts w:hint="eastAsia"/>
              </w:rPr>
              <w:t>98</w:t>
            </w:r>
            <w:proofErr w:type="gramStart"/>
            <w:r>
              <w:rPr>
                <w:rFonts w:hint="eastAsia"/>
              </w:rPr>
              <w:t>百</w:t>
            </w:r>
            <w:proofErr w:type="gramEnd"/>
            <w:r>
              <w:rPr>
                <w:rFonts w:hint="eastAsia"/>
              </w:rPr>
              <w:t>分位数</w:t>
            </w:r>
          </w:p>
        </w:tc>
        <w:tc>
          <w:tcPr>
            <w:tcW w:w="1499" w:type="dxa"/>
            <w:tcBorders>
              <w:top w:val="single" w:sz="4" w:space="0" w:color="auto"/>
              <w:left w:val="nil"/>
              <w:bottom w:val="single" w:sz="4" w:space="0" w:color="auto"/>
              <w:right w:val="single" w:sz="4" w:space="0" w:color="auto"/>
            </w:tcBorders>
            <w:vAlign w:val="center"/>
          </w:tcPr>
          <w:p w14:paraId="5AA8D3DF" w14:textId="77777777" w:rsidR="00E579B9" w:rsidRDefault="006A1398">
            <w:pPr>
              <w:pStyle w:val="aa"/>
            </w:pPr>
            <w:r>
              <w:rPr>
                <w:rFonts w:hint="eastAsia"/>
              </w:rPr>
              <w:t>66</w:t>
            </w:r>
          </w:p>
        </w:tc>
        <w:tc>
          <w:tcPr>
            <w:tcW w:w="1379" w:type="dxa"/>
            <w:tcBorders>
              <w:top w:val="single" w:sz="4" w:space="0" w:color="auto"/>
              <w:left w:val="nil"/>
              <w:bottom w:val="single" w:sz="4" w:space="0" w:color="auto"/>
              <w:right w:val="single" w:sz="4" w:space="0" w:color="auto"/>
            </w:tcBorders>
            <w:vAlign w:val="center"/>
          </w:tcPr>
          <w:p w14:paraId="19D4FD9D" w14:textId="77777777" w:rsidR="00E579B9" w:rsidRDefault="006A1398">
            <w:pPr>
              <w:pStyle w:val="aa"/>
            </w:pPr>
            <w:r>
              <w:rPr>
                <w:rFonts w:hint="eastAsia"/>
              </w:rPr>
              <w:t>80</w:t>
            </w:r>
          </w:p>
        </w:tc>
        <w:tc>
          <w:tcPr>
            <w:tcW w:w="1273" w:type="dxa"/>
            <w:tcBorders>
              <w:top w:val="single" w:sz="4" w:space="0" w:color="auto"/>
              <w:left w:val="nil"/>
              <w:bottom w:val="single" w:sz="4" w:space="0" w:color="auto"/>
              <w:right w:val="single" w:sz="4" w:space="0" w:color="auto"/>
            </w:tcBorders>
            <w:vAlign w:val="center"/>
          </w:tcPr>
          <w:p w14:paraId="1B121D38" w14:textId="77777777" w:rsidR="00E579B9" w:rsidRDefault="006A1398">
            <w:pPr>
              <w:pStyle w:val="aa"/>
            </w:pPr>
            <w:r>
              <w:rPr>
                <w:rFonts w:hint="eastAsia"/>
              </w:rPr>
              <w:t>82.5</w:t>
            </w:r>
          </w:p>
        </w:tc>
        <w:tc>
          <w:tcPr>
            <w:tcW w:w="1196" w:type="dxa"/>
            <w:vMerge/>
            <w:tcBorders>
              <w:top w:val="nil"/>
              <w:left w:val="nil"/>
              <w:bottom w:val="single" w:sz="4" w:space="0" w:color="auto"/>
              <w:right w:val="single" w:sz="4" w:space="0" w:color="auto"/>
            </w:tcBorders>
            <w:vAlign w:val="center"/>
          </w:tcPr>
          <w:p w14:paraId="20F7B521" w14:textId="77777777" w:rsidR="00E579B9" w:rsidRDefault="00E579B9">
            <w:pPr>
              <w:pStyle w:val="aa"/>
            </w:pPr>
          </w:p>
        </w:tc>
      </w:tr>
      <w:tr w:rsidR="00E579B9" w14:paraId="3AD172B6" w14:textId="77777777">
        <w:tc>
          <w:tcPr>
            <w:tcW w:w="695" w:type="dxa"/>
            <w:vMerge w:val="restart"/>
            <w:tcBorders>
              <w:top w:val="nil"/>
              <w:left w:val="single" w:sz="4" w:space="0" w:color="auto"/>
              <w:bottom w:val="single" w:sz="4" w:space="0" w:color="auto"/>
              <w:right w:val="single" w:sz="4" w:space="0" w:color="auto"/>
            </w:tcBorders>
            <w:vAlign w:val="center"/>
          </w:tcPr>
          <w:p w14:paraId="5D34F420" w14:textId="77777777" w:rsidR="00E579B9" w:rsidRDefault="006A1398">
            <w:pPr>
              <w:pStyle w:val="aa"/>
            </w:pPr>
            <w:r>
              <w:rPr>
                <w:rFonts w:hint="eastAsia"/>
              </w:rPr>
              <w:t>PM</w:t>
            </w:r>
            <w:r>
              <w:rPr>
                <w:rFonts w:hint="eastAsia"/>
                <w:vertAlign w:val="subscript"/>
              </w:rPr>
              <w:t>10</w:t>
            </w:r>
          </w:p>
        </w:tc>
        <w:tc>
          <w:tcPr>
            <w:tcW w:w="2904" w:type="dxa"/>
            <w:tcBorders>
              <w:top w:val="single" w:sz="4" w:space="0" w:color="auto"/>
              <w:left w:val="nil"/>
              <w:bottom w:val="single" w:sz="4" w:space="0" w:color="auto"/>
              <w:right w:val="single" w:sz="4" w:space="0" w:color="auto"/>
            </w:tcBorders>
            <w:vAlign w:val="center"/>
          </w:tcPr>
          <w:p w14:paraId="538656A7" w14:textId="77777777" w:rsidR="00E579B9" w:rsidRDefault="006A1398">
            <w:pPr>
              <w:pStyle w:val="aa"/>
            </w:pPr>
            <w:r>
              <w:rPr>
                <w:rFonts w:hint="eastAsia"/>
              </w:rPr>
              <w:t>年均浓度</w:t>
            </w:r>
          </w:p>
        </w:tc>
        <w:tc>
          <w:tcPr>
            <w:tcW w:w="1499" w:type="dxa"/>
            <w:tcBorders>
              <w:top w:val="single" w:sz="4" w:space="0" w:color="auto"/>
              <w:left w:val="nil"/>
              <w:bottom w:val="single" w:sz="4" w:space="0" w:color="auto"/>
              <w:right w:val="single" w:sz="4" w:space="0" w:color="auto"/>
            </w:tcBorders>
            <w:vAlign w:val="center"/>
          </w:tcPr>
          <w:p w14:paraId="63B71524" w14:textId="77777777" w:rsidR="00E579B9" w:rsidRDefault="006A1398">
            <w:pPr>
              <w:pStyle w:val="aa"/>
            </w:pPr>
            <w:r>
              <w:rPr>
                <w:rFonts w:hint="eastAsia"/>
              </w:rPr>
              <w:t>110</w:t>
            </w:r>
          </w:p>
        </w:tc>
        <w:tc>
          <w:tcPr>
            <w:tcW w:w="1379" w:type="dxa"/>
            <w:tcBorders>
              <w:top w:val="single" w:sz="4" w:space="0" w:color="auto"/>
              <w:left w:val="nil"/>
              <w:bottom w:val="single" w:sz="4" w:space="0" w:color="auto"/>
              <w:right w:val="single" w:sz="4" w:space="0" w:color="auto"/>
            </w:tcBorders>
            <w:vAlign w:val="center"/>
          </w:tcPr>
          <w:p w14:paraId="01B2E311" w14:textId="77777777" w:rsidR="00E579B9" w:rsidRDefault="006A1398">
            <w:pPr>
              <w:pStyle w:val="aa"/>
            </w:pPr>
            <w:r>
              <w:rPr>
                <w:rFonts w:hint="eastAsia"/>
              </w:rPr>
              <w:t>70</w:t>
            </w:r>
          </w:p>
        </w:tc>
        <w:tc>
          <w:tcPr>
            <w:tcW w:w="1273" w:type="dxa"/>
            <w:tcBorders>
              <w:top w:val="single" w:sz="4" w:space="0" w:color="auto"/>
              <w:left w:val="nil"/>
              <w:bottom w:val="single" w:sz="4" w:space="0" w:color="auto"/>
              <w:right w:val="single" w:sz="4" w:space="0" w:color="auto"/>
            </w:tcBorders>
            <w:vAlign w:val="center"/>
          </w:tcPr>
          <w:p w14:paraId="46BDC69C" w14:textId="77777777" w:rsidR="00E579B9" w:rsidRDefault="006A1398">
            <w:pPr>
              <w:pStyle w:val="aa"/>
            </w:pPr>
            <w:r>
              <w:rPr>
                <w:rFonts w:hint="eastAsia"/>
              </w:rPr>
              <w:t>157.1</w:t>
            </w:r>
          </w:p>
        </w:tc>
        <w:tc>
          <w:tcPr>
            <w:tcW w:w="1196" w:type="dxa"/>
            <w:vMerge/>
            <w:tcBorders>
              <w:top w:val="nil"/>
              <w:left w:val="nil"/>
              <w:bottom w:val="single" w:sz="4" w:space="0" w:color="auto"/>
              <w:right w:val="single" w:sz="4" w:space="0" w:color="auto"/>
            </w:tcBorders>
            <w:vAlign w:val="center"/>
          </w:tcPr>
          <w:p w14:paraId="79793ACB" w14:textId="77777777" w:rsidR="00E579B9" w:rsidRDefault="00E579B9">
            <w:pPr>
              <w:pStyle w:val="aa"/>
            </w:pPr>
          </w:p>
        </w:tc>
      </w:tr>
      <w:tr w:rsidR="00E579B9" w14:paraId="3762ED07" w14:textId="77777777">
        <w:tc>
          <w:tcPr>
            <w:tcW w:w="695" w:type="dxa"/>
            <w:vMerge/>
            <w:tcBorders>
              <w:top w:val="nil"/>
              <w:left w:val="single" w:sz="4" w:space="0" w:color="auto"/>
              <w:bottom w:val="single" w:sz="4" w:space="0" w:color="auto"/>
              <w:right w:val="single" w:sz="4" w:space="0" w:color="auto"/>
            </w:tcBorders>
            <w:vAlign w:val="center"/>
          </w:tcPr>
          <w:p w14:paraId="102A786D" w14:textId="77777777" w:rsidR="00E579B9" w:rsidRDefault="00E579B9">
            <w:pPr>
              <w:pStyle w:val="aa"/>
            </w:pPr>
          </w:p>
        </w:tc>
        <w:tc>
          <w:tcPr>
            <w:tcW w:w="2904" w:type="dxa"/>
            <w:tcBorders>
              <w:top w:val="single" w:sz="4" w:space="0" w:color="auto"/>
              <w:left w:val="nil"/>
              <w:bottom w:val="single" w:sz="4" w:space="0" w:color="auto"/>
              <w:right w:val="single" w:sz="4" w:space="0" w:color="auto"/>
            </w:tcBorders>
            <w:vAlign w:val="center"/>
          </w:tcPr>
          <w:p w14:paraId="485AABF0" w14:textId="77777777" w:rsidR="00E579B9" w:rsidRDefault="006A1398">
            <w:pPr>
              <w:pStyle w:val="aa"/>
            </w:pPr>
            <w:r>
              <w:rPr>
                <w:rFonts w:hint="eastAsia"/>
              </w:rPr>
              <w:t>24</w:t>
            </w:r>
            <w:r>
              <w:rPr>
                <w:rFonts w:hint="eastAsia"/>
              </w:rPr>
              <w:t>小时平均第</w:t>
            </w:r>
            <w:r>
              <w:rPr>
                <w:rFonts w:hint="eastAsia"/>
              </w:rPr>
              <w:t>95</w:t>
            </w:r>
            <w:proofErr w:type="gramStart"/>
            <w:r>
              <w:rPr>
                <w:rFonts w:hint="eastAsia"/>
              </w:rPr>
              <w:t>百</w:t>
            </w:r>
            <w:proofErr w:type="gramEnd"/>
            <w:r>
              <w:rPr>
                <w:rFonts w:hint="eastAsia"/>
              </w:rPr>
              <w:t>分位数</w:t>
            </w:r>
          </w:p>
        </w:tc>
        <w:tc>
          <w:tcPr>
            <w:tcW w:w="1499" w:type="dxa"/>
            <w:tcBorders>
              <w:top w:val="single" w:sz="4" w:space="0" w:color="auto"/>
              <w:left w:val="nil"/>
              <w:bottom w:val="single" w:sz="4" w:space="0" w:color="auto"/>
              <w:right w:val="single" w:sz="4" w:space="0" w:color="auto"/>
            </w:tcBorders>
            <w:vAlign w:val="center"/>
          </w:tcPr>
          <w:p w14:paraId="5982F4D2" w14:textId="77777777" w:rsidR="00E579B9" w:rsidRDefault="006A1398">
            <w:pPr>
              <w:pStyle w:val="aa"/>
            </w:pPr>
            <w:r>
              <w:rPr>
                <w:rFonts w:hint="eastAsia"/>
              </w:rPr>
              <w:t>259</w:t>
            </w:r>
          </w:p>
        </w:tc>
        <w:tc>
          <w:tcPr>
            <w:tcW w:w="1379" w:type="dxa"/>
            <w:tcBorders>
              <w:top w:val="single" w:sz="4" w:space="0" w:color="auto"/>
              <w:left w:val="nil"/>
              <w:bottom w:val="single" w:sz="4" w:space="0" w:color="auto"/>
              <w:right w:val="single" w:sz="4" w:space="0" w:color="auto"/>
            </w:tcBorders>
            <w:vAlign w:val="center"/>
          </w:tcPr>
          <w:p w14:paraId="0FF705F1" w14:textId="77777777" w:rsidR="00E579B9" w:rsidRDefault="006A1398">
            <w:pPr>
              <w:pStyle w:val="aa"/>
            </w:pPr>
            <w:r>
              <w:rPr>
                <w:rFonts w:hint="eastAsia"/>
              </w:rPr>
              <w:t>150</w:t>
            </w:r>
          </w:p>
        </w:tc>
        <w:tc>
          <w:tcPr>
            <w:tcW w:w="1273" w:type="dxa"/>
            <w:tcBorders>
              <w:top w:val="single" w:sz="4" w:space="0" w:color="auto"/>
              <w:left w:val="nil"/>
              <w:bottom w:val="single" w:sz="4" w:space="0" w:color="auto"/>
              <w:right w:val="single" w:sz="4" w:space="0" w:color="auto"/>
            </w:tcBorders>
            <w:vAlign w:val="center"/>
          </w:tcPr>
          <w:p w14:paraId="12ABA660" w14:textId="77777777" w:rsidR="00E579B9" w:rsidRDefault="006A1398">
            <w:pPr>
              <w:pStyle w:val="aa"/>
            </w:pPr>
            <w:r>
              <w:rPr>
                <w:rFonts w:hint="eastAsia"/>
              </w:rPr>
              <w:t>172.7</w:t>
            </w:r>
          </w:p>
        </w:tc>
        <w:tc>
          <w:tcPr>
            <w:tcW w:w="1196" w:type="dxa"/>
            <w:vMerge/>
            <w:tcBorders>
              <w:top w:val="nil"/>
              <w:left w:val="nil"/>
              <w:bottom w:val="single" w:sz="4" w:space="0" w:color="auto"/>
              <w:right w:val="single" w:sz="4" w:space="0" w:color="auto"/>
            </w:tcBorders>
            <w:vAlign w:val="center"/>
          </w:tcPr>
          <w:p w14:paraId="5E1A70B6" w14:textId="77777777" w:rsidR="00E579B9" w:rsidRDefault="00E579B9">
            <w:pPr>
              <w:pStyle w:val="aa"/>
            </w:pPr>
          </w:p>
        </w:tc>
      </w:tr>
      <w:tr w:rsidR="00E579B9" w14:paraId="60A11CE3" w14:textId="77777777">
        <w:tc>
          <w:tcPr>
            <w:tcW w:w="695" w:type="dxa"/>
            <w:vMerge w:val="restart"/>
            <w:tcBorders>
              <w:top w:val="nil"/>
              <w:left w:val="single" w:sz="4" w:space="0" w:color="auto"/>
              <w:bottom w:val="single" w:sz="4" w:space="0" w:color="auto"/>
              <w:right w:val="single" w:sz="4" w:space="0" w:color="auto"/>
            </w:tcBorders>
            <w:vAlign w:val="center"/>
          </w:tcPr>
          <w:p w14:paraId="692C097F" w14:textId="77777777" w:rsidR="00E579B9" w:rsidRDefault="006A1398">
            <w:pPr>
              <w:pStyle w:val="aa"/>
            </w:pPr>
            <w:r>
              <w:rPr>
                <w:rFonts w:hint="eastAsia"/>
              </w:rPr>
              <w:t>PM</w:t>
            </w:r>
            <w:r>
              <w:rPr>
                <w:rFonts w:hint="eastAsia"/>
                <w:vertAlign w:val="subscript"/>
              </w:rPr>
              <w:t>2.5</w:t>
            </w:r>
          </w:p>
        </w:tc>
        <w:tc>
          <w:tcPr>
            <w:tcW w:w="2904" w:type="dxa"/>
            <w:tcBorders>
              <w:top w:val="single" w:sz="4" w:space="0" w:color="auto"/>
              <w:left w:val="nil"/>
              <w:bottom w:val="single" w:sz="4" w:space="0" w:color="auto"/>
              <w:right w:val="single" w:sz="4" w:space="0" w:color="auto"/>
            </w:tcBorders>
            <w:vAlign w:val="center"/>
          </w:tcPr>
          <w:p w14:paraId="597532D0" w14:textId="77777777" w:rsidR="00E579B9" w:rsidRDefault="006A1398">
            <w:pPr>
              <w:pStyle w:val="aa"/>
            </w:pPr>
            <w:r>
              <w:rPr>
                <w:rFonts w:hint="eastAsia"/>
              </w:rPr>
              <w:t>年均浓度</w:t>
            </w:r>
          </w:p>
        </w:tc>
        <w:tc>
          <w:tcPr>
            <w:tcW w:w="1499" w:type="dxa"/>
            <w:tcBorders>
              <w:top w:val="single" w:sz="4" w:space="0" w:color="auto"/>
              <w:left w:val="nil"/>
              <w:bottom w:val="single" w:sz="4" w:space="0" w:color="auto"/>
              <w:right w:val="single" w:sz="4" w:space="0" w:color="auto"/>
            </w:tcBorders>
            <w:vAlign w:val="center"/>
          </w:tcPr>
          <w:p w14:paraId="002B4210" w14:textId="77777777" w:rsidR="00E579B9" w:rsidRDefault="006A1398">
            <w:pPr>
              <w:pStyle w:val="aa"/>
            </w:pPr>
            <w:r>
              <w:rPr>
                <w:rFonts w:hint="eastAsia"/>
              </w:rPr>
              <w:t>62</w:t>
            </w:r>
          </w:p>
        </w:tc>
        <w:tc>
          <w:tcPr>
            <w:tcW w:w="1379" w:type="dxa"/>
            <w:tcBorders>
              <w:top w:val="single" w:sz="4" w:space="0" w:color="auto"/>
              <w:left w:val="nil"/>
              <w:bottom w:val="single" w:sz="4" w:space="0" w:color="auto"/>
              <w:right w:val="single" w:sz="4" w:space="0" w:color="auto"/>
            </w:tcBorders>
            <w:vAlign w:val="center"/>
          </w:tcPr>
          <w:p w14:paraId="169213E4" w14:textId="77777777" w:rsidR="00E579B9" w:rsidRDefault="006A1398">
            <w:pPr>
              <w:pStyle w:val="aa"/>
            </w:pPr>
            <w:r>
              <w:rPr>
                <w:rFonts w:hint="eastAsia"/>
              </w:rPr>
              <w:t>35</w:t>
            </w:r>
          </w:p>
        </w:tc>
        <w:tc>
          <w:tcPr>
            <w:tcW w:w="1273" w:type="dxa"/>
            <w:tcBorders>
              <w:top w:val="single" w:sz="4" w:space="0" w:color="auto"/>
              <w:left w:val="nil"/>
              <w:bottom w:val="single" w:sz="4" w:space="0" w:color="auto"/>
              <w:right w:val="single" w:sz="4" w:space="0" w:color="auto"/>
            </w:tcBorders>
            <w:vAlign w:val="center"/>
          </w:tcPr>
          <w:p w14:paraId="7D11CE85" w14:textId="77777777" w:rsidR="00E579B9" w:rsidRDefault="006A1398">
            <w:pPr>
              <w:pStyle w:val="aa"/>
            </w:pPr>
            <w:r>
              <w:rPr>
                <w:rFonts w:hint="eastAsia"/>
              </w:rPr>
              <w:t>177.1</w:t>
            </w:r>
          </w:p>
        </w:tc>
        <w:tc>
          <w:tcPr>
            <w:tcW w:w="1196" w:type="dxa"/>
            <w:vMerge/>
            <w:tcBorders>
              <w:top w:val="nil"/>
              <w:left w:val="nil"/>
              <w:bottom w:val="single" w:sz="4" w:space="0" w:color="auto"/>
              <w:right w:val="single" w:sz="4" w:space="0" w:color="auto"/>
            </w:tcBorders>
            <w:vAlign w:val="center"/>
          </w:tcPr>
          <w:p w14:paraId="2F2CB178" w14:textId="77777777" w:rsidR="00E579B9" w:rsidRDefault="00E579B9">
            <w:pPr>
              <w:pStyle w:val="aa"/>
            </w:pPr>
          </w:p>
        </w:tc>
      </w:tr>
      <w:tr w:rsidR="00E579B9" w14:paraId="4CC04534" w14:textId="77777777">
        <w:tc>
          <w:tcPr>
            <w:tcW w:w="695" w:type="dxa"/>
            <w:vMerge/>
            <w:tcBorders>
              <w:top w:val="nil"/>
              <w:left w:val="single" w:sz="4" w:space="0" w:color="auto"/>
              <w:bottom w:val="single" w:sz="4" w:space="0" w:color="auto"/>
              <w:right w:val="single" w:sz="4" w:space="0" w:color="auto"/>
            </w:tcBorders>
            <w:vAlign w:val="center"/>
          </w:tcPr>
          <w:p w14:paraId="1FDE1792" w14:textId="77777777" w:rsidR="00E579B9" w:rsidRDefault="00E579B9">
            <w:pPr>
              <w:pStyle w:val="aa"/>
            </w:pPr>
          </w:p>
        </w:tc>
        <w:tc>
          <w:tcPr>
            <w:tcW w:w="2904" w:type="dxa"/>
            <w:tcBorders>
              <w:top w:val="single" w:sz="4" w:space="0" w:color="auto"/>
              <w:left w:val="nil"/>
              <w:bottom w:val="single" w:sz="4" w:space="0" w:color="auto"/>
              <w:right w:val="single" w:sz="4" w:space="0" w:color="auto"/>
            </w:tcBorders>
            <w:vAlign w:val="center"/>
          </w:tcPr>
          <w:p w14:paraId="263AED1E" w14:textId="77777777" w:rsidR="00E579B9" w:rsidRDefault="006A1398">
            <w:pPr>
              <w:pStyle w:val="aa"/>
            </w:pPr>
            <w:r>
              <w:rPr>
                <w:rFonts w:hint="eastAsia"/>
              </w:rPr>
              <w:t>24</w:t>
            </w:r>
            <w:r>
              <w:rPr>
                <w:rFonts w:hint="eastAsia"/>
              </w:rPr>
              <w:t>小时平均第</w:t>
            </w:r>
            <w:r>
              <w:rPr>
                <w:rFonts w:hint="eastAsia"/>
              </w:rPr>
              <w:t>95</w:t>
            </w:r>
            <w:proofErr w:type="gramStart"/>
            <w:r>
              <w:rPr>
                <w:rFonts w:hint="eastAsia"/>
              </w:rPr>
              <w:t>百</w:t>
            </w:r>
            <w:proofErr w:type="gramEnd"/>
            <w:r>
              <w:rPr>
                <w:rFonts w:hint="eastAsia"/>
              </w:rPr>
              <w:t>分位数</w:t>
            </w:r>
          </w:p>
        </w:tc>
        <w:tc>
          <w:tcPr>
            <w:tcW w:w="1499" w:type="dxa"/>
            <w:tcBorders>
              <w:top w:val="single" w:sz="4" w:space="0" w:color="auto"/>
              <w:left w:val="nil"/>
              <w:bottom w:val="single" w:sz="4" w:space="0" w:color="auto"/>
              <w:right w:val="single" w:sz="4" w:space="0" w:color="auto"/>
            </w:tcBorders>
            <w:vAlign w:val="center"/>
          </w:tcPr>
          <w:p w14:paraId="3DA770C4" w14:textId="77777777" w:rsidR="00E579B9" w:rsidRDefault="006A1398">
            <w:pPr>
              <w:pStyle w:val="aa"/>
            </w:pPr>
            <w:r>
              <w:rPr>
                <w:rFonts w:hint="eastAsia"/>
              </w:rPr>
              <w:t>139</w:t>
            </w:r>
          </w:p>
        </w:tc>
        <w:tc>
          <w:tcPr>
            <w:tcW w:w="1379" w:type="dxa"/>
            <w:tcBorders>
              <w:top w:val="single" w:sz="4" w:space="0" w:color="auto"/>
              <w:left w:val="nil"/>
              <w:bottom w:val="single" w:sz="4" w:space="0" w:color="auto"/>
              <w:right w:val="single" w:sz="4" w:space="0" w:color="auto"/>
            </w:tcBorders>
            <w:vAlign w:val="center"/>
          </w:tcPr>
          <w:p w14:paraId="5B9DD303" w14:textId="77777777" w:rsidR="00E579B9" w:rsidRDefault="006A1398">
            <w:pPr>
              <w:pStyle w:val="aa"/>
            </w:pPr>
            <w:r>
              <w:rPr>
                <w:rFonts w:hint="eastAsia"/>
              </w:rPr>
              <w:t>75</w:t>
            </w:r>
          </w:p>
        </w:tc>
        <w:tc>
          <w:tcPr>
            <w:tcW w:w="1273" w:type="dxa"/>
            <w:tcBorders>
              <w:top w:val="single" w:sz="4" w:space="0" w:color="auto"/>
              <w:left w:val="nil"/>
              <w:bottom w:val="single" w:sz="4" w:space="0" w:color="auto"/>
              <w:right w:val="single" w:sz="4" w:space="0" w:color="auto"/>
            </w:tcBorders>
            <w:vAlign w:val="center"/>
          </w:tcPr>
          <w:p w14:paraId="50B502B0" w14:textId="77777777" w:rsidR="00E579B9" w:rsidRDefault="006A1398">
            <w:pPr>
              <w:pStyle w:val="aa"/>
            </w:pPr>
            <w:r>
              <w:rPr>
                <w:rFonts w:hint="eastAsia"/>
              </w:rPr>
              <w:t>185.3</w:t>
            </w:r>
          </w:p>
        </w:tc>
        <w:tc>
          <w:tcPr>
            <w:tcW w:w="1196" w:type="dxa"/>
            <w:vMerge/>
            <w:tcBorders>
              <w:top w:val="nil"/>
              <w:left w:val="nil"/>
              <w:bottom w:val="single" w:sz="4" w:space="0" w:color="auto"/>
              <w:right w:val="single" w:sz="4" w:space="0" w:color="auto"/>
            </w:tcBorders>
            <w:vAlign w:val="center"/>
          </w:tcPr>
          <w:p w14:paraId="4B3509A8" w14:textId="77777777" w:rsidR="00E579B9" w:rsidRDefault="00E579B9">
            <w:pPr>
              <w:pStyle w:val="aa"/>
            </w:pPr>
          </w:p>
        </w:tc>
      </w:tr>
      <w:tr w:rsidR="00E579B9" w14:paraId="0B2D198C" w14:textId="77777777">
        <w:tc>
          <w:tcPr>
            <w:tcW w:w="695" w:type="dxa"/>
            <w:tcBorders>
              <w:top w:val="single" w:sz="4" w:space="0" w:color="auto"/>
              <w:left w:val="single" w:sz="4" w:space="0" w:color="auto"/>
              <w:bottom w:val="single" w:sz="4" w:space="0" w:color="auto"/>
              <w:right w:val="single" w:sz="4" w:space="0" w:color="auto"/>
            </w:tcBorders>
            <w:vAlign w:val="center"/>
          </w:tcPr>
          <w:p w14:paraId="072BA733" w14:textId="77777777" w:rsidR="00E579B9" w:rsidRDefault="006A1398">
            <w:pPr>
              <w:pStyle w:val="aa"/>
            </w:pPr>
            <w:r>
              <w:rPr>
                <w:rFonts w:hint="eastAsia"/>
              </w:rPr>
              <w:t>CO</w:t>
            </w:r>
          </w:p>
        </w:tc>
        <w:tc>
          <w:tcPr>
            <w:tcW w:w="2904" w:type="dxa"/>
            <w:tcBorders>
              <w:top w:val="single" w:sz="4" w:space="0" w:color="auto"/>
              <w:left w:val="nil"/>
              <w:bottom w:val="single" w:sz="4" w:space="0" w:color="auto"/>
              <w:right w:val="single" w:sz="4" w:space="0" w:color="auto"/>
            </w:tcBorders>
            <w:vAlign w:val="center"/>
          </w:tcPr>
          <w:p w14:paraId="30B9F1B2" w14:textId="77777777" w:rsidR="00E579B9" w:rsidRDefault="006A1398">
            <w:pPr>
              <w:pStyle w:val="aa"/>
            </w:pPr>
            <w:r>
              <w:rPr>
                <w:rFonts w:hint="eastAsia"/>
              </w:rPr>
              <w:t>24</w:t>
            </w:r>
            <w:r>
              <w:rPr>
                <w:rFonts w:hint="eastAsia"/>
              </w:rPr>
              <w:t>小时平均第</w:t>
            </w:r>
            <w:r>
              <w:rPr>
                <w:rFonts w:hint="eastAsia"/>
              </w:rPr>
              <w:t>95</w:t>
            </w:r>
            <w:proofErr w:type="gramStart"/>
            <w:r>
              <w:rPr>
                <w:rFonts w:hint="eastAsia"/>
              </w:rPr>
              <w:t>百</w:t>
            </w:r>
            <w:proofErr w:type="gramEnd"/>
            <w:r>
              <w:rPr>
                <w:rFonts w:hint="eastAsia"/>
              </w:rPr>
              <w:t>分位数</w:t>
            </w:r>
          </w:p>
        </w:tc>
        <w:tc>
          <w:tcPr>
            <w:tcW w:w="1499" w:type="dxa"/>
            <w:tcBorders>
              <w:top w:val="single" w:sz="4" w:space="0" w:color="auto"/>
              <w:left w:val="nil"/>
              <w:bottom w:val="single" w:sz="4" w:space="0" w:color="auto"/>
              <w:right w:val="single" w:sz="4" w:space="0" w:color="auto"/>
            </w:tcBorders>
            <w:vAlign w:val="center"/>
          </w:tcPr>
          <w:p w14:paraId="687A0CE8" w14:textId="77777777" w:rsidR="00E579B9" w:rsidRDefault="006A1398">
            <w:pPr>
              <w:pStyle w:val="aa"/>
            </w:pPr>
            <w:r>
              <w:rPr>
                <w:rFonts w:hint="eastAsia"/>
              </w:rPr>
              <w:t>1600</w:t>
            </w:r>
          </w:p>
        </w:tc>
        <w:tc>
          <w:tcPr>
            <w:tcW w:w="1379" w:type="dxa"/>
            <w:tcBorders>
              <w:top w:val="single" w:sz="4" w:space="0" w:color="auto"/>
              <w:left w:val="nil"/>
              <w:bottom w:val="single" w:sz="4" w:space="0" w:color="auto"/>
              <w:right w:val="single" w:sz="4" w:space="0" w:color="auto"/>
            </w:tcBorders>
            <w:vAlign w:val="center"/>
          </w:tcPr>
          <w:p w14:paraId="2D4E18EB" w14:textId="77777777" w:rsidR="00E579B9" w:rsidRDefault="006A1398">
            <w:pPr>
              <w:pStyle w:val="aa"/>
            </w:pPr>
            <w:r>
              <w:rPr>
                <w:rFonts w:hint="eastAsia"/>
              </w:rPr>
              <w:t>4000</w:t>
            </w:r>
          </w:p>
        </w:tc>
        <w:tc>
          <w:tcPr>
            <w:tcW w:w="1273" w:type="dxa"/>
            <w:tcBorders>
              <w:top w:val="single" w:sz="4" w:space="0" w:color="auto"/>
              <w:left w:val="nil"/>
              <w:bottom w:val="single" w:sz="4" w:space="0" w:color="auto"/>
              <w:right w:val="single" w:sz="4" w:space="0" w:color="auto"/>
            </w:tcBorders>
            <w:vAlign w:val="center"/>
          </w:tcPr>
          <w:p w14:paraId="281EB3C8" w14:textId="77777777" w:rsidR="00E579B9" w:rsidRDefault="006A1398">
            <w:pPr>
              <w:pStyle w:val="aa"/>
            </w:pPr>
            <w:r>
              <w:rPr>
                <w:rFonts w:hint="eastAsia"/>
              </w:rPr>
              <w:t>40</w:t>
            </w:r>
          </w:p>
        </w:tc>
        <w:tc>
          <w:tcPr>
            <w:tcW w:w="1196" w:type="dxa"/>
            <w:vMerge/>
            <w:tcBorders>
              <w:top w:val="nil"/>
              <w:left w:val="nil"/>
              <w:bottom w:val="single" w:sz="4" w:space="0" w:color="auto"/>
              <w:right w:val="single" w:sz="4" w:space="0" w:color="auto"/>
            </w:tcBorders>
            <w:vAlign w:val="center"/>
          </w:tcPr>
          <w:p w14:paraId="3CE3D347" w14:textId="77777777" w:rsidR="00E579B9" w:rsidRDefault="00E579B9">
            <w:pPr>
              <w:pStyle w:val="aa"/>
            </w:pPr>
          </w:p>
        </w:tc>
      </w:tr>
      <w:tr w:rsidR="00E579B9" w14:paraId="10E23414" w14:textId="77777777">
        <w:tc>
          <w:tcPr>
            <w:tcW w:w="695" w:type="dxa"/>
            <w:tcBorders>
              <w:top w:val="single" w:sz="4" w:space="0" w:color="auto"/>
              <w:left w:val="single" w:sz="4" w:space="0" w:color="auto"/>
              <w:bottom w:val="single" w:sz="4" w:space="0" w:color="auto"/>
              <w:right w:val="single" w:sz="4" w:space="0" w:color="auto"/>
            </w:tcBorders>
            <w:vAlign w:val="center"/>
          </w:tcPr>
          <w:p w14:paraId="5C39BFAA" w14:textId="77777777" w:rsidR="00E579B9" w:rsidRDefault="006A1398">
            <w:pPr>
              <w:pStyle w:val="aa"/>
            </w:pPr>
            <w:r>
              <w:rPr>
                <w:rFonts w:hint="eastAsia"/>
              </w:rPr>
              <w:t>O</w:t>
            </w:r>
            <w:r>
              <w:rPr>
                <w:rFonts w:hint="eastAsia"/>
                <w:vertAlign w:val="subscript"/>
              </w:rPr>
              <w:t>3</w:t>
            </w:r>
          </w:p>
        </w:tc>
        <w:tc>
          <w:tcPr>
            <w:tcW w:w="2904" w:type="dxa"/>
            <w:tcBorders>
              <w:top w:val="single" w:sz="4" w:space="0" w:color="auto"/>
              <w:left w:val="nil"/>
              <w:bottom w:val="single" w:sz="4" w:space="0" w:color="auto"/>
              <w:right w:val="single" w:sz="4" w:space="0" w:color="auto"/>
            </w:tcBorders>
            <w:vAlign w:val="center"/>
          </w:tcPr>
          <w:p w14:paraId="2E7AB241" w14:textId="77777777" w:rsidR="00E579B9" w:rsidRDefault="006A1398">
            <w:pPr>
              <w:pStyle w:val="aa"/>
            </w:pPr>
            <w:r>
              <w:rPr>
                <w:rFonts w:hint="eastAsia"/>
              </w:rPr>
              <w:t>日最大</w:t>
            </w:r>
            <w:r>
              <w:rPr>
                <w:rFonts w:hint="eastAsia"/>
              </w:rPr>
              <w:t>8</w:t>
            </w:r>
            <w:r>
              <w:rPr>
                <w:rFonts w:hint="eastAsia"/>
              </w:rPr>
              <w:t>小时滑动平均值的第</w:t>
            </w:r>
            <w:r>
              <w:rPr>
                <w:rFonts w:hint="eastAsia"/>
              </w:rPr>
              <w:t>90</w:t>
            </w:r>
            <w:proofErr w:type="gramStart"/>
            <w:r>
              <w:rPr>
                <w:rFonts w:hint="eastAsia"/>
              </w:rPr>
              <w:t>百</w:t>
            </w:r>
            <w:proofErr w:type="gramEnd"/>
            <w:r>
              <w:rPr>
                <w:rFonts w:hint="eastAsia"/>
              </w:rPr>
              <w:t>分位数</w:t>
            </w:r>
          </w:p>
        </w:tc>
        <w:tc>
          <w:tcPr>
            <w:tcW w:w="1499" w:type="dxa"/>
            <w:tcBorders>
              <w:top w:val="single" w:sz="4" w:space="0" w:color="auto"/>
              <w:left w:val="nil"/>
              <w:bottom w:val="single" w:sz="4" w:space="0" w:color="auto"/>
              <w:right w:val="single" w:sz="4" w:space="0" w:color="auto"/>
            </w:tcBorders>
            <w:vAlign w:val="center"/>
          </w:tcPr>
          <w:p w14:paraId="341524C1" w14:textId="77777777" w:rsidR="00E579B9" w:rsidRDefault="006A1398">
            <w:pPr>
              <w:pStyle w:val="aa"/>
            </w:pPr>
            <w:r>
              <w:rPr>
                <w:rFonts w:hint="eastAsia"/>
              </w:rPr>
              <w:t>180</w:t>
            </w:r>
          </w:p>
        </w:tc>
        <w:tc>
          <w:tcPr>
            <w:tcW w:w="1379" w:type="dxa"/>
            <w:tcBorders>
              <w:top w:val="single" w:sz="4" w:space="0" w:color="auto"/>
              <w:left w:val="nil"/>
              <w:bottom w:val="single" w:sz="4" w:space="0" w:color="auto"/>
              <w:right w:val="single" w:sz="4" w:space="0" w:color="auto"/>
            </w:tcBorders>
            <w:vAlign w:val="center"/>
          </w:tcPr>
          <w:p w14:paraId="2A2FE259" w14:textId="77777777" w:rsidR="00E579B9" w:rsidRDefault="006A1398">
            <w:pPr>
              <w:pStyle w:val="aa"/>
            </w:pPr>
            <w:r>
              <w:rPr>
                <w:rFonts w:hint="eastAsia"/>
              </w:rPr>
              <w:t>160</w:t>
            </w:r>
          </w:p>
        </w:tc>
        <w:tc>
          <w:tcPr>
            <w:tcW w:w="1273" w:type="dxa"/>
            <w:tcBorders>
              <w:top w:val="single" w:sz="4" w:space="0" w:color="auto"/>
              <w:left w:val="nil"/>
              <w:bottom w:val="single" w:sz="4" w:space="0" w:color="auto"/>
              <w:right w:val="single" w:sz="4" w:space="0" w:color="auto"/>
            </w:tcBorders>
            <w:vAlign w:val="center"/>
          </w:tcPr>
          <w:p w14:paraId="0A0B28D5" w14:textId="77777777" w:rsidR="00E579B9" w:rsidRDefault="006A1398">
            <w:pPr>
              <w:pStyle w:val="aa"/>
            </w:pPr>
            <w:r>
              <w:rPr>
                <w:rFonts w:hint="eastAsia"/>
              </w:rPr>
              <w:t>112.5</w:t>
            </w:r>
          </w:p>
        </w:tc>
        <w:tc>
          <w:tcPr>
            <w:tcW w:w="1196" w:type="dxa"/>
            <w:vMerge/>
            <w:tcBorders>
              <w:top w:val="nil"/>
              <w:left w:val="nil"/>
              <w:bottom w:val="single" w:sz="4" w:space="0" w:color="auto"/>
              <w:right w:val="single" w:sz="4" w:space="0" w:color="auto"/>
            </w:tcBorders>
            <w:vAlign w:val="center"/>
          </w:tcPr>
          <w:p w14:paraId="692A2534" w14:textId="77777777" w:rsidR="00E579B9" w:rsidRDefault="00E579B9">
            <w:pPr>
              <w:pStyle w:val="aa"/>
            </w:pPr>
          </w:p>
        </w:tc>
      </w:tr>
    </w:tbl>
    <w:p w14:paraId="50F4A43A" w14:textId="77777777" w:rsidR="00E579B9" w:rsidRDefault="006A1398">
      <w:r>
        <w:t>由</w:t>
      </w:r>
      <w:r>
        <w:rPr>
          <w:rFonts w:hint="eastAsia"/>
        </w:rPr>
        <w:t>统计结果可</w:t>
      </w:r>
      <w:r>
        <w:t>知，</w:t>
      </w:r>
      <w:r>
        <w:t>201</w:t>
      </w:r>
      <w:r>
        <w:rPr>
          <w:rFonts w:hint="eastAsia"/>
        </w:rPr>
        <w:t>8</w:t>
      </w:r>
      <w:r>
        <w:t>年</w:t>
      </w:r>
      <w:r>
        <w:rPr>
          <w:rFonts w:hint="eastAsia"/>
        </w:rPr>
        <w:t>驻马店市大气环境质量中</w:t>
      </w:r>
      <w:r>
        <w:t>SO</w:t>
      </w:r>
      <w:r>
        <w:rPr>
          <w:vertAlign w:val="subscript"/>
        </w:rPr>
        <w:t>2</w:t>
      </w:r>
      <w:r>
        <w:t>、</w:t>
      </w:r>
      <w:r>
        <w:t>NO</w:t>
      </w:r>
      <w:r>
        <w:rPr>
          <w:vertAlign w:val="subscript"/>
        </w:rPr>
        <w:t>2</w:t>
      </w:r>
      <w:r>
        <w:t>、</w:t>
      </w:r>
      <w:r>
        <w:t>CO</w:t>
      </w:r>
      <w:r>
        <w:t>满足《环境空气质量标准》（</w:t>
      </w:r>
      <w:r>
        <w:t>GB3095-2012</w:t>
      </w:r>
      <w:r>
        <w:t>）二级标准</w:t>
      </w:r>
      <w:r>
        <w:rPr>
          <w:rFonts w:hint="eastAsia"/>
        </w:rPr>
        <w:t>限值要求</w:t>
      </w:r>
      <w:r>
        <w:t>，</w:t>
      </w:r>
      <w:r>
        <w:t>PM</w:t>
      </w:r>
      <w:r>
        <w:rPr>
          <w:vertAlign w:val="subscript"/>
        </w:rPr>
        <w:t>2.5</w:t>
      </w:r>
      <w:r>
        <w:t>、</w:t>
      </w:r>
      <w:r>
        <w:t>PM</w:t>
      </w:r>
      <w:r>
        <w:rPr>
          <w:vertAlign w:val="subscript"/>
        </w:rPr>
        <w:t>10</w:t>
      </w:r>
      <w:r>
        <w:t>、</w:t>
      </w:r>
      <w:r>
        <w:t>O</w:t>
      </w:r>
      <w:r>
        <w:rPr>
          <w:vertAlign w:val="subscript"/>
        </w:rPr>
        <w:t>3</w:t>
      </w:r>
      <w:r>
        <w:rPr>
          <w:rFonts w:hint="eastAsia"/>
        </w:rPr>
        <w:t>不满足标准要求</w:t>
      </w:r>
      <w:r>
        <w:t>。</w:t>
      </w:r>
      <w:r>
        <w:rPr>
          <w:rFonts w:hint="eastAsia"/>
        </w:rPr>
        <w:t>因此，判断项目所在区域属于不达标区。</w:t>
      </w:r>
    </w:p>
    <w:p w14:paraId="544D316A" w14:textId="77777777" w:rsidR="00E579B9" w:rsidRDefault="006A1398">
      <w:r>
        <w:t>4.3.1.2</w:t>
      </w:r>
      <w:r>
        <w:t>环境空气</w:t>
      </w:r>
      <w:r>
        <w:rPr>
          <w:rFonts w:hint="eastAsia"/>
        </w:rPr>
        <w:t>补充</w:t>
      </w:r>
      <w:r>
        <w:t>现状监测与评价</w:t>
      </w:r>
    </w:p>
    <w:p w14:paraId="306DA260" w14:textId="77777777" w:rsidR="00E579B9" w:rsidRDefault="006A1398">
      <w:r>
        <w:t>1</w:t>
      </w:r>
      <w:r>
        <w:rPr>
          <w:rFonts w:hint="eastAsia"/>
        </w:rPr>
        <w:t>、</w:t>
      </w:r>
      <w:r>
        <w:t>环境空气质量现状监测</w:t>
      </w:r>
    </w:p>
    <w:p w14:paraId="78FB01CE" w14:textId="77777777" w:rsidR="00E579B9" w:rsidRDefault="006A1398">
      <w:r>
        <w:t>（</w:t>
      </w:r>
      <w:r>
        <w:t>1</w:t>
      </w:r>
      <w:r>
        <w:t>）监测点位</w:t>
      </w:r>
    </w:p>
    <w:p w14:paraId="5081403C" w14:textId="77777777" w:rsidR="00E579B9" w:rsidRDefault="006A1398">
      <w:r>
        <w:lastRenderedPageBreak/>
        <w:t>本项目地区主导风向为</w:t>
      </w:r>
      <w:r>
        <w:t>N</w:t>
      </w:r>
      <w:r>
        <w:t>，按照环境影响评价技术导则要求，本次结合项目区主导风向和周边的环境敏感点在评价区域设置了</w:t>
      </w:r>
      <w:r>
        <w:t>2</w:t>
      </w:r>
      <w:r>
        <w:t>个环境空气质量现状监测点，为</w:t>
      </w:r>
      <w:r>
        <w:rPr>
          <w:rFonts w:hint="eastAsia"/>
        </w:rPr>
        <w:t>矿区</w:t>
      </w:r>
      <w:r>
        <w:t>、西下庄。</w:t>
      </w:r>
    </w:p>
    <w:p w14:paraId="098A1624" w14:textId="77777777" w:rsidR="00E579B9" w:rsidRDefault="006A1398">
      <w:r>
        <w:t>（</w:t>
      </w:r>
      <w:r>
        <w:t>2</w:t>
      </w:r>
      <w:r>
        <w:t>）监测项目</w:t>
      </w:r>
    </w:p>
    <w:p w14:paraId="11801C7A" w14:textId="77777777" w:rsidR="00E579B9" w:rsidRDefault="006A1398">
      <w:r>
        <w:t>监测项目为</w:t>
      </w:r>
      <w:r>
        <w:t>TSP</w:t>
      </w:r>
      <w:r>
        <w:t>，同时记录风速、风向、气压、气温、总云量、低云量等气象要素。</w:t>
      </w:r>
    </w:p>
    <w:p w14:paraId="7AD12D0A" w14:textId="77777777" w:rsidR="00E579B9" w:rsidRDefault="006A1398">
      <w:r>
        <w:t>（</w:t>
      </w:r>
      <w:r>
        <w:t>3</w:t>
      </w:r>
      <w:r>
        <w:t>）监测频次</w:t>
      </w:r>
    </w:p>
    <w:p w14:paraId="45B9C5BA" w14:textId="77777777" w:rsidR="00E579B9" w:rsidRDefault="006A1398">
      <w:r>
        <w:t>本次大气环境现状监测于</w:t>
      </w:r>
      <w:r>
        <w:t>20</w:t>
      </w:r>
      <w:r>
        <w:rPr>
          <w:rFonts w:hint="eastAsia"/>
        </w:rPr>
        <w:t>20</w:t>
      </w:r>
      <w:r>
        <w:t>年</w:t>
      </w:r>
      <w:r>
        <w:rPr>
          <w:rFonts w:hint="eastAsia"/>
        </w:rPr>
        <w:t>2</w:t>
      </w:r>
      <w:r>
        <w:t>月</w:t>
      </w:r>
      <w:r>
        <w:t>1</w:t>
      </w:r>
      <w:r>
        <w:t>日</w:t>
      </w:r>
      <w:r>
        <w:t>~20</w:t>
      </w:r>
      <w:r>
        <w:rPr>
          <w:rFonts w:hint="eastAsia"/>
        </w:rPr>
        <w:t>20</w:t>
      </w:r>
      <w:r>
        <w:t>年</w:t>
      </w:r>
      <w:r>
        <w:rPr>
          <w:rFonts w:hint="eastAsia"/>
        </w:rPr>
        <w:t>2</w:t>
      </w:r>
      <w:r>
        <w:t>月</w:t>
      </w:r>
      <w:r>
        <w:rPr>
          <w:rFonts w:hint="eastAsia"/>
        </w:rPr>
        <w:t>7</w:t>
      </w:r>
      <w:r>
        <w:t>日期间进行，连续监测</w:t>
      </w:r>
      <w:r>
        <w:t>7</w:t>
      </w:r>
      <w:r>
        <w:t>天。环境空气监测时间及频次见表</w:t>
      </w:r>
      <w:r>
        <w:t>4.3-2</w:t>
      </w:r>
      <w:r>
        <w:t>。</w:t>
      </w:r>
    </w:p>
    <w:p w14:paraId="02E35C65" w14:textId="77777777" w:rsidR="00E579B9" w:rsidRDefault="006A1398">
      <w:pPr>
        <w:pStyle w:val="21"/>
      </w:pPr>
      <w:r>
        <w:t>表</w:t>
      </w:r>
      <w:r>
        <w:t>4.3-2</w:t>
      </w:r>
      <w:r>
        <w:t>环境空气监测时间及频率一览表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bottom w:w="68" w:type="dxa"/>
        </w:tblCellMar>
        <w:tblLook w:val="04A0" w:firstRow="1" w:lastRow="0" w:firstColumn="1" w:lastColumn="0" w:noHBand="0" w:noVBand="1"/>
      </w:tblPr>
      <w:tblGrid>
        <w:gridCol w:w="1315"/>
        <w:gridCol w:w="1543"/>
        <w:gridCol w:w="5897"/>
      </w:tblGrid>
      <w:tr w:rsidR="00E579B9" w14:paraId="02B0AE48" w14:textId="77777777">
        <w:trPr>
          <w:trHeight w:val="397"/>
        </w:trPr>
        <w:tc>
          <w:tcPr>
            <w:tcW w:w="1315" w:type="dxa"/>
            <w:tcBorders>
              <w:top w:val="single" w:sz="4" w:space="0" w:color="auto"/>
              <w:left w:val="single" w:sz="4" w:space="0" w:color="auto"/>
              <w:bottom w:val="single" w:sz="4" w:space="0" w:color="auto"/>
              <w:right w:val="single" w:sz="4" w:space="0" w:color="auto"/>
            </w:tcBorders>
            <w:vAlign w:val="center"/>
          </w:tcPr>
          <w:p w14:paraId="675C50C7" w14:textId="77777777" w:rsidR="00E579B9" w:rsidRDefault="006A1398">
            <w:pPr>
              <w:widowControl w:val="0"/>
              <w:spacing w:line="260" w:lineRule="exact"/>
              <w:ind w:firstLineChars="0" w:firstLine="420"/>
              <w:jc w:val="center"/>
              <w:rPr>
                <w:rFonts w:cs="Times New Roman"/>
                <w:sz w:val="21"/>
                <w:szCs w:val="21"/>
              </w:rPr>
            </w:pPr>
            <w:r>
              <w:rPr>
                <w:rFonts w:cs="Times New Roman"/>
                <w:sz w:val="21"/>
                <w:szCs w:val="21"/>
              </w:rPr>
              <w:t>污染物名称</w:t>
            </w:r>
          </w:p>
        </w:tc>
        <w:tc>
          <w:tcPr>
            <w:tcW w:w="1543" w:type="dxa"/>
            <w:tcBorders>
              <w:top w:val="single" w:sz="4" w:space="0" w:color="auto"/>
              <w:left w:val="nil"/>
              <w:bottom w:val="single" w:sz="4" w:space="0" w:color="auto"/>
              <w:right w:val="single" w:sz="4" w:space="0" w:color="auto"/>
            </w:tcBorders>
            <w:vAlign w:val="center"/>
          </w:tcPr>
          <w:p w14:paraId="5B93C413" w14:textId="77777777" w:rsidR="00E579B9" w:rsidRDefault="006A1398">
            <w:pPr>
              <w:widowControl w:val="0"/>
              <w:spacing w:line="260" w:lineRule="exact"/>
              <w:ind w:firstLineChars="0" w:firstLine="0"/>
              <w:jc w:val="center"/>
              <w:rPr>
                <w:rFonts w:cs="Times New Roman"/>
                <w:sz w:val="21"/>
                <w:szCs w:val="21"/>
              </w:rPr>
            </w:pPr>
            <w:r>
              <w:rPr>
                <w:rFonts w:cs="Times New Roman"/>
                <w:sz w:val="21"/>
                <w:szCs w:val="21"/>
              </w:rPr>
              <w:t>监测项目</w:t>
            </w:r>
          </w:p>
        </w:tc>
        <w:tc>
          <w:tcPr>
            <w:tcW w:w="5897" w:type="dxa"/>
            <w:tcBorders>
              <w:top w:val="single" w:sz="4" w:space="0" w:color="auto"/>
              <w:left w:val="nil"/>
              <w:bottom w:val="single" w:sz="4" w:space="0" w:color="auto"/>
              <w:right w:val="single" w:sz="4" w:space="0" w:color="auto"/>
            </w:tcBorders>
            <w:vAlign w:val="center"/>
          </w:tcPr>
          <w:p w14:paraId="4ED5FF51" w14:textId="77777777" w:rsidR="00E579B9" w:rsidRDefault="006A1398">
            <w:pPr>
              <w:widowControl w:val="0"/>
              <w:spacing w:line="260" w:lineRule="exact"/>
              <w:ind w:firstLineChars="0" w:firstLine="0"/>
              <w:jc w:val="center"/>
              <w:rPr>
                <w:rFonts w:cs="Times New Roman"/>
                <w:sz w:val="21"/>
                <w:szCs w:val="21"/>
              </w:rPr>
            </w:pPr>
            <w:r>
              <w:rPr>
                <w:rFonts w:cs="Times New Roman"/>
                <w:sz w:val="21"/>
                <w:szCs w:val="21"/>
              </w:rPr>
              <w:t>监测频率</w:t>
            </w:r>
          </w:p>
        </w:tc>
      </w:tr>
      <w:tr w:rsidR="00E579B9" w14:paraId="48724C83" w14:textId="77777777">
        <w:trPr>
          <w:trHeight w:val="397"/>
        </w:trPr>
        <w:tc>
          <w:tcPr>
            <w:tcW w:w="1315" w:type="dxa"/>
            <w:tcBorders>
              <w:top w:val="single" w:sz="4" w:space="0" w:color="auto"/>
              <w:left w:val="single" w:sz="4" w:space="0" w:color="auto"/>
              <w:bottom w:val="single" w:sz="4" w:space="0" w:color="auto"/>
              <w:right w:val="single" w:sz="4" w:space="0" w:color="auto"/>
            </w:tcBorders>
            <w:vAlign w:val="center"/>
          </w:tcPr>
          <w:p w14:paraId="4F1AAA31" w14:textId="77777777" w:rsidR="00E579B9" w:rsidRDefault="006A1398">
            <w:pPr>
              <w:widowControl w:val="0"/>
              <w:spacing w:line="360" w:lineRule="exact"/>
              <w:ind w:firstLineChars="0" w:firstLine="0"/>
              <w:jc w:val="center"/>
              <w:rPr>
                <w:rFonts w:cs="Times New Roman"/>
                <w:color w:val="000000"/>
                <w:sz w:val="21"/>
                <w:szCs w:val="21"/>
              </w:rPr>
            </w:pPr>
            <w:r>
              <w:rPr>
                <w:rFonts w:cs="Times New Roman"/>
                <w:color w:val="000000"/>
                <w:sz w:val="21"/>
                <w:szCs w:val="21"/>
              </w:rPr>
              <w:t>TSP</w:t>
            </w:r>
          </w:p>
        </w:tc>
        <w:tc>
          <w:tcPr>
            <w:tcW w:w="1543" w:type="dxa"/>
            <w:tcBorders>
              <w:top w:val="single" w:sz="4" w:space="0" w:color="auto"/>
              <w:left w:val="nil"/>
              <w:bottom w:val="single" w:sz="4" w:space="0" w:color="auto"/>
              <w:right w:val="single" w:sz="4" w:space="0" w:color="auto"/>
            </w:tcBorders>
            <w:vAlign w:val="center"/>
          </w:tcPr>
          <w:p w14:paraId="4CFFEFD2" w14:textId="77777777" w:rsidR="00E579B9" w:rsidRDefault="006A1398">
            <w:pPr>
              <w:widowControl w:val="0"/>
              <w:spacing w:line="360" w:lineRule="exact"/>
              <w:ind w:firstLineChars="0" w:firstLine="0"/>
              <w:jc w:val="center"/>
              <w:rPr>
                <w:rFonts w:ascii="宋体" w:hAnsi="宋体" w:cs="Times New Roman"/>
                <w:color w:val="000000"/>
                <w:sz w:val="21"/>
                <w:szCs w:val="21"/>
              </w:rPr>
            </w:pPr>
            <w:r>
              <w:rPr>
                <w:rFonts w:ascii="宋体" w:hAnsi="宋体" w:cs="Times New Roman" w:hint="eastAsia"/>
                <w:color w:val="000000"/>
                <w:sz w:val="21"/>
                <w:szCs w:val="21"/>
              </w:rPr>
              <w:t>1小时平均</w:t>
            </w:r>
          </w:p>
        </w:tc>
        <w:tc>
          <w:tcPr>
            <w:tcW w:w="5897" w:type="dxa"/>
            <w:tcBorders>
              <w:top w:val="single" w:sz="4" w:space="0" w:color="auto"/>
              <w:left w:val="nil"/>
              <w:bottom w:val="single" w:sz="4" w:space="0" w:color="auto"/>
              <w:right w:val="single" w:sz="4" w:space="0" w:color="auto"/>
            </w:tcBorders>
            <w:vAlign w:val="center"/>
          </w:tcPr>
          <w:p w14:paraId="11A029DA" w14:textId="77777777" w:rsidR="00E579B9" w:rsidRDefault="006A1398">
            <w:pPr>
              <w:widowControl w:val="0"/>
              <w:spacing w:line="360" w:lineRule="exact"/>
              <w:ind w:firstLineChars="0" w:firstLine="0"/>
              <w:jc w:val="center"/>
              <w:rPr>
                <w:rFonts w:cs="Times New Roman"/>
                <w:color w:val="000000"/>
                <w:sz w:val="21"/>
                <w:szCs w:val="21"/>
              </w:rPr>
            </w:pPr>
            <w:r>
              <w:rPr>
                <w:rFonts w:cs="Times New Roman"/>
                <w:color w:val="000000"/>
                <w:sz w:val="21"/>
                <w:szCs w:val="21"/>
              </w:rPr>
              <w:t>连续监测</w:t>
            </w:r>
            <w:r>
              <w:rPr>
                <w:rFonts w:cs="Times New Roman"/>
                <w:color w:val="000000"/>
                <w:sz w:val="21"/>
                <w:szCs w:val="21"/>
              </w:rPr>
              <w:t>7</w:t>
            </w:r>
            <w:r>
              <w:rPr>
                <w:rFonts w:ascii="宋体" w:hAnsi="宋体" w:cs="Times New Roman"/>
                <w:color w:val="000000"/>
                <w:sz w:val="21"/>
                <w:szCs w:val="21"/>
              </w:rPr>
              <w:t>天，每天采样</w:t>
            </w:r>
            <w:r>
              <w:rPr>
                <w:rFonts w:cs="Times New Roman"/>
                <w:color w:val="000000"/>
                <w:sz w:val="21"/>
                <w:szCs w:val="21"/>
              </w:rPr>
              <w:t>4</w:t>
            </w:r>
            <w:r>
              <w:rPr>
                <w:rFonts w:ascii="宋体" w:hAnsi="宋体" w:cs="Times New Roman"/>
                <w:color w:val="000000"/>
                <w:sz w:val="21"/>
                <w:szCs w:val="21"/>
              </w:rPr>
              <w:t>次</w:t>
            </w:r>
            <w:r>
              <w:rPr>
                <w:rFonts w:ascii="宋体" w:hAnsi="宋体" w:cs="Times New Roman" w:hint="eastAsia"/>
                <w:color w:val="000000"/>
                <w:sz w:val="21"/>
                <w:szCs w:val="21"/>
              </w:rPr>
              <w:t>，每次采样时间不小于</w:t>
            </w:r>
            <w:r>
              <w:rPr>
                <w:rFonts w:cs="Times New Roman" w:hint="eastAsia"/>
                <w:color w:val="000000"/>
                <w:sz w:val="21"/>
                <w:szCs w:val="21"/>
              </w:rPr>
              <w:t>45</w:t>
            </w:r>
            <w:r>
              <w:rPr>
                <w:rFonts w:ascii="宋体" w:hAnsi="宋体" w:cs="Times New Roman" w:hint="eastAsia"/>
                <w:color w:val="000000"/>
                <w:sz w:val="21"/>
                <w:szCs w:val="21"/>
              </w:rPr>
              <w:t>分钟</w:t>
            </w:r>
          </w:p>
        </w:tc>
      </w:tr>
    </w:tbl>
    <w:p w14:paraId="63EE1FE5" w14:textId="77777777" w:rsidR="00E579B9" w:rsidRDefault="006A1398">
      <w:r>
        <w:t>（</w:t>
      </w:r>
      <w:r>
        <w:t>4</w:t>
      </w:r>
      <w:r>
        <w:t>）监测方法</w:t>
      </w:r>
    </w:p>
    <w:p w14:paraId="414A7A05" w14:textId="77777777" w:rsidR="00E579B9" w:rsidRDefault="006A1398">
      <w:r>
        <w:t>环境空气质量监测按（</w:t>
      </w:r>
      <w:r>
        <w:t>GB3095-2012</w:t>
      </w:r>
      <w:r>
        <w:t>）中关于监测、分析的有关规定进行，监测分析方法见表</w:t>
      </w:r>
      <w:r>
        <w:t>4.3-3</w:t>
      </w:r>
      <w:r>
        <w:t>。</w:t>
      </w:r>
    </w:p>
    <w:p w14:paraId="6137E5E2" w14:textId="77777777" w:rsidR="00E579B9" w:rsidRDefault="006A1398">
      <w:pPr>
        <w:pStyle w:val="21"/>
      </w:pPr>
      <w:r>
        <w:t>表</w:t>
      </w:r>
      <w:r>
        <w:t>4.3-3</w:t>
      </w:r>
      <w:r>
        <w:t>监测分析方法一览表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2150"/>
        <w:gridCol w:w="2749"/>
      </w:tblGrid>
      <w:tr w:rsidR="00E579B9" w14:paraId="7C9E5FBD" w14:textId="77777777">
        <w:trPr>
          <w:trHeight w:val="272"/>
          <w:jc w:val="center"/>
        </w:trPr>
        <w:tc>
          <w:tcPr>
            <w:tcW w:w="1271" w:type="dxa"/>
            <w:tcMar>
              <w:left w:w="0" w:type="dxa"/>
              <w:right w:w="0" w:type="dxa"/>
            </w:tcMar>
            <w:vAlign w:val="center"/>
          </w:tcPr>
          <w:p w14:paraId="387B07A9" w14:textId="77777777" w:rsidR="00E579B9" w:rsidRDefault="006A1398">
            <w:pPr>
              <w:pStyle w:val="aa"/>
            </w:pPr>
            <w:r>
              <w:t>监测项目</w:t>
            </w:r>
          </w:p>
        </w:tc>
        <w:tc>
          <w:tcPr>
            <w:tcW w:w="2126" w:type="dxa"/>
            <w:tcMar>
              <w:left w:w="0" w:type="dxa"/>
              <w:right w:w="0" w:type="dxa"/>
            </w:tcMar>
            <w:vAlign w:val="center"/>
          </w:tcPr>
          <w:p w14:paraId="62E1C232" w14:textId="77777777" w:rsidR="00E579B9" w:rsidRDefault="006A1398">
            <w:pPr>
              <w:pStyle w:val="aa"/>
            </w:pPr>
            <w:r>
              <w:t>分析方法</w:t>
            </w:r>
          </w:p>
        </w:tc>
        <w:tc>
          <w:tcPr>
            <w:tcW w:w="2150" w:type="dxa"/>
            <w:tcMar>
              <w:left w:w="0" w:type="dxa"/>
              <w:right w:w="0" w:type="dxa"/>
            </w:tcMar>
            <w:vAlign w:val="center"/>
          </w:tcPr>
          <w:p w14:paraId="09E3F646" w14:textId="77777777" w:rsidR="00E579B9" w:rsidRDefault="006A1398">
            <w:pPr>
              <w:pStyle w:val="aa"/>
            </w:pPr>
            <w:r>
              <w:t>方法依据</w:t>
            </w:r>
          </w:p>
        </w:tc>
        <w:tc>
          <w:tcPr>
            <w:tcW w:w="2749" w:type="dxa"/>
            <w:tcMar>
              <w:left w:w="0" w:type="dxa"/>
              <w:right w:w="0" w:type="dxa"/>
            </w:tcMar>
            <w:vAlign w:val="center"/>
          </w:tcPr>
          <w:p w14:paraId="096B8372" w14:textId="77777777" w:rsidR="00E579B9" w:rsidRDefault="006A1398">
            <w:pPr>
              <w:pStyle w:val="aa"/>
            </w:pPr>
            <w:r>
              <w:t>检出限</w:t>
            </w:r>
          </w:p>
        </w:tc>
      </w:tr>
      <w:tr w:rsidR="00E579B9" w14:paraId="0A91A546" w14:textId="77777777">
        <w:trPr>
          <w:trHeight w:val="225"/>
          <w:jc w:val="center"/>
        </w:trPr>
        <w:tc>
          <w:tcPr>
            <w:tcW w:w="1271" w:type="dxa"/>
            <w:tcMar>
              <w:left w:w="0" w:type="dxa"/>
              <w:right w:w="0" w:type="dxa"/>
            </w:tcMar>
            <w:vAlign w:val="center"/>
          </w:tcPr>
          <w:p w14:paraId="62CBBFC2" w14:textId="77777777" w:rsidR="00E579B9" w:rsidRDefault="006A1398">
            <w:pPr>
              <w:pStyle w:val="aa"/>
            </w:pPr>
            <w:r>
              <w:t>TSP</w:t>
            </w:r>
          </w:p>
        </w:tc>
        <w:tc>
          <w:tcPr>
            <w:tcW w:w="2126" w:type="dxa"/>
            <w:tcMar>
              <w:left w:w="0" w:type="dxa"/>
              <w:right w:w="0" w:type="dxa"/>
            </w:tcMar>
            <w:vAlign w:val="center"/>
          </w:tcPr>
          <w:p w14:paraId="3D88571C" w14:textId="77777777" w:rsidR="00E579B9" w:rsidRDefault="006A1398">
            <w:pPr>
              <w:pStyle w:val="aa"/>
            </w:pPr>
            <w:r>
              <w:t>重量法</w:t>
            </w:r>
          </w:p>
        </w:tc>
        <w:tc>
          <w:tcPr>
            <w:tcW w:w="2150" w:type="dxa"/>
            <w:tcMar>
              <w:left w:w="0" w:type="dxa"/>
              <w:right w:w="0" w:type="dxa"/>
            </w:tcMar>
            <w:vAlign w:val="center"/>
          </w:tcPr>
          <w:p w14:paraId="32829AA6" w14:textId="77777777" w:rsidR="00E579B9" w:rsidRDefault="006A1398">
            <w:pPr>
              <w:pStyle w:val="aa"/>
            </w:pPr>
            <w:r>
              <w:t>GB/T15432-1995</w:t>
            </w:r>
          </w:p>
        </w:tc>
        <w:tc>
          <w:tcPr>
            <w:tcW w:w="2749" w:type="dxa"/>
            <w:tcMar>
              <w:left w:w="0" w:type="dxa"/>
              <w:right w:w="0" w:type="dxa"/>
            </w:tcMar>
            <w:vAlign w:val="center"/>
          </w:tcPr>
          <w:p w14:paraId="5773A519" w14:textId="77777777" w:rsidR="00E579B9" w:rsidRDefault="006A1398">
            <w:pPr>
              <w:pStyle w:val="aa"/>
            </w:pPr>
            <w:r>
              <w:t>1μg/m</w:t>
            </w:r>
            <w:r>
              <w:rPr>
                <w:vertAlign w:val="superscript"/>
              </w:rPr>
              <w:t>3</w:t>
            </w:r>
          </w:p>
        </w:tc>
      </w:tr>
    </w:tbl>
    <w:p w14:paraId="107E2535" w14:textId="77777777" w:rsidR="00E579B9" w:rsidRDefault="006A1398">
      <w:r>
        <w:t>2</w:t>
      </w:r>
      <w:r>
        <w:rPr>
          <w:rFonts w:hint="eastAsia"/>
        </w:rPr>
        <w:t>、</w:t>
      </w:r>
      <w:r>
        <w:t>环境空气质量现状评价</w:t>
      </w:r>
    </w:p>
    <w:p w14:paraId="52660D43" w14:textId="77777777" w:rsidR="00E579B9" w:rsidRDefault="006A1398">
      <w:r>
        <w:t>（</w:t>
      </w:r>
      <w:r>
        <w:t>1</w:t>
      </w:r>
      <w:r>
        <w:t>）评价标准</w:t>
      </w:r>
    </w:p>
    <w:p w14:paraId="3017A738" w14:textId="77777777" w:rsidR="00E579B9" w:rsidRDefault="006A1398">
      <w:r>
        <w:t>根据</w:t>
      </w:r>
      <w:r>
        <w:rPr>
          <w:rFonts w:hint="eastAsia"/>
        </w:rPr>
        <w:t>驻马店市</w:t>
      </w:r>
      <w:proofErr w:type="gramStart"/>
      <w:r>
        <w:t>驿</w:t>
      </w:r>
      <w:proofErr w:type="gramEnd"/>
      <w:r>
        <w:t>城区环境保护局对本项目环境影响评价执行标准的意见，本次环境空气质量现状评价执行标准为《环境空气质量标准》（</w:t>
      </w:r>
      <w:r>
        <w:t>GB3095-2012</w:t>
      </w:r>
      <w:r>
        <w:t>）二级标准。</w:t>
      </w:r>
    </w:p>
    <w:p w14:paraId="1676EE0E" w14:textId="77777777" w:rsidR="00E579B9" w:rsidRDefault="006A1398">
      <w:r>
        <w:t>（</w:t>
      </w:r>
      <w:r>
        <w:t>2</w:t>
      </w:r>
      <w:r>
        <w:t>）评价方法</w:t>
      </w:r>
    </w:p>
    <w:p w14:paraId="6B975956" w14:textId="77777777" w:rsidR="00E579B9" w:rsidRDefault="006A1398">
      <w:pPr>
        <w:rPr>
          <w:lang w:val="zh-CN"/>
        </w:rPr>
      </w:pPr>
      <w:r>
        <w:rPr>
          <w:lang w:val="zh-CN"/>
        </w:rPr>
        <w:t>采用单因子指数法，其计算公式如下：</w:t>
      </w:r>
    </w:p>
    <w:p w14:paraId="284B38AC" w14:textId="77777777" w:rsidR="00E579B9" w:rsidRDefault="006A1398">
      <w:pPr>
        <w:rPr>
          <w:vertAlign w:val="subscript"/>
          <w:lang w:val="zh-CN"/>
        </w:rPr>
      </w:pPr>
      <w:r>
        <w:rPr>
          <w:lang w:val="zh-CN"/>
        </w:rPr>
        <w:t>P</w:t>
      </w:r>
      <w:r>
        <w:rPr>
          <w:vertAlign w:val="subscript"/>
          <w:lang w:val="zh-CN"/>
        </w:rPr>
        <w:t>i</w:t>
      </w:r>
      <w:r>
        <w:rPr>
          <w:lang w:val="zh-CN"/>
        </w:rPr>
        <w:t>=C</w:t>
      </w:r>
      <w:r>
        <w:rPr>
          <w:vertAlign w:val="subscript"/>
          <w:lang w:val="zh-CN"/>
        </w:rPr>
        <w:t>i</w:t>
      </w:r>
      <w:r>
        <w:rPr>
          <w:lang w:val="zh-CN"/>
        </w:rPr>
        <w:t>/S</w:t>
      </w:r>
      <w:r>
        <w:rPr>
          <w:vertAlign w:val="subscript"/>
          <w:lang w:val="zh-CN"/>
        </w:rPr>
        <w:t>i</w:t>
      </w:r>
    </w:p>
    <w:p w14:paraId="68C9DED8" w14:textId="77777777" w:rsidR="00E579B9" w:rsidRDefault="006A1398">
      <w:pPr>
        <w:rPr>
          <w:lang w:val="zh-CN"/>
        </w:rPr>
      </w:pPr>
      <w:r>
        <w:rPr>
          <w:lang w:val="zh-CN"/>
        </w:rPr>
        <w:t>式中：</w:t>
      </w:r>
      <w:r>
        <w:rPr>
          <w:lang w:val="zh-CN"/>
        </w:rPr>
        <w:t>P</w:t>
      </w:r>
      <w:r>
        <w:rPr>
          <w:vertAlign w:val="subscript"/>
          <w:lang w:val="zh-CN"/>
        </w:rPr>
        <w:t>i</w:t>
      </w:r>
      <w:r>
        <w:rPr>
          <w:lang w:val="zh-CN"/>
        </w:rPr>
        <w:t>—i</w:t>
      </w:r>
      <w:r>
        <w:rPr>
          <w:lang w:val="zh-CN"/>
        </w:rPr>
        <w:t>种污染物的单因子指数</w:t>
      </w:r>
    </w:p>
    <w:p w14:paraId="237705CC" w14:textId="77777777" w:rsidR="00E579B9" w:rsidRDefault="006A1398">
      <w:pPr>
        <w:rPr>
          <w:lang w:val="zh-CN"/>
        </w:rPr>
      </w:pPr>
      <w:r>
        <w:rPr>
          <w:lang w:val="zh-CN"/>
        </w:rPr>
        <w:t>C</w:t>
      </w:r>
      <w:r>
        <w:rPr>
          <w:vertAlign w:val="subscript"/>
          <w:lang w:val="zh-CN"/>
        </w:rPr>
        <w:t>i</w:t>
      </w:r>
      <w:r>
        <w:rPr>
          <w:lang w:val="zh-CN"/>
        </w:rPr>
        <w:t>—i</w:t>
      </w:r>
      <w:r>
        <w:rPr>
          <w:lang w:val="zh-CN"/>
        </w:rPr>
        <w:t>种污染物的实测浓度（</w:t>
      </w:r>
      <w:r>
        <w:rPr>
          <w:lang w:val="zh-CN"/>
        </w:rPr>
        <w:t>ug/m</w:t>
      </w:r>
      <w:r>
        <w:rPr>
          <w:vertAlign w:val="superscript"/>
          <w:lang w:val="zh-CN"/>
        </w:rPr>
        <w:t>3</w:t>
      </w:r>
      <w:r>
        <w:rPr>
          <w:lang w:val="zh-CN"/>
        </w:rPr>
        <w:t>）</w:t>
      </w:r>
    </w:p>
    <w:p w14:paraId="28262A38" w14:textId="77777777" w:rsidR="00E579B9" w:rsidRDefault="006A1398">
      <w:pPr>
        <w:rPr>
          <w:lang w:val="zh-CN"/>
        </w:rPr>
      </w:pPr>
      <w:r>
        <w:rPr>
          <w:lang w:val="zh-CN"/>
        </w:rPr>
        <w:t>S</w:t>
      </w:r>
      <w:r>
        <w:rPr>
          <w:vertAlign w:val="subscript"/>
          <w:lang w:val="zh-CN"/>
        </w:rPr>
        <w:t>i</w:t>
      </w:r>
      <w:r>
        <w:rPr>
          <w:lang w:val="zh-CN"/>
        </w:rPr>
        <w:t>—i</w:t>
      </w:r>
      <w:r>
        <w:rPr>
          <w:lang w:val="zh-CN"/>
        </w:rPr>
        <w:t>种污染物的评价标准（</w:t>
      </w:r>
      <w:r>
        <w:rPr>
          <w:lang w:val="zh-CN"/>
        </w:rPr>
        <w:t>ug/m</w:t>
      </w:r>
      <w:r>
        <w:rPr>
          <w:vertAlign w:val="superscript"/>
          <w:lang w:val="zh-CN"/>
        </w:rPr>
        <w:t>3</w:t>
      </w:r>
      <w:r>
        <w:rPr>
          <w:lang w:val="zh-CN"/>
        </w:rPr>
        <w:t>）</w:t>
      </w:r>
    </w:p>
    <w:p w14:paraId="5B2E6848" w14:textId="77777777" w:rsidR="00E579B9" w:rsidRDefault="006A1398">
      <w:r>
        <w:lastRenderedPageBreak/>
        <w:t>并根据计算结果，指出超标项目、最大值超标倍数及超标的原因。</w:t>
      </w:r>
    </w:p>
    <w:p w14:paraId="1E636601" w14:textId="77777777" w:rsidR="00E579B9" w:rsidRDefault="006A1398">
      <w:r>
        <w:t>（</w:t>
      </w:r>
      <w:r>
        <w:t>3</w:t>
      </w:r>
      <w:r>
        <w:t>）监测结果及评价结论</w:t>
      </w:r>
    </w:p>
    <w:p w14:paraId="664CF1A7" w14:textId="77777777" w:rsidR="00E579B9" w:rsidRDefault="006A1398">
      <w:r>
        <w:t>项目大气环境质量现状监测时段为</w:t>
      </w:r>
      <w:r>
        <w:t>20</w:t>
      </w:r>
      <w:r>
        <w:rPr>
          <w:rFonts w:hint="eastAsia"/>
        </w:rPr>
        <w:t>20</w:t>
      </w:r>
      <w:r>
        <w:t>年</w:t>
      </w:r>
      <w:r>
        <w:rPr>
          <w:rFonts w:hint="eastAsia"/>
        </w:rPr>
        <w:t>2</w:t>
      </w:r>
      <w:r>
        <w:t>月</w:t>
      </w:r>
      <w:r>
        <w:t>1</w:t>
      </w:r>
      <w:r>
        <w:t>日</w:t>
      </w:r>
      <w:r>
        <w:t>~20</w:t>
      </w:r>
      <w:r>
        <w:rPr>
          <w:rFonts w:hint="eastAsia"/>
        </w:rPr>
        <w:t>20</w:t>
      </w:r>
      <w:r>
        <w:t>年</w:t>
      </w:r>
      <w:r>
        <w:rPr>
          <w:rFonts w:hint="eastAsia"/>
        </w:rPr>
        <w:t>2</w:t>
      </w:r>
      <w:r>
        <w:t>月</w:t>
      </w:r>
      <w:r>
        <w:rPr>
          <w:rFonts w:hint="eastAsia"/>
        </w:rPr>
        <w:t>7</w:t>
      </w:r>
      <w:r>
        <w:t>日，各项监测因子监测统计结果分别见表</w:t>
      </w:r>
      <w:r>
        <w:t>4.3-4</w:t>
      </w:r>
      <w:r>
        <w:t>。</w:t>
      </w:r>
    </w:p>
    <w:p w14:paraId="30DF83D6" w14:textId="77777777" w:rsidR="00E579B9" w:rsidRDefault="006A1398">
      <w:pPr>
        <w:pStyle w:val="21"/>
      </w:pPr>
      <w:r>
        <w:t>表</w:t>
      </w:r>
      <w:r>
        <w:t>4.3-4</w:t>
      </w:r>
      <w:r>
        <w:t>环境空气质量现状监测结果一览表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1478"/>
        <w:gridCol w:w="1661"/>
        <w:gridCol w:w="1659"/>
        <w:gridCol w:w="1659"/>
      </w:tblGrid>
      <w:tr w:rsidR="00E579B9" w14:paraId="4446B7CB" w14:textId="77777777">
        <w:trPr>
          <w:trHeight w:val="454"/>
          <w:jc w:val="center"/>
        </w:trPr>
        <w:tc>
          <w:tcPr>
            <w:tcW w:w="1839" w:type="dxa"/>
            <w:vMerge w:val="restart"/>
            <w:vAlign w:val="center"/>
          </w:tcPr>
          <w:p w14:paraId="09D17F5D" w14:textId="77777777" w:rsidR="00E579B9" w:rsidRDefault="006A1398">
            <w:pPr>
              <w:pStyle w:val="aa"/>
            </w:pPr>
            <w:r>
              <w:rPr>
                <w:rFonts w:hint="eastAsia"/>
              </w:rPr>
              <w:t>采样时间</w:t>
            </w:r>
          </w:p>
        </w:tc>
        <w:tc>
          <w:tcPr>
            <w:tcW w:w="3139" w:type="dxa"/>
            <w:gridSpan w:val="2"/>
            <w:vAlign w:val="center"/>
          </w:tcPr>
          <w:p w14:paraId="450FC55D" w14:textId="77777777" w:rsidR="00E579B9" w:rsidRDefault="006A1398">
            <w:pPr>
              <w:pStyle w:val="aa"/>
            </w:pPr>
            <w:r>
              <w:rPr>
                <w:rFonts w:hint="eastAsia"/>
              </w:rPr>
              <w:t>矿区</w:t>
            </w:r>
          </w:p>
        </w:tc>
        <w:tc>
          <w:tcPr>
            <w:tcW w:w="3318" w:type="dxa"/>
            <w:gridSpan w:val="2"/>
          </w:tcPr>
          <w:p w14:paraId="09134B91" w14:textId="77777777" w:rsidR="00E579B9" w:rsidRDefault="006A1398">
            <w:pPr>
              <w:pStyle w:val="aa"/>
            </w:pPr>
            <w:r>
              <w:rPr>
                <w:rFonts w:hint="eastAsia"/>
              </w:rPr>
              <w:t>西下庄</w:t>
            </w:r>
          </w:p>
        </w:tc>
      </w:tr>
      <w:tr w:rsidR="00E579B9" w14:paraId="6FAD093E" w14:textId="77777777">
        <w:trPr>
          <w:trHeight w:val="454"/>
          <w:jc w:val="center"/>
        </w:trPr>
        <w:tc>
          <w:tcPr>
            <w:tcW w:w="1839" w:type="dxa"/>
            <w:vMerge/>
            <w:vAlign w:val="center"/>
          </w:tcPr>
          <w:p w14:paraId="6805B079" w14:textId="77777777" w:rsidR="00E579B9" w:rsidRDefault="00E579B9">
            <w:pPr>
              <w:pStyle w:val="aa"/>
            </w:pPr>
          </w:p>
        </w:tc>
        <w:tc>
          <w:tcPr>
            <w:tcW w:w="1478" w:type="dxa"/>
            <w:vAlign w:val="center"/>
          </w:tcPr>
          <w:p w14:paraId="3D5007F8" w14:textId="77777777" w:rsidR="00E579B9" w:rsidRDefault="006A1398">
            <w:pPr>
              <w:pStyle w:val="aa"/>
            </w:pPr>
            <w:r>
              <w:rPr>
                <w:rFonts w:hint="eastAsia"/>
              </w:rPr>
              <w:t>TSP(</w:t>
            </w:r>
            <w:r>
              <w:rPr>
                <w:rFonts w:hint="eastAsia"/>
              </w:rPr>
              <w:t>日均值</w:t>
            </w:r>
            <w:r>
              <w:rPr>
                <w:rFonts w:hint="eastAsia"/>
              </w:rPr>
              <w:t>)</w:t>
            </w:r>
          </w:p>
          <w:p w14:paraId="424E9228" w14:textId="77777777" w:rsidR="00E579B9" w:rsidRDefault="006A1398">
            <w:pPr>
              <w:pStyle w:val="aa"/>
            </w:pPr>
            <w:r>
              <w:rPr>
                <w:rFonts w:hint="eastAsia"/>
              </w:rPr>
              <w:t>(mg/m</w:t>
            </w:r>
            <w:r>
              <w:rPr>
                <w:rFonts w:hint="eastAsia"/>
                <w:vertAlign w:val="superscript"/>
              </w:rPr>
              <w:t>3</w:t>
            </w:r>
            <w:r>
              <w:rPr>
                <w:rFonts w:hint="eastAsia"/>
              </w:rPr>
              <w:t>)</w:t>
            </w:r>
          </w:p>
        </w:tc>
        <w:tc>
          <w:tcPr>
            <w:tcW w:w="1661" w:type="dxa"/>
          </w:tcPr>
          <w:p w14:paraId="5B49D2EF" w14:textId="77777777" w:rsidR="00E579B9" w:rsidRDefault="006A1398">
            <w:pPr>
              <w:pStyle w:val="aa"/>
            </w:pPr>
            <w:r>
              <w:rPr>
                <w:rFonts w:hint="eastAsia"/>
              </w:rPr>
              <w:t>标准指数</w:t>
            </w:r>
          </w:p>
        </w:tc>
        <w:tc>
          <w:tcPr>
            <w:tcW w:w="1659" w:type="dxa"/>
          </w:tcPr>
          <w:p w14:paraId="3A2E02D3" w14:textId="77777777" w:rsidR="00E579B9" w:rsidRDefault="006A1398">
            <w:pPr>
              <w:pStyle w:val="aa"/>
            </w:pPr>
            <w:r>
              <w:rPr>
                <w:rFonts w:hint="eastAsia"/>
              </w:rPr>
              <w:t>TSP(</w:t>
            </w:r>
            <w:r>
              <w:rPr>
                <w:rFonts w:hint="eastAsia"/>
              </w:rPr>
              <w:t>日均值</w:t>
            </w:r>
            <w:r>
              <w:rPr>
                <w:rFonts w:hint="eastAsia"/>
              </w:rPr>
              <w:t>)</w:t>
            </w:r>
          </w:p>
          <w:p w14:paraId="122F36FD" w14:textId="77777777" w:rsidR="00E579B9" w:rsidRDefault="006A1398">
            <w:pPr>
              <w:pStyle w:val="aa"/>
            </w:pPr>
            <w:r>
              <w:rPr>
                <w:rFonts w:hint="eastAsia"/>
              </w:rPr>
              <w:t>(mg/m</w:t>
            </w:r>
            <w:r>
              <w:rPr>
                <w:rFonts w:hint="eastAsia"/>
                <w:vertAlign w:val="superscript"/>
              </w:rPr>
              <w:t>3</w:t>
            </w:r>
            <w:r>
              <w:rPr>
                <w:rFonts w:hint="eastAsia"/>
              </w:rPr>
              <w:t>)</w:t>
            </w:r>
          </w:p>
        </w:tc>
        <w:tc>
          <w:tcPr>
            <w:tcW w:w="1659" w:type="dxa"/>
          </w:tcPr>
          <w:p w14:paraId="385D55B0" w14:textId="77777777" w:rsidR="00E579B9" w:rsidRDefault="006A1398">
            <w:pPr>
              <w:pStyle w:val="aa"/>
            </w:pPr>
            <w:r>
              <w:rPr>
                <w:rFonts w:hint="eastAsia"/>
              </w:rPr>
              <w:t>标准指数</w:t>
            </w:r>
          </w:p>
        </w:tc>
      </w:tr>
      <w:tr w:rsidR="00E579B9" w14:paraId="35E7B18A" w14:textId="77777777">
        <w:trPr>
          <w:trHeight w:val="337"/>
          <w:jc w:val="center"/>
        </w:trPr>
        <w:tc>
          <w:tcPr>
            <w:tcW w:w="1839" w:type="dxa"/>
            <w:shd w:val="clear" w:color="auto" w:fill="auto"/>
            <w:vAlign w:val="center"/>
          </w:tcPr>
          <w:p w14:paraId="5C48743A" w14:textId="77777777" w:rsidR="00E579B9" w:rsidRDefault="006A1398">
            <w:pPr>
              <w:pStyle w:val="aa"/>
            </w:pPr>
            <w:r>
              <w:t>2020</w:t>
            </w:r>
            <w:r>
              <w:t>年</w:t>
            </w:r>
            <w:r>
              <w:rPr>
                <w:rFonts w:hint="eastAsia"/>
              </w:rPr>
              <w:t>2</w:t>
            </w:r>
            <w:r>
              <w:t>月</w:t>
            </w:r>
            <w:r>
              <w:t>1</w:t>
            </w:r>
            <w:r>
              <w:t>日</w:t>
            </w:r>
          </w:p>
        </w:tc>
        <w:tc>
          <w:tcPr>
            <w:tcW w:w="1478" w:type="dxa"/>
            <w:vAlign w:val="center"/>
          </w:tcPr>
          <w:p w14:paraId="629FB3B4" w14:textId="77777777" w:rsidR="00E579B9" w:rsidRDefault="006A1398">
            <w:pPr>
              <w:pStyle w:val="aa"/>
            </w:pPr>
            <w:r>
              <w:t>0.02</w:t>
            </w:r>
            <w:r>
              <w:rPr>
                <w:rFonts w:hint="eastAsia"/>
              </w:rPr>
              <w:t>5</w:t>
            </w:r>
          </w:p>
        </w:tc>
        <w:tc>
          <w:tcPr>
            <w:tcW w:w="1661" w:type="dxa"/>
          </w:tcPr>
          <w:p w14:paraId="23BDEA0B" w14:textId="77777777" w:rsidR="00E579B9" w:rsidRDefault="006A1398">
            <w:pPr>
              <w:pStyle w:val="aa"/>
            </w:pPr>
            <w:r>
              <w:rPr>
                <w:rFonts w:hint="eastAsia"/>
              </w:rPr>
              <w:t>0.0833</w:t>
            </w:r>
          </w:p>
        </w:tc>
        <w:tc>
          <w:tcPr>
            <w:tcW w:w="1659" w:type="dxa"/>
          </w:tcPr>
          <w:p w14:paraId="47C85FD1" w14:textId="77777777" w:rsidR="00E579B9" w:rsidRDefault="006A1398">
            <w:pPr>
              <w:pStyle w:val="aa"/>
            </w:pPr>
            <w:r>
              <w:rPr>
                <w:rFonts w:hint="eastAsia"/>
              </w:rPr>
              <w:t>0.024</w:t>
            </w:r>
          </w:p>
        </w:tc>
        <w:tc>
          <w:tcPr>
            <w:tcW w:w="1659" w:type="dxa"/>
          </w:tcPr>
          <w:p w14:paraId="6D10BB20" w14:textId="77777777" w:rsidR="00E579B9" w:rsidRDefault="006A1398">
            <w:pPr>
              <w:pStyle w:val="aa"/>
            </w:pPr>
            <w:r>
              <w:rPr>
                <w:rFonts w:hint="eastAsia"/>
              </w:rPr>
              <w:t>0.08</w:t>
            </w:r>
          </w:p>
        </w:tc>
      </w:tr>
      <w:tr w:rsidR="00E579B9" w14:paraId="61BDB6B3" w14:textId="77777777">
        <w:trPr>
          <w:trHeight w:val="257"/>
          <w:jc w:val="center"/>
        </w:trPr>
        <w:tc>
          <w:tcPr>
            <w:tcW w:w="1839" w:type="dxa"/>
            <w:shd w:val="clear" w:color="auto" w:fill="auto"/>
            <w:vAlign w:val="center"/>
          </w:tcPr>
          <w:p w14:paraId="1492B8CD" w14:textId="77777777" w:rsidR="00E579B9" w:rsidRDefault="006A1398">
            <w:pPr>
              <w:pStyle w:val="aa"/>
            </w:pPr>
            <w:r>
              <w:t>2020</w:t>
            </w:r>
            <w:r>
              <w:rPr>
                <w:rFonts w:hint="eastAsia"/>
              </w:rPr>
              <w:t>年</w:t>
            </w:r>
            <w:r>
              <w:rPr>
                <w:rFonts w:hint="eastAsia"/>
              </w:rPr>
              <w:t>2</w:t>
            </w:r>
            <w:r>
              <w:t>月</w:t>
            </w:r>
            <w:r>
              <w:rPr>
                <w:rFonts w:hint="eastAsia"/>
              </w:rPr>
              <w:t>2</w:t>
            </w:r>
            <w:r>
              <w:t>日</w:t>
            </w:r>
          </w:p>
        </w:tc>
        <w:tc>
          <w:tcPr>
            <w:tcW w:w="1478" w:type="dxa"/>
            <w:vAlign w:val="center"/>
          </w:tcPr>
          <w:p w14:paraId="5BC856C1" w14:textId="77777777" w:rsidR="00E579B9" w:rsidRDefault="006A1398">
            <w:pPr>
              <w:pStyle w:val="aa"/>
            </w:pPr>
            <w:r>
              <w:t>0.02</w:t>
            </w:r>
            <w:r>
              <w:rPr>
                <w:rFonts w:hint="eastAsia"/>
              </w:rPr>
              <w:t>6</w:t>
            </w:r>
          </w:p>
        </w:tc>
        <w:tc>
          <w:tcPr>
            <w:tcW w:w="1661" w:type="dxa"/>
          </w:tcPr>
          <w:p w14:paraId="2FB5127D" w14:textId="77777777" w:rsidR="00E579B9" w:rsidRDefault="006A1398">
            <w:pPr>
              <w:pStyle w:val="aa"/>
            </w:pPr>
            <w:r>
              <w:rPr>
                <w:rFonts w:hint="eastAsia"/>
              </w:rPr>
              <w:t>0.0867</w:t>
            </w:r>
          </w:p>
        </w:tc>
        <w:tc>
          <w:tcPr>
            <w:tcW w:w="1659" w:type="dxa"/>
          </w:tcPr>
          <w:p w14:paraId="50932039" w14:textId="77777777" w:rsidR="00E579B9" w:rsidRDefault="006A1398">
            <w:pPr>
              <w:pStyle w:val="aa"/>
            </w:pPr>
            <w:r>
              <w:rPr>
                <w:rFonts w:hint="eastAsia"/>
              </w:rPr>
              <w:t>0.023</w:t>
            </w:r>
          </w:p>
        </w:tc>
        <w:tc>
          <w:tcPr>
            <w:tcW w:w="1659" w:type="dxa"/>
          </w:tcPr>
          <w:p w14:paraId="37480A3E" w14:textId="77777777" w:rsidR="00E579B9" w:rsidRDefault="006A1398">
            <w:pPr>
              <w:pStyle w:val="aa"/>
            </w:pPr>
            <w:r>
              <w:rPr>
                <w:rFonts w:hint="eastAsia"/>
              </w:rPr>
              <w:t>0.0767</w:t>
            </w:r>
          </w:p>
        </w:tc>
      </w:tr>
      <w:tr w:rsidR="00E579B9" w14:paraId="052D80F1" w14:textId="77777777">
        <w:trPr>
          <w:trHeight w:val="403"/>
          <w:jc w:val="center"/>
        </w:trPr>
        <w:tc>
          <w:tcPr>
            <w:tcW w:w="1839" w:type="dxa"/>
            <w:shd w:val="clear" w:color="auto" w:fill="auto"/>
            <w:vAlign w:val="center"/>
          </w:tcPr>
          <w:p w14:paraId="4616EA7C" w14:textId="77777777" w:rsidR="00E579B9" w:rsidRDefault="006A1398">
            <w:pPr>
              <w:pStyle w:val="aa"/>
            </w:pPr>
            <w:r>
              <w:t>2020</w:t>
            </w:r>
            <w:r>
              <w:t>年</w:t>
            </w:r>
            <w:r>
              <w:rPr>
                <w:rFonts w:hint="eastAsia"/>
              </w:rPr>
              <w:t>2</w:t>
            </w:r>
            <w:r>
              <w:t>月</w:t>
            </w:r>
            <w:r>
              <w:rPr>
                <w:rFonts w:hint="eastAsia"/>
              </w:rPr>
              <w:t>3</w:t>
            </w:r>
            <w:r>
              <w:t>日</w:t>
            </w:r>
          </w:p>
        </w:tc>
        <w:tc>
          <w:tcPr>
            <w:tcW w:w="1478" w:type="dxa"/>
            <w:vAlign w:val="center"/>
          </w:tcPr>
          <w:p w14:paraId="782E81BE" w14:textId="77777777" w:rsidR="00E579B9" w:rsidRDefault="006A1398">
            <w:pPr>
              <w:pStyle w:val="aa"/>
            </w:pPr>
            <w:r>
              <w:t>0.03</w:t>
            </w:r>
            <w:r>
              <w:rPr>
                <w:rFonts w:hint="eastAsia"/>
              </w:rPr>
              <w:t>0</w:t>
            </w:r>
          </w:p>
        </w:tc>
        <w:tc>
          <w:tcPr>
            <w:tcW w:w="1661" w:type="dxa"/>
          </w:tcPr>
          <w:p w14:paraId="2B34490A" w14:textId="77777777" w:rsidR="00E579B9" w:rsidRDefault="006A1398">
            <w:pPr>
              <w:pStyle w:val="aa"/>
            </w:pPr>
            <w:r>
              <w:rPr>
                <w:rFonts w:hint="eastAsia"/>
              </w:rPr>
              <w:t>0.1</w:t>
            </w:r>
          </w:p>
        </w:tc>
        <w:tc>
          <w:tcPr>
            <w:tcW w:w="1659" w:type="dxa"/>
          </w:tcPr>
          <w:p w14:paraId="0FE2D795" w14:textId="77777777" w:rsidR="00E579B9" w:rsidRDefault="006A1398">
            <w:pPr>
              <w:pStyle w:val="aa"/>
            </w:pPr>
            <w:r>
              <w:rPr>
                <w:rFonts w:hint="eastAsia"/>
              </w:rPr>
              <w:t>0.022</w:t>
            </w:r>
          </w:p>
        </w:tc>
        <w:tc>
          <w:tcPr>
            <w:tcW w:w="1659" w:type="dxa"/>
          </w:tcPr>
          <w:p w14:paraId="0C752588" w14:textId="77777777" w:rsidR="00E579B9" w:rsidRDefault="006A1398">
            <w:pPr>
              <w:pStyle w:val="aa"/>
            </w:pPr>
            <w:r>
              <w:rPr>
                <w:rFonts w:hint="eastAsia"/>
              </w:rPr>
              <w:t>0.0733</w:t>
            </w:r>
          </w:p>
        </w:tc>
      </w:tr>
      <w:tr w:rsidR="00E579B9" w14:paraId="151D3120" w14:textId="77777777">
        <w:trPr>
          <w:trHeight w:val="281"/>
          <w:jc w:val="center"/>
        </w:trPr>
        <w:tc>
          <w:tcPr>
            <w:tcW w:w="1839" w:type="dxa"/>
            <w:shd w:val="clear" w:color="auto" w:fill="auto"/>
            <w:vAlign w:val="center"/>
          </w:tcPr>
          <w:p w14:paraId="3DB8494F" w14:textId="77777777" w:rsidR="00E579B9" w:rsidRDefault="006A1398">
            <w:pPr>
              <w:pStyle w:val="aa"/>
            </w:pPr>
            <w:r>
              <w:t>2020</w:t>
            </w:r>
            <w:r>
              <w:t>年</w:t>
            </w:r>
            <w:r>
              <w:rPr>
                <w:rFonts w:hint="eastAsia"/>
              </w:rPr>
              <w:t>2</w:t>
            </w:r>
            <w:r>
              <w:t>月</w:t>
            </w:r>
            <w:r>
              <w:rPr>
                <w:rFonts w:hint="eastAsia"/>
              </w:rPr>
              <w:t>4</w:t>
            </w:r>
            <w:r>
              <w:t>日</w:t>
            </w:r>
          </w:p>
        </w:tc>
        <w:tc>
          <w:tcPr>
            <w:tcW w:w="1478" w:type="dxa"/>
            <w:vAlign w:val="center"/>
          </w:tcPr>
          <w:p w14:paraId="61E13889" w14:textId="77777777" w:rsidR="00E579B9" w:rsidRDefault="006A1398">
            <w:pPr>
              <w:pStyle w:val="aa"/>
            </w:pPr>
            <w:r>
              <w:t>0.02</w:t>
            </w:r>
            <w:r>
              <w:rPr>
                <w:rFonts w:hint="eastAsia"/>
              </w:rPr>
              <w:t>8</w:t>
            </w:r>
          </w:p>
        </w:tc>
        <w:tc>
          <w:tcPr>
            <w:tcW w:w="1661" w:type="dxa"/>
          </w:tcPr>
          <w:p w14:paraId="1842BBA2" w14:textId="77777777" w:rsidR="00E579B9" w:rsidRDefault="006A1398">
            <w:pPr>
              <w:pStyle w:val="aa"/>
            </w:pPr>
            <w:r>
              <w:rPr>
                <w:rFonts w:hint="eastAsia"/>
              </w:rPr>
              <w:t>0.0933</w:t>
            </w:r>
          </w:p>
        </w:tc>
        <w:tc>
          <w:tcPr>
            <w:tcW w:w="1659" w:type="dxa"/>
          </w:tcPr>
          <w:p w14:paraId="532503DA" w14:textId="77777777" w:rsidR="00E579B9" w:rsidRDefault="006A1398">
            <w:pPr>
              <w:pStyle w:val="aa"/>
            </w:pPr>
            <w:r>
              <w:rPr>
                <w:rFonts w:hint="eastAsia"/>
              </w:rPr>
              <w:t>0.028</w:t>
            </w:r>
          </w:p>
        </w:tc>
        <w:tc>
          <w:tcPr>
            <w:tcW w:w="1659" w:type="dxa"/>
          </w:tcPr>
          <w:p w14:paraId="4E119F68" w14:textId="77777777" w:rsidR="00E579B9" w:rsidRDefault="006A1398">
            <w:pPr>
              <w:pStyle w:val="aa"/>
            </w:pPr>
            <w:r>
              <w:t>0.0933</w:t>
            </w:r>
          </w:p>
        </w:tc>
      </w:tr>
      <w:tr w:rsidR="00E579B9" w14:paraId="57CD068E" w14:textId="77777777">
        <w:trPr>
          <w:trHeight w:val="270"/>
          <w:jc w:val="center"/>
        </w:trPr>
        <w:tc>
          <w:tcPr>
            <w:tcW w:w="1839" w:type="dxa"/>
            <w:vAlign w:val="center"/>
          </w:tcPr>
          <w:p w14:paraId="1BF25206" w14:textId="77777777" w:rsidR="00E579B9" w:rsidRDefault="006A1398">
            <w:pPr>
              <w:pStyle w:val="aa"/>
            </w:pPr>
            <w:r>
              <w:t>2020</w:t>
            </w:r>
            <w:r>
              <w:t>年</w:t>
            </w:r>
            <w:r>
              <w:rPr>
                <w:rFonts w:hint="eastAsia"/>
              </w:rPr>
              <w:t>2</w:t>
            </w:r>
            <w:r>
              <w:t>月</w:t>
            </w:r>
            <w:r>
              <w:rPr>
                <w:rFonts w:hint="eastAsia"/>
              </w:rPr>
              <w:t>5</w:t>
            </w:r>
            <w:r>
              <w:t>日</w:t>
            </w:r>
          </w:p>
        </w:tc>
        <w:tc>
          <w:tcPr>
            <w:tcW w:w="1478" w:type="dxa"/>
            <w:vAlign w:val="center"/>
          </w:tcPr>
          <w:p w14:paraId="3A4168E7" w14:textId="77777777" w:rsidR="00E579B9" w:rsidRDefault="006A1398">
            <w:pPr>
              <w:pStyle w:val="aa"/>
            </w:pPr>
            <w:r>
              <w:t>0.02</w:t>
            </w:r>
            <w:r>
              <w:rPr>
                <w:rFonts w:hint="eastAsia"/>
              </w:rPr>
              <w:t>4</w:t>
            </w:r>
          </w:p>
        </w:tc>
        <w:tc>
          <w:tcPr>
            <w:tcW w:w="1661" w:type="dxa"/>
          </w:tcPr>
          <w:p w14:paraId="7A622CA6" w14:textId="77777777" w:rsidR="00E579B9" w:rsidRDefault="006A1398">
            <w:pPr>
              <w:pStyle w:val="aa"/>
            </w:pPr>
            <w:r>
              <w:rPr>
                <w:rFonts w:hint="eastAsia"/>
              </w:rPr>
              <w:t>0.08</w:t>
            </w:r>
          </w:p>
        </w:tc>
        <w:tc>
          <w:tcPr>
            <w:tcW w:w="1659" w:type="dxa"/>
          </w:tcPr>
          <w:p w14:paraId="2357C821" w14:textId="77777777" w:rsidR="00E579B9" w:rsidRDefault="006A1398">
            <w:pPr>
              <w:pStyle w:val="aa"/>
            </w:pPr>
            <w:r>
              <w:rPr>
                <w:rFonts w:hint="eastAsia"/>
              </w:rPr>
              <w:t>0.025</w:t>
            </w:r>
          </w:p>
        </w:tc>
        <w:tc>
          <w:tcPr>
            <w:tcW w:w="1659" w:type="dxa"/>
          </w:tcPr>
          <w:p w14:paraId="79A55C26" w14:textId="77777777" w:rsidR="00E579B9" w:rsidRDefault="006A1398">
            <w:pPr>
              <w:pStyle w:val="aa"/>
            </w:pPr>
            <w:r>
              <w:rPr>
                <w:rFonts w:hint="eastAsia"/>
              </w:rPr>
              <w:t>0.0833</w:t>
            </w:r>
          </w:p>
        </w:tc>
      </w:tr>
      <w:tr w:rsidR="00E579B9" w14:paraId="31528C0F" w14:textId="77777777">
        <w:trPr>
          <w:trHeight w:val="277"/>
          <w:jc w:val="center"/>
        </w:trPr>
        <w:tc>
          <w:tcPr>
            <w:tcW w:w="1839" w:type="dxa"/>
            <w:vAlign w:val="center"/>
          </w:tcPr>
          <w:p w14:paraId="6F814D06" w14:textId="77777777" w:rsidR="00E579B9" w:rsidRDefault="006A1398">
            <w:pPr>
              <w:pStyle w:val="aa"/>
            </w:pPr>
            <w:r>
              <w:t>2020</w:t>
            </w:r>
            <w:r>
              <w:t>年</w:t>
            </w:r>
            <w:r>
              <w:rPr>
                <w:rFonts w:hint="eastAsia"/>
              </w:rPr>
              <w:t>2</w:t>
            </w:r>
            <w:r>
              <w:t>月</w:t>
            </w:r>
            <w:r>
              <w:rPr>
                <w:rFonts w:hint="eastAsia"/>
              </w:rPr>
              <w:t>6</w:t>
            </w:r>
            <w:r>
              <w:t>日</w:t>
            </w:r>
          </w:p>
        </w:tc>
        <w:tc>
          <w:tcPr>
            <w:tcW w:w="1478" w:type="dxa"/>
            <w:vAlign w:val="center"/>
          </w:tcPr>
          <w:p w14:paraId="4E74DE68" w14:textId="77777777" w:rsidR="00E579B9" w:rsidRDefault="006A1398">
            <w:pPr>
              <w:pStyle w:val="aa"/>
            </w:pPr>
            <w:r>
              <w:t>0.02</w:t>
            </w:r>
            <w:r>
              <w:rPr>
                <w:rFonts w:hint="eastAsia"/>
              </w:rPr>
              <w:t>5</w:t>
            </w:r>
          </w:p>
        </w:tc>
        <w:tc>
          <w:tcPr>
            <w:tcW w:w="1661" w:type="dxa"/>
          </w:tcPr>
          <w:p w14:paraId="7485261A" w14:textId="77777777" w:rsidR="00E579B9" w:rsidRDefault="006A1398">
            <w:pPr>
              <w:pStyle w:val="aa"/>
            </w:pPr>
            <w:r>
              <w:rPr>
                <w:rFonts w:hint="eastAsia"/>
              </w:rPr>
              <w:t>0.0833</w:t>
            </w:r>
          </w:p>
        </w:tc>
        <w:tc>
          <w:tcPr>
            <w:tcW w:w="1659" w:type="dxa"/>
          </w:tcPr>
          <w:p w14:paraId="3313A9FC" w14:textId="77777777" w:rsidR="00E579B9" w:rsidRDefault="006A1398">
            <w:pPr>
              <w:pStyle w:val="aa"/>
            </w:pPr>
            <w:r>
              <w:rPr>
                <w:rFonts w:hint="eastAsia"/>
              </w:rPr>
              <w:t>0.023</w:t>
            </w:r>
          </w:p>
        </w:tc>
        <w:tc>
          <w:tcPr>
            <w:tcW w:w="1659" w:type="dxa"/>
          </w:tcPr>
          <w:p w14:paraId="146CE9D0" w14:textId="77777777" w:rsidR="00E579B9" w:rsidRDefault="006A1398">
            <w:pPr>
              <w:pStyle w:val="aa"/>
            </w:pPr>
            <w:r>
              <w:rPr>
                <w:rFonts w:hint="eastAsia"/>
              </w:rPr>
              <w:t>0.0767</w:t>
            </w:r>
          </w:p>
        </w:tc>
      </w:tr>
      <w:tr w:rsidR="00E579B9" w14:paraId="0B0E1D7E" w14:textId="77777777">
        <w:trPr>
          <w:trHeight w:val="48"/>
          <w:jc w:val="center"/>
        </w:trPr>
        <w:tc>
          <w:tcPr>
            <w:tcW w:w="1839" w:type="dxa"/>
            <w:vAlign w:val="center"/>
          </w:tcPr>
          <w:p w14:paraId="46D3D777" w14:textId="77777777" w:rsidR="00E579B9" w:rsidRDefault="006A1398">
            <w:pPr>
              <w:pStyle w:val="aa"/>
            </w:pPr>
            <w:r>
              <w:t>2020</w:t>
            </w:r>
            <w:r>
              <w:t>年</w:t>
            </w:r>
            <w:r>
              <w:rPr>
                <w:rFonts w:hint="eastAsia"/>
              </w:rPr>
              <w:t>2</w:t>
            </w:r>
            <w:r>
              <w:t>月</w:t>
            </w:r>
            <w:r>
              <w:rPr>
                <w:rFonts w:hint="eastAsia"/>
              </w:rPr>
              <w:t>7</w:t>
            </w:r>
            <w:r>
              <w:t>日</w:t>
            </w:r>
          </w:p>
        </w:tc>
        <w:tc>
          <w:tcPr>
            <w:tcW w:w="1478" w:type="dxa"/>
            <w:vAlign w:val="center"/>
          </w:tcPr>
          <w:p w14:paraId="47FDDD07" w14:textId="77777777" w:rsidR="00E579B9" w:rsidRDefault="006A1398">
            <w:pPr>
              <w:pStyle w:val="aa"/>
            </w:pPr>
            <w:r>
              <w:t>0.02</w:t>
            </w:r>
            <w:r>
              <w:rPr>
                <w:rFonts w:hint="eastAsia"/>
              </w:rPr>
              <w:t>7</w:t>
            </w:r>
          </w:p>
        </w:tc>
        <w:tc>
          <w:tcPr>
            <w:tcW w:w="1661" w:type="dxa"/>
          </w:tcPr>
          <w:p w14:paraId="7115257D" w14:textId="77777777" w:rsidR="00E579B9" w:rsidRDefault="006A1398">
            <w:pPr>
              <w:pStyle w:val="aa"/>
            </w:pPr>
            <w:r>
              <w:rPr>
                <w:rFonts w:hint="eastAsia"/>
              </w:rPr>
              <w:t>0.09</w:t>
            </w:r>
          </w:p>
        </w:tc>
        <w:tc>
          <w:tcPr>
            <w:tcW w:w="1659" w:type="dxa"/>
          </w:tcPr>
          <w:p w14:paraId="534C2558" w14:textId="77777777" w:rsidR="00E579B9" w:rsidRDefault="006A1398">
            <w:pPr>
              <w:pStyle w:val="aa"/>
            </w:pPr>
            <w:r>
              <w:rPr>
                <w:rFonts w:hint="eastAsia"/>
              </w:rPr>
              <w:t>0.020</w:t>
            </w:r>
          </w:p>
        </w:tc>
        <w:tc>
          <w:tcPr>
            <w:tcW w:w="1659" w:type="dxa"/>
          </w:tcPr>
          <w:p w14:paraId="2B418167" w14:textId="77777777" w:rsidR="00E579B9" w:rsidRDefault="006A1398">
            <w:pPr>
              <w:pStyle w:val="aa"/>
            </w:pPr>
            <w:r>
              <w:rPr>
                <w:rFonts w:hint="eastAsia"/>
              </w:rPr>
              <w:t>0.0667</w:t>
            </w:r>
          </w:p>
        </w:tc>
      </w:tr>
    </w:tbl>
    <w:p w14:paraId="378E32C8" w14:textId="77777777" w:rsidR="00E579B9" w:rsidRDefault="006A1398">
      <w:r>
        <w:t>监测结果表明，</w:t>
      </w:r>
      <w:proofErr w:type="gramStart"/>
      <w:r>
        <w:t>评价区</w:t>
      </w:r>
      <w:proofErr w:type="gramEnd"/>
      <w:r>
        <w:t>TSP</w:t>
      </w:r>
      <w:r>
        <w:rPr>
          <w:rFonts w:hint="eastAsia"/>
        </w:rPr>
        <w:t>日均浓度值</w:t>
      </w:r>
      <w:r>
        <w:t>均无超标现象，达标率</w:t>
      </w:r>
      <w:r>
        <w:t>100%</w:t>
      </w:r>
      <w:r>
        <w:t>。表明</w:t>
      </w:r>
      <w:proofErr w:type="gramStart"/>
      <w:r>
        <w:t>评价区</w:t>
      </w:r>
      <w:proofErr w:type="gramEnd"/>
      <w:r>
        <w:t>环境空气质量能够达到</w:t>
      </w:r>
      <w:r>
        <w:t>GB3095-2012</w:t>
      </w:r>
      <w:r>
        <w:t>《环境空气质量标准》</w:t>
      </w:r>
      <w:r>
        <w:t>2</w:t>
      </w:r>
      <w:r>
        <w:t>级标准。</w:t>
      </w:r>
      <w:bookmarkStart w:id="201" w:name="_Hlk499645400"/>
    </w:p>
    <w:p w14:paraId="653EEB7C" w14:textId="77777777" w:rsidR="00E579B9" w:rsidRDefault="006A1398">
      <w:pPr>
        <w:pStyle w:val="3"/>
        <w:ind w:firstLine="560"/>
      </w:pPr>
      <w:bookmarkStart w:id="202" w:name="_Toc531939354"/>
      <w:bookmarkStart w:id="203" w:name="_Toc531939565"/>
      <w:r>
        <w:t>4.3.2</w:t>
      </w:r>
      <w:r>
        <w:t>地表水环境质量现状监测与评价</w:t>
      </w:r>
      <w:bookmarkEnd w:id="202"/>
      <w:bookmarkEnd w:id="203"/>
    </w:p>
    <w:p w14:paraId="39DCE32B" w14:textId="77777777" w:rsidR="00E579B9" w:rsidRDefault="006A1398">
      <w:bookmarkStart w:id="204" w:name="_Toc531939566"/>
      <w:bookmarkStart w:id="205" w:name="_Toc531939355"/>
      <w:r>
        <w:t>本次地表水环境质量现状评价监测数据</w:t>
      </w:r>
      <w:proofErr w:type="gramStart"/>
      <w:r>
        <w:t>引用驻</w:t>
      </w:r>
      <w:proofErr w:type="gramEnd"/>
      <w:r>
        <w:t>马店市环境保护局</w:t>
      </w:r>
      <w:r>
        <w:t>2018</w:t>
      </w:r>
      <w:r>
        <w:t>年</w:t>
      </w:r>
      <w:r>
        <w:rPr>
          <w:rFonts w:hint="eastAsia"/>
        </w:rPr>
        <w:t>十</w:t>
      </w:r>
      <w:r>
        <w:t>月份至</w:t>
      </w:r>
      <w:r>
        <w:t>2019</w:t>
      </w:r>
      <w:r>
        <w:t>年</w:t>
      </w:r>
      <w:r>
        <w:rPr>
          <w:rFonts w:hint="eastAsia"/>
        </w:rPr>
        <w:t>十</w:t>
      </w:r>
      <w:r>
        <w:t>月份全市地表水责任目标断面及饮用水源水质状况公示表中</w:t>
      </w:r>
      <w:r>
        <w:rPr>
          <w:rFonts w:hint="eastAsia"/>
        </w:rPr>
        <w:t>汝河</w:t>
      </w:r>
      <w:r>
        <w:t>板桥水库监测值。</w:t>
      </w:r>
    </w:p>
    <w:p w14:paraId="6A03AA68" w14:textId="77777777" w:rsidR="00E579B9" w:rsidRDefault="006A1398">
      <w:pPr>
        <w:pStyle w:val="21"/>
      </w:pPr>
      <w:r>
        <w:t>表</w:t>
      </w:r>
      <w:r>
        <w:t>4.3-</w:t>
      </w:r>
      <w:r>
        <w:rPr>
          <w:rFonts w:hint="eastAsia"/>
        </w:rPr>
        <w:t>5</w:t>
      </w:r>
      <w:r>
        <w:t>地表水监测统计结果一览表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966"/>
        <w:gridCol w:w="1946"/>
        <w:gridCol w:w="2070"/>
        <w:gridCol w:w="1964"/>
      </w:tblGrid>
      <w:tr w:rsidR="00E579B9" w14:paraId="1FA29F27" w14:textId="77777777">
        <w:trPr>
          <w:cantSplit/>
          <w:trHeight w:val="510"/>
        </w:trPr>
        <w:tc>
          <w:tcPr>
            <w:tcW w:w="2542" w:type="dxa"/>
            <w:gridSpan w:val="2"/>
            <w:vAlign w:val="center"/>
          </w:tcPr>
          <w:p w14:paraId="29AD440E" w14:textId="77777777" w:rsidR="00E579B9" w:rsidRDefault="006A1398">
            <w:pPr>
              <w:pStyle w:val="aa"/>
            </w:pPr>
            <w:r>
              <w:t>监测因子</w:t>
            </w:r>
          </w:p>
        </w:tc>
        <w:tc>
          <w:tcPr>
            <w:tcW w:w="1946" w:type="dxa"/>
            <w:vAlign w:val="center"/>
          </w:tcPr>
          <w:p w14:paraId="7718929E" w14:textId="77777777" w:rsidR="00E579B9" w:rsidRDefault="006A1398">
            <w:pPr>
              <w:pStyle w:val="aa"/>
            </w:pPr>
            <w:r>
              <w:t>COD</w:t>
            </w:r>
          </w:p>
        </w:tc>
        <w:tc>
          <w:tcPr>
            <w:tcW w:w="2070" w:type="dxa"/>
            <w:vAlign w:val="center"/>
          </w:tcPr>
          <w:p w14:paraId="04BDA6D2" w14:textId="77777777" w:rsidR="00E579B9" w:rsidRDefault="006A1398">
            <w:pPr>
              <w:pStyle w:val="aa"/>
            </w:pPr>
            <w:r>
              <w:t>氨氮</w:t>
            </w:r>
          </w:p>
        </w:tc>
        <w:tc>
          <w:tcPr>
            <w:tcW w:w="1964" w:type="dxa"/>
            <w:vAlign w:val="center"/>
          </w:tcPr>
          <w:p w14:paraId="7AB57DA8" w14:textId="77777777" w:rsidR="00E579B9" w:rsidRDefault="006A1398">
            <w:pPr>
              <w:pStyle w:val="aa"/>
            </w:pPr>
            <w:r>
              <w:t>总磷</w:t>
            </w:r>
          </w:p>
        </w:tc>
      </w:tr>
      <w:tr w:rsidR="00E579B9" w14:paraId="0162634E" w14:textId="77777777">
        <w:trPr>
          <w:cantSplit/>
        </w:trPr>
        <w:tc>
          <w:tcPr>
            <w:tcW w:w="576" w:type="dxa"/>
            <w:vMerge w:val="restart"/>
            <w:vAlign w:val="center"/>
          </w:tcPr>
          <w:p w14:paraId="3CC05E3B" w14:textId="77777777" w:rsidR="00E579B9" w:rsidRDefault="006A1398">
            <w:pPr>
              <w:pStyle w:val="aa"/>
            </w:pPr>
            <w:r>
              <w:rPr>
                <w:rFonts w:hint="eastAsia"/>
              </w:rPr>
              <w:t>汝河</w:t>
            </w:r>
            <w:r>
              <w:t>板桥水库</w:t>
            </w:r>
          </w:p>
        </w:tc>
        <w:tc>
          <w:tcPr>
            <w:tcW w:w="1966" w:type="dxa"/>
            <w:vAlign w:val="center"/>
          </w:tcPr>
          <w:p w14:paraId="3AEBC6B7" w14:textId="77777777" w:rsidR="00E579B9" w:rsidRDefault="006A1398">
            <w:pPr>
              <w:pStyle w:val="aa"/>
            </w:pPr>
            <w:r>
              <w:rPr>
                <w:rFonts w:hint="eastAsia"/>
              </w:rPr>
              <w:t>责任目标值</w:t>
            </w:r>
          </w:p>
        </w:tc>
        <w:tc>
          <w:tcPr>
            <w:tcW w:w="1946" w:type="dxa"/>
            <w:vAlign w:val="center"/>
          </w:tcPr>
          <w:p w14:paraId="023326B0" w14:textId="77777777" w:rsidR="00E579B9" w:rsidRDefault="006A1398">
            <w:pPr>
              <w:pStyle w:val="aa"/>
            </w:pPr>
            <w:r>
              <w:rPr>
                <w:rFonts w:hint="eastAsia"/>
              </w:rPr>
              <w:t>2</w:t>
            </w:r>
            <w:r>
              <w:t>0mg/L</w:t>
            </w:r>
          </w:p>
        </w:tc>
        <w:tc>
          <w:tcPr>
            <w:tcW w:w="2070" w:type="dxa"/>
            <w:vAlign w:val="center"/>
          </w:tcPr>
          <w:p w14:paraId="7F5FD6FF" w14:textId="77777777" w:rsidR="00E579B9" w:rsidRDefault="006A1398">
            <w:pPr>
              <w:pStyle w:val="aa"/>
            </w:pPr>
            <w:r>
              <w:t>1.0mg/L</w:t>
            </w:r>
          </w:p>
        </w:tc>
        <w:tc>
          <w:tcPr>
            <w:tcW w:w="1964" w:type="dxa"/>
            <w:vAlign w:val="center"/>
          </w:tcPr>
          <w:p w14:paraId="1AC7E329" w14:textId="77777777" w:rsidR="00E579B9" w:rsidRDefault="006A1398">
            <w:pPr>
              <w:pStyle w:val="aa"/>
            </w:pPr>
            <w:r>
              <w:t>0.2mg/L</w:t>
            </w:r>
          </w:p>
        </w:tc>
      </w:tr>
      <w:tr w:rsidR="00E579B9" w14:paraId="7B76505F" w14:textId="77777777">
        <w:trPr>
          <w:cantSplit/>
        </w:trPr>
        <w:tc>
          <w:tcPr>
            <w:tcW w:w="576" w:type="dxa"/>
            <w:vMerge/>
            <w:vAlign w:val="center"/>
          </w:tcPr>
          <w:p w14:paraId="36885EC9" w14:textId="77777777" w:rsidR="00E579B9" w:rsidRDefault="00E579B9">
            <w:pPr>
              <w:pStyle w:val="aa"/>
              <w:rPr>
                <w:highlight w:val="yellow"/>
              </w:rPr>
            </w:pPr>
          </w:p>
        </w:tc>
        <w:tc>
          <w:tcPr>
            <w:tcW w:w="1966" w:type="dxa"/>
            <w:vAlign w:val="center"/>
          </w:tcPr>
          <w:p w14:paraId="28A90862" w14:textId="77777777" w:rsidR="00E579B9" w:rsidRDefault="006A1398">
            <w:pPr>
              <w:pStyle w:val="aa"/>
            </w:pPr>
            <w:r>
              <w:t>范围</w:t>
            </w:r>
          </w:p>
        </w:tc>
        <w:tc>
          <w:tcPr>
            <w:tcW w:w="1946" w:type="dxa"/>
            <w:vAlign w:val="center"/>
          </w:tcPr>
          <w:p w14:paraId="77B361DA" w14:textId="77777777" w:rsidR="00E579B9" w:rsidRDefault="006A1398">
            <w:pPr>
              <w:pStyle w:val="aa"/>
            </w:pPr>
            <w:r>
              <w:t>11</w:t>
            </w:r>
            <w:r>
              <w:t>～</w:t>
            </w:r>
            <w:r>
              <w:t>18mg/L</w:t>
            </w:r>
          </w:p>
        </w:tc>
        <w:tc>
          <w:tcPr>
            <w:tcW w:w="2070" w:type="dxa"/>
            <w:vAlign w:val="center"/>
          </w:tcPr>
          <w:p w14:paraId="37BDE8A0" w14:textId="77777777" w:rsidR="00E579B9" w:rsidRDefault="006A1398">
            <w:pPr>
              <w:pStyle w:val="aa"/>
            </w:pPr>
            <w:r>
              <w:t>0.02</w:t>
            </w:r>
            <w:r>
              <w:t>～</w:t>
            </w:r>
            <w:r>
              <w:t>0.18mg/L</w:t>
            </w:r>
          </w:p>
        </w:tc>
        <w:tc>
          <w:tcPr>
            <w:tcW w:w="1964" w:type="dxa"/>
            <w:vAlign w:val="center"/>
          </w:tcPr>
          <w:p w14:paraId="0B92027E" w14:textId="77777777" w:rsidR="00E579B9" w:rsidRDefault="006A1398">
            <w:pPr>
              <w:pStyle w:val="aa"/>
            </w:pPr>
            <w:r>
              <w:rPr>
                <w:rFonts w:hint="eastAsia"/>
              </w:rPr>
              <w:t>0.</w:t>
            </w:r>
            <w:r>
              <w:t>005</w:t>
            </w:r>
            <w:r>
              <w:t>～</w:t>
            </w:r>
            <w:r>
              <w:t>0.06mg/L</w:t>
            </w:r>
          </w:p>
        </w:tc>
      </w:tr>
      <w:tr w:rsidR="00E579B9" w14:paraId="43DCDF2E" w14:textId="77777777">
        <w:trPr>
          <w:cantSplit/>
        </w:trPr>
        <w:tc>
          <w:tcPr>
            <w:tcW w:w="576" w:type="dxa"/>
            <w:vMerge/>
            <w:vAlign w:val="center"/>
          </w:tcPr>
          <w:p w14:paraId="04F639FC" w14:textId="77777777" w:rsidR="00E579B9" w:rsidRDefault="00E579B9">
            <w:pPr>
              <w:pStyle w:val="aa"/>
              <w:rPr>
                <w:highlight w:val="yellow"/>
              </w:rPr>
            </w:pPr>
          </w:p>
        </w:tc>
        <w:tc>
          <w:tcPr>
            <w:tcW w:w="1966" w:type="dxa"/>
            <w:vAlign w:val="center"/>
          </w:tcPr>
          <w:p w14:paraId="751B3A8E" w14:textId="77777777" w:rsidR="00E579B9" w:rsidRDefault="006A1398">
            <w:pPr>
              <w:pStyle w:val="aa"/>
            </w:pPr>
            <w:r>
              <w:t>均值</w:t>
            </w:r>
          </w:p>
        </w:tc>
        <w:tc>
          <w:tcPr>
            <w:tcW w:w="1946" w:type="dxa"/>
            <w:vAlign w:val="center"/>
          </w:tcPr>
          <w:p w14:paraId="30A25AC3" w14:textId="77777777" w:rsidR="00E579B9" w:rsidRDefault="006A1398">
            <w:pPr>
              <w:pStyle w:val="aa"/>
            </w:pPr>
            <w:r>
              <w:t>13.78mg/L</w:t>
            </w:r>
          </w:p>
        </w:tc>
        <w:tc>
          <w:tcPr>
            <w:tcW w:w="2070" w:type="dxa"/>
            <w:vAlign w:val="center"/>
          </w:tcPr>
          <w:p w14:paraId="5F80CA5F" w14:textId="77777777" w:rsidR="00E579B9" w:rsidRDefault="006A1398">
            <w:pPr>
              <w:pStyle w:val="aa"/>
            </w:pPr>
            <w:r>
              <w:t>0.11mg/L</w:t>
            </w:r>
          </w:p>
        </w:tc>
        <w:tc>
          <w:tcPr>
            <w:tcW w:w="1964" w:type="dxa"/>
            <w:vAlign w:val="center"/>
          </w:tcPr>
          <w:p w14:paraId="6AE08F0D" w14:textId="77777777" w:rsidR="00E579B9" w:rsidRDefault="006A1398">
            <w:pPr>
              <w:pStyle w:val="aa"/>
            </w:pPr>
            <w:r>
              <w:t>0.03mg/L</w:t>
            </w:r>
          </w:p>
        </w:tc>
      </w:tr>
      <w:tr w:rsidR="00E579B9" w14:paraId="1A71C166" w14:textId="77777777">
        <w:trPr>
          <w:cantSplit/>
        </w:trPr>
        <w:tc>
          <w:tcPr>
            <w:tcW w:w="576" w:type="dxa"/>
            <w:vMerge/>
            <w:vAlign w:val="center"/>
          </w:tcPr>
          <w:p w14:paraId="0B6AD27D" w14:textId="77777777" w:rsidR="00E579B9" w:rsidRDefault="00E579B9">
            <w:pPr>
              <w:pStyle w:val="aa"/>
              <w:rPr>
                <w:highlight w:val="yellow"/>
              </w:rPr>
            </w:pPr>
          </w:p>
        </w:tc>
        <w:tc>
          <w:tcPr>
            <w:tcW w:w="1966" w:type="dxa"/>
            <w:vAlign w:val="center"/>
          </w:tcPr>
          <w:p w14:paraId="1C19B2AB" w14:textId="77777777" w:rsidR="00E579B9" w:rsidRDefault="006A1398">
            <w:pPr>
              <w:pStyle w:val="aa"/>
            </w:pPr>
            <w:r>
              <w:t>单因子指数</w:t>
            </w:r>
          </w:p>
        </w:tc>
        <w:tc>
          <w:tcPr>
            <w:tcW w:w="1946" w:type="dxa"/>
            <w:vAlign w:val="center"/>
          </w:tcPr>
          <w:p w14:paraId="20E818DF" w14:textId="77777777" w:rsidR="00E579B9" w:rsidRDefault="006A1398">
            <w:pPr>
              <w:pStyle w:val="aa"/>
            </w:pPr>
            <w:r>
              <w:t>0.55</w:t>
            </w:r>
            <w:r>
              <w:t>～</w:t>
            </w:r>
            <w:r>
              <w:t>0.9</w:t>
            </w:r>
          </w:p>
        </w:tc>
        <w:tc>
          <w:tcPr>
            <w:tcW w:w="2070" w:type="dxa"/>
            <w:vAlign w:val="center"/>
          </w:tcPr>
          <w:p w14:paraId="030EF92F" w14:textId="77777777" w:rsidR="00E579B9" w:rsidRDefault="006A1398">
            <w:pPr>
              <w:pStyle w:val="aa"/>
            </w:pPr>
            <w:r>
              <w:t>0.02</w:t>
            </w:r>
            <w:r>
              <w:t>～</w:t>
            </w:r>
            <w:r>
              <w:t>0.18</w:t>
            </w:r>
          </w:p>
        </w:tc>
        <w:tc>
          <w:tcPr>
            <w:tcW w:w="1964" w:type="dxa"/>
            <w:vAlign w:val="center"/>
          </w:tcPr>
          <w:p w14:paraId="707A2F34" w14:textId="77777777" w:rsidR="00E579B9" w:rsidRDefault="006A1398">
            <w:pPr>
              <w:pStyle w:val="aa"/>
            </w:pPr>
            <w:r>
              <w:t>0.025</w:t>
            </w:r>
            <w:r>
              <w:t>～</w:t>
            </w:r>
            <w:r>
              <w:t>0.3</w:t>
            </w:r>
          </w:p>
        </w:tc>
      </w:tr>
      <w:tr w:rsidR="00E579B9" w14:paraId="3EDA3C9E" w14:textId="77777777">
        <w:trPr>
          <w:cantSplit/>
        </w:trPr>
        <w:tc>
          <w:tcPr>
            <w:tcW w:w="576" w:type="dxa"/>
            <w:vMerge/>
            <w:vAlign w:val="center"/>
          </w:tcPr>
          <w:p w14:paraId="19153901" w14:textId="77777777" w:rsidR="00E579B9" w:rsidRDefault="00E579B9">
            <w:pPr>
              <w:pStyle w:val="aa"/>
              <w:rPr>
                <w:highlight w:val="yellow"/>
              </w:rPr>
            </w:pPr>
          </w:p>
        </w:tc>
        <w:tc>
          <w:tcPr>
            <w:tcW w:w="1966" w:type="dxa"/>
            <w:vAlign w:val="center"/>
          </w:tcPr>
          <w:p w14:paraId="5E3891C2" w14:textId="77777777" w:rsidR="00E579B9" w:rsidRDefault="006A1398">
            <w:pPr>
              <w:pStyle w:val="aa"/>
            </w:pPr>
            <w:r>
              <w:t>超标率</w:t>
            </w:r>
            <w:r>
              <w:t>%</w:t>
            </w:r>
          </w:p>
        </w:tc>
        <w:tc>
          <w:tcPr>
            <w:tcW w:w="1946" w:type="dxa"/>
            <w:vAlign w:val="center"/>
          </w:tcPr>
          <w:p w14:paraId="3B3CBABC" w14:textId="77777777" w:rsidR="00E579B9" w:rsidRDefault="006A1398">
            <w:pPr>
              <w:pStyle w:val="aa"/>
            </w:pPr>
            <w:r>
              <w:rPr>
                <w:rFonts w:hint="eastAsia"/>
              </w:rPr>
              <w:t>0</w:t>
            </w:r>
          </w:p>
        </w:tc>
        <w:tc>
          <w:tcPr>
            <w:tcW w:w="2070" w:type="dxa"/>
            <w:vAlign w:val="center"/>
          </w:tcPr>
          <w:p w14:paraId="23D4906C" w14:textId="77777777" w:rsidR="00E579B9" w:rsidRDefault="006A1398">
            <w:pPr>
              <w:pStyle w:val="aa"/>
            </w:pPr>
            <w:r>
              <w:rPr>
                <w:rFonts w:hint="eastAsia"/>
              </w:rPr>
              <w:t>0</w:t>
            </w:r>
          </w:p>
        </w:tc>
        <w:tc>
          <w:tcPr>
            <w:tcW w:w="1964" w:type="dxa"/>
            <w:vAlign w:val="center"/>
          </w:tcPr>
          <w:p w14:paraId="2CB535B5" w14:textId="77777777" w:rsidR="00E579B9" w:rsidRDefault="006A1398">
            <w:pPr>
              <w:pStyle w:val="aa"/>
            </w:pPr>
            <w:r>
              <w:rPr>
                <w:rFonts w:hint="eastAsia"/>
              </w:rPr>
              <w:t>0</w:t>
            </w:r>
          </w:p>
        </w:tc>
      </w:tr>
      <w:tr w:rsidR="00E579B9" w14:paraId="2AE68543" w14:textId="77777777">
        <w:trPr>
          <w:cantSplit/>
        </w:trPr>
        <w:tc>
          <w:tcPr>
            <w:tcW w:w="576" w:type="dxa"/>
            <w:vMerge/>
            <w:vAlign w:val="center"/>
          </w:tcPr>
          <w:p w14:paraId="55544766" w14:textId="77777777" w:rsidR="00E579B9" w:rsidRDefault="00E579B9">
            <w:pPr>
              <w:pStyle w:val="aa"/>
              <w:rPr>
                <w:highlight w:val="yellow"/>
              </w:rPr>
            </w:pPr>
          </w:p>
        </w:tc>
        <w:tc>
          <w:tcPr>
            <w:tcW w:w="1966" w:type="dxa"/>
            <w:vAlign w:val="center"/>
          </w:tcPr>
          <w:p w14:paraId="1D43F145" w14:textId="77777777" w:rsidR="00E579B9" w:rsidRDefault="006A1398">
            <w:pPr>
              <w:pStyle w:val="aa"/>
            </w:pPr>
            <w:r>
              <w:t>最大超标倍数</w:t>
            </w:r>
          </w:p>
        </w:tc>
        <w:tc>
          <w:tcPr>
            <w:tcW w:w="1946" w:type="dxa"/>
            <w:vAlign w:val="center"/>
          </w:tcPr>
          <w:p w14:paraId="528B960B" w14:textId="77777777" w:rsidR="00E579B9" w:rsidRDefault="006A1398">
            <w:pPr>
              <w:pStyle w:val="aa"/>
            </w:pPr>
            <w:r>
              <w:rPr>
                <w:rFonts w:hint="eastAsia"/>
              </w:rPr>
              <w:t>/</w:t>
            </w:r>
          </w:p>
        </w:tc>
        <w:tc>
          <w:tcPr>
            <w:tcW w:w="2070" w:type="dxa"/>
            <w:vAlign w:val="center"/>
          </w:tcPr>
          <w:p w14:paraId="500803C1" w14:textId="77777777" w:rsidR="00E579B9" w:rsidRDefault="006A1398">
            <w:pPr>
              <w:pStyle w:val="aa"/>
            </w:pPr>
            <w:r>
              <w:rPr>
                <w:rFonts w:hint="eastAsia"/>
              </w:rPr>
              <w:t>/</w:t>
            </w:r>
          </w:p>
        </w:tc>
        <w:tc>
          <w:tcPr>
            <w:tcW w:w="1964" w:type="dxa"/>
            <w:vAlign w:val="center"/>
          </w:tcPr>
          <w:p w14:paraId="5E84E232" w14:textId="77777777" w:rsidR="00E579B9" w:rsidRDefault="006A1398">
            <w:pPr>
              <w:pStyle w:val="aa"/>
            </w:pPr>
            <w:r>
              <w:rPr>
                <w:rFonts w:hint="eastAsia"/>
              </w:rPr>
              <w:t>/</w:t>
            </w:r>
          </w:p>
        </w:tc>
      </w:tr>
    </w:tbl>
    <w:p w14:paraId="689320CC" w14:textId="77777777" w:rsidR="00E579B9" w:rsidRDefault="006A1398">
      <w:r>
        <w:t>由监测结果可以看出，评价区内地表水体</w:t>
      </w:r>
      <w:r>
        <w:t>COD</w:t>
      </w:r>
      <w:r>
        <w:rPr>
          <w:rFonts w:hint="eastAsia"/>
        </w:rPr>
        <w:t>、氨氮、</w:t>
      </w:r>
      <w:r>
        <w:t>总磷</w:t>
      </w:r>
      <w:r>
        <w:rPr>
          <w:rFonts w:hint="eastAsia"/>
        </w:rPr>
        <w:t>均能</w:t>
      </w:r>
      <w:r>
        <w:t>满足</w:t>
      </w:r>
      <w:r>
        <w:rPr>
          <w:spacing w:val="-10"/>
        </w:rPr>
        <w:t>《地表水环境质量标准》</w:t>
      </w:r>
      <w:r>
        <w:rPr>
          <w:rFonts w:hint="eastAsia"/>
          <w:spacing w:val="-10"/>
        </w:rPr>
        <w:t>（</w:t>
      </w:r>
      <w:r>
        <w:rPr>
          <w:spacing w:val="-10"/>
        </w:rPr>
        <w:t>GB3838-2002</w:t>
      </w:r>
      <w:r>
        <w:rPr>
          <w:rFonts w:hint="eastAsia"/>
          <w:spacing w:val="-10"/>
        </w:rPr>
        <w:t>）</w:t>
      </w:r>
      <w:r>
        <w:rPr>
          <w:rFonts w:ascii="宋体" w:hAnsi="宋体" w:cs="宋体" w:hint="eastAsia"/>
          <w:spacing w:val="-10"/>
        </w:rPr>
        <w:t>Ⅲ</w:t>
      </w:r>
      <w:r>
        <w:rPr>
          <w:spacing w:val="-10"/>
        </w:rPr>
        <w:t>类标准要</w:t>
      </w:r>
      <w:r>
        <w:t>求。</w:t>
      </w:r>
    </w:p>
    <w:p w14:paraId="6F5E1A8F" w14:textId="77777777" w:rsidR="00E579B9" w:rsidRDefault="006A1398">
      <w:pPr>
        <w:pStyle w:val="3"/>
        <w:ind w:firstLine="560"/>
      </w:pPr>
      <w:r>
        <w:lastRenderedPageBreak/>
        <w:t>4.3.3</w:t>
      </w:r>
      <w:r>
        <w:t>地下水环境质量现状监测与评价</w:t>
      </w:r>
      <w:bookmarkEnd w:id="204"/>
      <w:bookmarkEnd w:id="205"/>
    </w:p>
    <w:p w14:paraId="082DC1BC" w14:textId="77777777" w:rsidR="00E579B9" w:rsidRDefault="006A1398">
      <w:bookmarkStart w:id="206" w:name="_Toc531939567"/>
      <w:bookmarkStart w:id="207" w:name="_Toc531939356"/>
      <w:r>
        <w:t>根据《环境影响评价技术导则地下水环境》，本项目属于</w:t>
      </w:r>
      <w:r>
        <w:rPr>
          <w:rFonts w:ascii="宋体" w:hAnsi="宋体" w:cs="宋体" w:hint="eastAsia"/>
        </w:rPr>
        <w:t>Ⅳ</w:t>
      </w:r>
      <w:r>
        <w:t>类建设项目，不需开展地下水环境影响评价。结合本项目实际情况，本次评价只对项目建设进行简要分析，不需要对地下水进行监测与评价。</w:t>
      </w:r>
    </w:p>
    <w:p w14:paraId="5E6DFE6B" w14:textId="77777777" w:rsidR="00E579B9" w:rsidRDefault="006A1398">
      <w:pPr>
        <w:widowControl w:val="0"/>
        <w:spacing w:line="480" w:lineRule="exact"/>
        <w:jc w:val="both"/>
        <w:rPr>
          <w:rFonts w:cs="Times New Roman"/>
          <w:szCs w:val="24"/>
        </w:rPr>
      </w:pPr>
      <w:r>
        <w:rPr>
          <w:rFonts w:ascii="宋体" w:hAnsi="宋体" w:cs="Times New Roman"/>
          <w:bCs/>
          <w:szCs w:val="24"/>
        </w:rPr>
        <w:t>因此，</w:t>
      </w:r>
      <w:r>
        <w:rPr>
          <w:rFonts w:ascii="宋体" w:hAnsi="宋体" w:cs="Times New Roman" w:hint="eastAsia"/>
          <w:bCs/>
          <w:szCs w:val="24"/>
        </w:rPr>
        <w:t>结合本项目情况，</w:t>
      </w:r>
      <w:r>
        <w:rPr>
          <w:rFonts w:ascii="宋体" w:hAnsi="宋体" w:cs="Times New Roman"/>
          <w:bCs/>
          <w:szCs w:val="24"/>
        </w:rPr>
        <w:t>本项目仅对地下水现状进行</w:t>
      </w:r>
      <w:r>
        <w:rPr>
          <w:rFonts w:ascii="宋体" w:hAnsi="宋体" w:cs="Times New Roman" w:hint="eastAsia"/>
          <w:bCs/>
          <w:szCs w:val="24"/>
        </w:rPr>
        <w:t>简单</w:t>
      </w:r>
      <w:r>
        <w:rPr>
          <w:rFonts w:ascii="宋体" w:hAnsi="宋体" w:cs="Times New Roman"/>
          <w:bCs/>
          <w:szCs w:val="24"/>
        </w:rPr>
        <w:t>监测与评价</w:t>
      </w:r>
      <w:r>
        <w:rPr>
          <w:rFonts w:ascii="宋体" w:hAnsi="宋体" w:cs="Times New Roman" w:hint="eastAsia"/>
          <w:bCs/>
          <w:szCs w:val="24"/>
        </w:rPr>
        <w:t>。</w:t>
      </w:r>
    </w:p>
    <w:p w14:paraId="3CC646C2" w14:textId="77777777" w:rsidR="00E579B9" w:rsidRDefault="006A1398">
      <w:pPr>
        <w:widowControl w:val="0"/>
        <w:spacing w:line="480" w:lineRule="exact"/>
        <w:jc w:val="both"/>
        <w:rPr>
          <w:rFonts w:cs="Times New Roman"/>
          <w:szCs w:val="24"/>
        </w:rPr>
      </w:pPr>
      <w:r>
        <w:rPr>
          <w:rFonts w:ascii="宋体" w:hAnsi="宋体" w:cs="Times New Roman" w:hint="eastAsia"/>
          <w:szCs w:val="24"/>
        </w:rPr>
        <w:t>（</w:t>
      </w:r>
      <w:r>
        <w:rPr>
          <w:rFonts w:cs="Times New Roman" w:hint="eastAsia"/>
          <w:szCs w:val="24"/>
        </w:rPr>
        <w:t>1</w:t>
      </w:r>
      <w:r>
        <w:rPr>
          <w:rFonts w:ascii="宋体" w:hAnsi="宋体" w:cs="Times New Roman" w:hint="eastAsia"/>
          <w:szCs w:val="24"/>
        </w:rPr>
        <w:t>）</w:t>
      </w:r>
      <w:r>
        <w:rPr>
          <w:rFonts w:ascii="宋体" w:hAnsi="宋体" w:cs="Times New Roman"/>
          <w:szCs w:val="24"/>
        </w:rPr>
        <w:t>监测布点</w:t>
      </w:r>
    </w:p>
    <w:p w14:paraId="1D954BEF" w14:textId="77777777" w:rsidR="00E579B9" w:rsidRDefault="006A1398">
      <w:pPr>
        <w:widowControl w:val="0"/>
        <w:spacing w:line="480" w:lineRule="exact"/>
        <w:ind w:firstLineChars="177" w:firstLine="425"/>
        <w:jc w:val="both"/>
        <w:rPr>
          <w:rFonts w:ascii="宋体" w:hAnsi="宋体" w:cs="Times New Roman"/>
          <w:szCs w:val="24"/>
        </w:rPr>
      </w:pPr>
      <w:r>
        <w:rPr>
          <w:rFonts w:ascii="宋体" w:hAnsi="宋体" w:cs="Times New Roman"/>
          <w:szCs w:val="24"/>
        </w:rPr>
        <w:t>根据本项目的具体特点，并结合周围环境敏感点分布</w:t>
      </w:r>
      <w:r>
        <w:rPr>
          <w:rFonts w:ascii="宋体" w:hAnsi="宋体" w:cs="Times New Roman" w:hint="eastAsia"/>
          <w:szCs w:val="24"/>
        </w:rPr>
        <w:t>，地下水监测点布设见表4.3-6</w:t>
      </w:r>
      <w:r>
        <w:rPr>
          <w:rFonts w:ascii="宋体" w:hAnsi="宋体" w:cs="Times New Roman"/>
          <w:szCs w:val="24"/>
        </w:rPr>
        <w:t>。</w:t>
      </w:r>
    </w:p>
    <w:p w14:paraId="038EBFEF" w14:textId="77777777" w:rsidR="00E579B9" w:rsidRDefault="006A1398">
      <w:pPr>
        <w:pStyle w:val="21"/>
      </w:pPr>
      <w:r>
        <w:t>表</w:t>
      </w:r>
      <w:r>
        <w:rPr>
          <w:rFonts w:hint="eastAsia"/>
          <w:spacing w:val="2"/>
        </w:rPr>
        <w:t>4.3-6</w:t>
      </w:r>
      <w:r>
        <w:t>地下水监测点布设一览表</w:t>
      </w:r>
    </w:p>
    <w:tbl>
      <w:tblPr>
        <w:tblW w:w="85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2034"/>
        <w:gridCol w:w="3828"/>
        <w:gridCol w:w="1983"/>
      </w:tblGrid>
      <w:tr w:rsidR="00E579B9" w14:paraId="114F8CA7" w14:textId="77777777">
        <w:trPr>
          <w:trHeight w:val="177"/>
        </w:trPr>
        <w:tc>
          <w:tcPr>
            <w:tcW w:w="677" w:type="dxa"/>
            <w:vAlign w:val="center"/>
          </w:tcPr>
          <w:p w14:paraId="1665D878" w14:textId="77777777" w:rsidR="00E579B9" w:rsidRDefault="006A1398">
            <w:pPr>
              <w:pStyle w:val="aa"/>
            </w:pPr>
            <w:r>
              <w:t>编号</w:t>
            </w:r>
          </w:p>
        </w:tc>
        <w:tc>
          <w:tcPr>
            <w:tcW w:w="2034" w:type="dxa"/>
            <w:vAlign w:val="center"/>
          </w:tcPr>
          <w:p w14:paraId="5C2E2040" w14:textId="77777777" w:rsidR="00E579B9" w:rsidRDefault="006A1398">
            <w:pPr>
              <w:pStyle w:val="aa"/>
            </w:pPr>
            <w:r>
              <w:t>监测点位</w:t>
            </w:r>
          </w:p>
        </w:tc>
        <w:tc>
          <w:tcPr>
            <w:tcW w:w="3828" w:type="dxa"/>
            <w:vAlign w:val="center"/>
          </w:tcPr>
          <w:p w14:paraId="70981AFA" w14:textId="77777777" w:rsidR="00E579B9" w:rsidRDefault="006A1398">
            <w:pPr>
              <w:pStyle w:val="aa"/>
            </w:pPr>
            <w:r>
              <w:t>监测因子</w:t>
            </w:r>
          </w:p>
        </w:tc>
        <w:tc>
          <w:tcPr>
            <w:tcW w:w="1983" w:type="dxa"/>
            <w:vAlign w:val="center"/>
          </w:tcPr>
          <w:p w14:paraId="164FDFF6" w14:textId="77777777" w:rsidR="00E579B9" w:rsidRDefault="006A1398">
            <w:pPr>
              <w:pStyle w:val="aa"/>
            </w:pPr>
            <w:r>
              <w:t>监测频次</w:t>
            </w:r>
          </w:p>
        </w:tc>
      </w:tr>
      <w:tr w:rsidR="00E579B9" w14:paraId="03115CF6" w14:textId="77777777">
        <w:trPr>
          <w:trHeight w:val="262"/>
        </w:trPr>
        <w:tc>
          <w:tcPr>
            <w:tcW w:w="677" w:type="dxa"/>
            <w:vAlign w:val="center"/>
          </w:tcPr>
          <w:p w14:paraId="33D3A38F" w14:textId="77777777" w:rsidR="00E579B9" w:rsidRDefault="006A1398">
            <w:pPr>
              <w:pStyle w:val="aa"/>
            </w:pPr>
            <w:r>
              <w:rPr>
                <w:rFonts w:ascii="宋体" w:hAnsi="宋体" w:hint="eastAsia"/>
              </w:rPr>
              <w:t>1</w:t>
            </w:r>
          </w:p>
        </w:tc>
        <w:tc>
          <w:tcPr>
            <w:tcW w:w="2034" w:type="dxa"/>
            <w:vAlign w:val="center"/>
          </w:tcPr>
          <w:p w14:paraId="593663F6" w14:textId="77777777" w:rsidR="00E579B9" w:rsidRDefault="006A1398">
            <w:pPr>
              <w:pStyle w:val="aa"/>
              <w:rPr>
                <w:color w:val="000000"/>
              </w:rPr>
            </w:pPr>
            <w:r>
              <w:rPr>
                <w:rFonts w:ascii="宋体" w:hAnsi="宋体" w:hint="eastAsia"/>
                <w:color w:val="000000"/>
              </w:rPr>
              <w:t>傅</w:t>
            </w:r>
            <w:proofErr w:type="gramStart"/>
            <w:r>
              <w:rPr>
                <w:rFonts w:ascii="宋体" w:hAnsi="宋体" w:hint="eastAsia"/>
                <w:color w:val="000000"/>
              </w:rPr>
              <w:t>埂</w:t>
            </w:r>
            <w:proofErr w:type="gramEnd"/>
          </w:p>
        </w:tc>
        <w:tc>
          <w:tcPr>
            <w:tcW w:w="3828" w:type="dxa"/>
            <w:vMerge w:val="restart"/>
            <w:vAlign w:val="center"/>
          </w:tcPr>
          <w:p w14:paraId="16A5CB5B" w14:textId="77777777" w:rsidR="00E579B9" w:rsidRDefault="006A1398">
            <w:pPr>
              <w:pStyle w:val="aa"/>
            </w:pPr>
            <w:r>
              <w:t>pH</w:t>
            </w:r>
            <w:r>
              <w:rPr>
                <w:rFonts w:ascii="宋体" w:hAnsi="宋体" w:hint="eastAsia"/>
              </w:rPr>
              <w:t>、总硬度、耗氧量</w:t>
            </w:r>
            <w:r>
              <w:t>、溶解性总固体、</w:t>
            </w:r>
            <w:r>
              <w:rPr>
                <w:rFonts w:ascii="宋体" w:hAnsi="宋体" w:hint="eastAsia"/>
              </w:rPr>
              <w:t>氨氮、硫酸盐、氟化物、氯化物；</w:t>
            </w:r>
            <w:r>
              <w:t>K+</w:t>
            </w:r>
            <w:r>
              <w:rPr>
                <w:rFonts w:ascii="宋体" w:hAnsi="宋体" w:hint="eastAsia"/>
              </w:rPr>
              <w:t>、</w:t>
            </w:r>
            <w:r>
              <w:t>Na+</w:t>
            </w:r>
            <w:r>
              <w:rPr>
                <w:rFonts w:ascii="宋体" w:hAnsi="宋体" w:hint="eastAsia"/>
              </w:rPr>
              <w:t>、</w:t>
            </w:r>
            <w:r>
              <w:t>Ca</w:t>
            </w:r>
            <w:r>
              <w:rPr>
                <w:vertAlign w:val="superscript"/>
              </w:rPr>
              <w:t>+</w:t>
            </w:r>
            <w:r>
              <w:t>、</w:t>
            </w:r>
            <w:r>
              <w:t>Mg</w:t>
            </w:r>
            <w:r>
              <w:rPr>
                <w:vertAlign w:val="superscript"/>
              </w:rPr>
              <w:t>+</w:t>
            </w:r>
            <w:r>
              <w:t>、</w:t>
            </w:r>
            <w:r>
              <w:t>CO</w:t>
            </w:r>
            <w:r>
              <w:rPr>
                <w:vertAlign w:val="superscript"/>
              </w:rPr>
              <w:t>3-</w:t>
            </w:r>
            <w:r>
              <w:t>、</w:t>
            </w:r>
            <w:r>
              <w:t>HCO</w:t>
            </w:r>
            <w:r>
              <w:rPr>
                <w:vertAlign w:val="superscript"/>
              </w:rPr>
              <w:t>3-</w:t>
            </w:r>
            <w:r>
              <w:t>、</w:t>
            </w:r>
            <w:r>
              <w:t>Cl</w:t>
            </w:r>
            <w:r>
              <w:rPr>
                <w:vertAlign w:val="superscript"/>
              </w:rPr>
              <w:t>-</w:t>
            </w:r>
            <w:r>
              <w:t>、</w:t>
            </w:r>
            <w:r>
              <w:t>SO</w:t>
            </w:r>
            <w:r>
              <w:rPr>
                <w:vertAlign w:val="subscript"/>
              </w:rPr>
              <w:t>4</w:t>
            </w:r>
            <w:r>
              <w:rPr>
                <w:vertAlign w:val="superscript"/>
              </w:rPr>
              <w:t>2-</w:t>
            </w:r>
          </w:p>
        </w:tc>
        <w:tc>
          <w:tcPr>
            <w:tcW w:w="1983" w:type="dxa"/>
            <w:vMerge w:val="restart"/>
            <w:vAlign w:val="center"/>
          </w:tcPr>
          <w:p w14:paraId="7177269E" w14:textId="77777777" w:rsidR="00E579B9" w:rsidRDefault="006A1398">
            <w:pPr>
              <w:pStyle w:val="aa"/>
            </w:pPr>
            <w:r>
              <w:t>连续监测两天，每天一次</w:t>
            </w:r>
            <w:r>
              <w:rPr>
                <w:rFonts w:ascii="宋体" w:hAnsi="宋体" w:hint="eastAsia"/>
              </w:rPr>
              <w:t>；同步监测井深、水位</w:t>
            </w:r>
          </w:p>
        </w:tc>
      </w:tr>
      <w:tr w:rsidR="00E579B9" w14:paraId="484E4103" w14:textId="77777777">
        <w:trPr>
          <w:trHeight w:val="410"/>
        </w:trPr>
        <w:tc>
          <w:tcPr>
            <w:tcW w:w="677" w:type="dxa"/>
            <w:vAlign w:val="center"/>
          </w:tcPr>
          <w:p w14:paraId="4C27E9A9" w14:textId="77777777" w:rsidR="00E579B9" w:rsidRDefault="006A1398">
            <w:pPr>
              <w:pStyle w:val="aa"/>
            </w:pPr>
            <w:r>
              <w:rPr>
                <w:rFonts w:ascii="宋体" w:hAnsi="宋体" w:hint="eastAsia"/>
              </w:rPr>
              <w:t>2</w:t>
            </w:r>
          </w:p>
        </w:tc>
        <w:tc>
          <w:tcPr>
            <w:tcW w:w="2034" w:type="dxa"/>
            <w:vAlign w:val="center"/>
          </w:tcPr>
          <w:p w14:paraId="323BDD40" w14:textId="77777777" w:rsidR="00E579B9" w:rsidRDefault="006A1398">
            <w:pPr>
              <w:pStyle w:val="aa"/>
              <w:rPr>
                <w:rFonts w:ascii="宋体" w:hAnsi="宋体"/>
                <w:color w:val="000000"/>
              </w:rPr>
            </w:pPr>
            <w:r>
              <w:rPr>
                <w:rFonts w:ascii="宋体" w:hAnsi="宋体" w:hint="eastAsia"/>
                <w:color w:val="000000"/>
              </w:rPr>
              <w:t>西下庄</w:t>
            </w:r>
          </w:p>
        </w:tc>
        <w:tc>
          <w:tcPr>
            <w:tcW w:w="3828" w:type="dxa"/>
            <w:vMerge/>
            <w:vAlign w:val="center"/>
          </w:tcPr>
          <w:p w14:paraId="3DA3BD76" w14:textId="77777777" w:rsidR="00E579B9" w:rsidRDefault="00E579B9">
            <w:pPr>
              <w:pStyle w:val="aa"/>
            </w:pPr>
          </w:p>
        </w:tc>
        <w:tc>
          <w:tcPr>
            <w:tcW w:w="1983" w:type="dxa"/>
            <w:vMerge/>
            <w:vAlign w:val="center"/>
          </w:tcPr>
          <w:p w14:paraId="4DA83035" w14:textId="77777777" w:rsidR="00E579B9" w:rsidRDefault="00E579B9">
            <w:pPr>
              <w:pStyle w:val="aa"/>
            </w:pPr>
          </w:p>
        </w:tc>
      </w:tr>
      <w:tr w:rsidR="00E579B9" w14:paraId="5B0FCFB4" w14:textId="77777777">
        <w:trPr>
          <w:trHeight w:val="131"/>
        </w:trPr>
        <w:tc>
          <w:tcPr>
            <w:tcW w:w="677" w:type="dxa"/>
            <w:vAlign w:val="center"/>
          </w:tcPr>
          <w:p w14:paraId="7D20EF2C" w14:textId="77777777" w:rsidR="00E579B9" w:rsidRDefault="006A1398">
            <w:pPr>
              <w:pStyle w:val="aa"/>
              <w:rPr>
                <w:rFonts w:ascii="宋体" w:hAnsi="宋体"/>
              </w:rPr>
            </w:pPr>
            <w:r>
              <w:rPr>
                <w:rFonts w:ascii="宋体" w:hAnsi="宋体" w:hint="eastAsia"/>
              </w:rPr>
              <w:t>3</w:t>
            </w:r>
          </w:p>
        </w:tc>
        <w:tc>
          <w:tcPr>
            <w:tcW w:w="2034" w:type="dxa"/>
            <w:vAlign w:val="center"/>
          </w:tcPr>
          <w:p w14:paraId="73845814" w14:textId="77777777" w:rsidR="00E579B9" w:rsidRDefault="006A1398">
            <w:pPr>
              <w:pStyle w:val="aa"/>
              <w:rPr>
                <w:rFonts w:ascii="宋体" w:hAnsi="宋体"/>
                <w:color w:val="000000"/>
              </w:rPr>
            </w:pPr>
            <w:r>
              <w:rPr>
                <w:rFonts w:ascii="宋体" w:hAnsi="宋体" w:hint="eastAsia"/>
                <w:color w:val="000000"/>
              </w:rPr>
              <w:t>平</w:t>
            </w:r>
            <w:r>
              <w:rPr>
                <w:color w:val="000000"/>
              </w:rPr>
              <w:t>上</w:t>
            </w:r>
          </w:p>
        </w:tc>
        <w:tc>
          <w:tcPr>
            <w:tcW w:w="3828" w:type="dxa"/>
            <w:vMerge/>
            <w:vAlign w:val="center"/>
          </w:tcPr>
          <w:p w14:paraId="3733E317" w14:textId="77777777" w:rsidR="00E579B9" w:rsidRDefault="00E579B9">
            <w:pPr>
              <w:pStyle w:val="aa"/>
              <w:rPr>
                <w:rFonts w:ascii="宋体" w:hAnsi="宋体"/>
              </w:rPr>
            </w:pPr>
          </w:p>
        </w:tc>
        <w:tc>
          <w:tcPr>
            <w:tcW w:w="1983" w:type="dxa"/>
            <w:vMerge/>
            <w:vAlign w:val="center"/>
          </w:tcPr>
          <w:p w14:paraId="5C9BAB84" w14:textId="77777777" w:rsidR="00E579B9" w:rsidRDefault="00E579B9">
            <w:pPr>
              <w:pStyle w:val="aa"/>
              <w:rPr>
                <w:rFonts w:ascii="宋体" w:hAnsi="宋体"/>
              </w:rPr>
            </w:pPr>
          </w:p>
        </w:tc>
      </w:tr>
    </w:tbl>
    <w:p w14:paraId="08A003B0" w14:textId="77777777" w:rsidR="00E579B9" w:rsidRDefault="006A1398">
      <w:pPr>
        <w:widowControl w:val="0"/>
        <w:spacing w:line="480" w:lineRule="exact"/>
        <w:jc w:val="both"/>
        <w:rPr>
          <w:rFonts w:cs="Times New Roman"/>
          <w:szCs w:val="24"/>
        </w:rPr>
      </w:pPr>
      <w:r>
        <w:rPr>
          <w:rFonts w:ascii="宋体" w:hAnsi="宋体" w:cs="Times New Roman" w:hint="eastAsia"/>
          <w:szCs w:val="24"/>
        </w:rPr>
        <w:t>（</w:t>
      </w:r>
      <w:r>
        <w:rPr>
          <w:rFonts w:cs="Times New Roman" w:hint="eastAsia"/>
          <w:szCs w:val="24"/>
        </w:rPr>
        <w:t>3</w:t>
      </w:r>
      <w:r>
        <w:rPr>
          <w:rFonts w:ascii="宋体" w:hAnsi="宋体" w:cs="Times New Roman" w:hint="eastAsia"/>
          <w:szCs w:val="24"/>
        </w:rPr>
        <w:t>）</w:t>
      </w:r>
      <w:r>
        <w:rPr>
          <w:rFonts w:ascii="宋体" w:hAnsi="宋体" w:cs="Times New Roman"/>
          <w:szCs w:val="24"/>
        </w:rPr>
        <w:t>监测分析方法</w:t>
      </w:r>
    </w:p>
    <w:p w14:paraId="7DBA1B80" w14:textId="77777777" w:rsidR="00E579B9" w:rsidRDefault="006A1398">
      <w:pPr>
        <w:widowControl w:val="0"/>
        <w:spacing w:line="480" w:lineRule="exact"/>
        <w:jc w:val="both"/>
        <w:rPr>
          <w:rFonts w:cs="Times New Roman"/>
          <w:szCs w:val="24"/>
        </w:rPr>
      </w:pPr>
      <w:r>
        <w:rPr>
          <w:rFonts w:ascii="宋体" w:hAnsi="宋体" w:cs="Times New Roman"/>
          <w:szCs w:val="24"/>
        </w:rPr>
        <w:t>监测分析方法按照国家标准和《</w:t>
      </w:r>
      <w:hyperlink r:id="rId43" w:history="1">
        <w:r>
          <w:rPr>
            <w:rFonts w:ascii="宋体" w:hAnsi="宋体" w:cs="Times New Roman"/>
            <w:szCs w:val="24"/>
          </w:rPr>
          <w:t>地下水环境监测技术规范</w:t>
        </w:r>
      </w:hyperlink>
      <w:r>
        <w:rPr>
          <w:rFonts w:ascii="宋体" w:hAnsi="宋体" w:cs="Times New Roman"/>
          <w:szCs w:val="24"/>
        </w:rPr>
        <w:t>》（</w:t>
      </w:r>
      <w:r>
        <w:rPr>
          <w:rFonts w:cs="Times New Roman"/>
          <w:szCs w:val="24"/>
        </w:rPr>
        <w:t>HJ/T164-2004</w:t>
      </w:r>
      <w:r>
        <w:rPr>
          <w:rFonts w:ascii="宋体" w:hAnsi="宋体" w:cs="Times New Roman"/>
          <w:szCs w:val="24"/>
        </w:rPr>
        <w:t>）要求进行，分析方法详见表</w:t>
      </w:r>
      <w:r>
        <w:rPr>
          <w:rFonts w:cs="Times New Roman" w:hint="eastAsia"/>
          <w:spacing w:val="2"/>
          <w:szCs w:val="24"/>
        </w:rPr>
        <w:t>4.3-7</w:t>
      </w:r>
      <w:r>
        <w:rPr>
          <w:rFonts w:ascii="宋体" w:hAnsi="宋体" w:cs="Times New Roman"/>
          <w:szCs w:val="24"/>
        </w:rPr>
        <w:t>。</w:t>
      </w:r>
    </w:p>
    <w:p w14:paraId="67BDEFEA" w14:textId="701490AB" w:rsidR="00E579B9" w:rsidRDefault="006A1398">
      <w:pPr>
        <w:pStyle w:val="21"/>
      </w:pPr>
      <w:r>
        <w:rPr>
          <w:rFonts w:ascii="黑体" w:hAnsi="黑体"/>
        </w:rPr>
        <w:t>表</w:t>
      </w:r>
      <w:r>
        <w:rPr>
          <w:rFonts w:hint="eastAsia"/>
          <w:spacing w:val="2"/>
        </w:rPr>
        <w:t>4.3-7</w:t>
      </w:r>
      <w:r>
        <w:rPr>
          <w:rFonts w:ascii="黑体" w:hAnsi="黑体"/>
        </w:rPr>
        <w:t>地下水监测因子及分析方法</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7"/>
        <w:gridCol w:w="1585"/>
        <w:gridCol w:w="2371"/>
        <w:gridCol w:w="2218"/>
        <w:gridCol w:w="1585"/>
      </w:tblGrid>
      <w:tr w:rsidR="00E579B9" w14:paraId="421BD5CA"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7CA9CBEE"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序号</w:t>
            </w:r>
          </w:p>
        </w:tc>
        <w:tc>
          <w:tcPr>
            <w:tcW w:w="1585" w:type="dxa"/>
            <w:tcBorders>
              <w:top w:val="single" w:sz="4" w:space="0" w:color="auto"/>
              <w:left w:val="nil"/>
              <w:bottom w:val="single" w:sz="4" w:space="0" w:color="auto"/>
              <w:right w:val="single" w:sz="4" w:space="0" w:color="auto"/>
            </w:tcBorders>
            <w:vAlign w:val="center"/>
          </w:tcPr>
          <w:p w14:paraId="19016731"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监测项目</w:t>
            </w:r>
          </w:p>
        </w:tc>
        <w:tc>
          <w:tcPr>
            <w:tcW w:w="2371" w:type="dxa"/>
            <w:tcBorders>
              <w:top w:val="single" w:sz="4" w:space="0" w:color="auto"/>
              <w:left w:val="nil"/>
              <w:bottom w:val="single" w:sz="4" w:space="0" w:color="auto"/>
              <w:right w:val="single" w:sz="4" w:space="0" w:color="auto"/>
            </w:tcBorders>
            <w:vAlign w:val="center"/>
          </w:tcPr>
          <w:p w14:paraId="65E094D8"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分析方法</w:t>
            </w:r>
          </w:p>
        </w:tc>
        <w:tc>
          <w:tcPr>
            <w:tcW w:w="2218" w:type="dxa"/>
            <w:tcBorders>
              <w:top w:val="single" w:sz="4" w:space="0" w:color="auto"/>
              <w:left w:val="nil"/>
              <w:bottom w:val="single" w:sz="4" w:space="0" w:color="auto"/>
              <w:right w:val="single" w:sz="4" w:space="0" w:color="auto"/>
            </w:tcBorders>
            <w:vAlign w:val="center"/>
          </w:tcPr>
          <w:p w14:paraId="73BB1EB2"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方法来源</w:t>
            </w:r>
          </w:p>
        </w:tc>
        <w:tc>
          <w:tcPr>
            <w:tcW w:w="1585" w:type="dxa"/>
            <w:tcBorders>
              <w:top w:val="single" w:sz="4" w:space="0" w:color="auto"/>
              <w:left w:val="nil"/>
              <w:bottom w:val="single" w:sz="4" w:space="0" w:color="auto"/>
              <w:right w:val="single" w:sz="4" w:space="0" w:color="auto"/>
            </w:tcBorders>
            <w:vAlign w:val="center"/>
          </w:tcPr>
          <w:p w14:paraId="6C959902"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最低检出浓度</w:t>
            </w:r>
          </w:p>
        </w:tc>
      </w:tr>
      <w:tr w:rsidR="00E579B9" w14:paraId="36082260"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40E58E29"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op w:val="single" w:sz="4" w:space="0" w:color="auto"/>
              <w:left w:val="nil"/>
              <w:bottom w:val="single" w:sz="4" w:space="0" w:color="auto"/>
              <w:right w:val="single" w:sz="4" w:space="0" w:color="auto"/>
            </w:tcBorders>
            <w:vAlign w:val="center"/>
          </w:tcPr>
          <w:p w14:paraId="418B8453"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pH</w:t>
            </w:r>
          </w:p>
        </w:tc>
        <w:tc>
          <w:tcPr>
            <w:tcW w:w="2371" w:type="dxa"/>
            <w:tcBorders>
              <w:top w:val="single" w:sz="4" w:space="0" w:color="auto"/>
              <w:left w:val="nil"/>
              <w:bottom w:val="single" w:sz="4" w:space="0" w:color="auto"/>
              <w:right w:val="single" w:sz="4" w:space="0" w:color="auto"/>
            </w:tcBorders>
            <w:vAlign w:val="center"/>
          </w:tcPr>
          <w:p w14:paraId="20603E4B"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玻璃电极法</w:t>
            </w:r>
          </w:p>
        </w:tc>
        <w:tc>
          <w:tcPr>
            <w:tcW w:w="2218" w:type="dxa"/>
            <w:tcBorders>
              <w:top w:val="single" w:sz="4" w:space="0" w:color="auto"/>
              <w:left w:val="nil"/>
              <w:bottom w:val="single" w:sz="4" w:space="0" w:color="auto"/>
              <w:right w:val="single" w:sz="4" w:space="0" w:color="auto"/>
            </w:tcBorders>
            <w:vAlign w:val="center"/>
          </w:tcPr>
          <w:p w14:paraId="27428A6E"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kern w:val="0"/>
                <w:sz w:val="21"/>
                <w:szCs w:val="21"/>
              </w:rPr>
              <w:t>GB6920-1986</w:t>
            </w:r>
          </w:p>
        </w:tc>
        <w:tc>
          <w:tcPr>
            <w:tcW w:w="1585" w:type="dxa"/>
            <w:tcBorders>
              <w:top w:val="single" w:sz="4" w:space="0" w:color="auto"/>
              <w:left w:val="nil"/>
              <w:bottom w:val="single" w:sz="4" w:space="0" w:color="auto"/>
              <w:right w:val="single" w:sz="4" w:space="0" w:color="auto"/>
            </w:tcBorders>
            <w:vAlign w:val="center"/>
          </w:tcPr>
          <w:p w14:paraId="3EC566DE"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w:t>
            </w:r>
          </w:p>
        </w:tc>
      </w:tr>
      <w:tr w:rsidR="00E579B9" w14:paraId="6E5D3C01"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711B7A8A"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op w:val="single" w:sz="4" w:space="0" w:color="auto"/>
              <w:left w:val="nil"/>
              <w:bottom w:val="single" w:sz="4" w:space="0" w:color="auto"/>
              <w:right w:val="single" w:sz="4" w:space="0" w:color="auto"/>
            </w:tcBorders>
            <w:vAlign w:val="center"/>
          </w:tcPr>
          <w:p w14:paraId="4638ECC7"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氨氮</w:t>
            </w:r>
          </w:p>
        </w:tc>
        <w:tc>
          <w:tcPr>
            <w:tcW w:w="2371" w:type="dxa"/>
            <w:tcBorders>
              <w:top w:val="single" w:sz="4" w:space="0" w:color="auto"/>
              <w:left w:val="nil"/>
              <w:bottom w:val="single" w:sz="4" w:space="0" w:color="auto"/>
              <w:right w:val="single" w:sz="4" w:space="0" w:color="auto"/>
            </w:tcBorders>
            <w:vAlign w:val="center"/>
          </w:tcPr>
          <w:p w14:paraId="10E076D2" w14:textId="77777777" w:rsidR="00E579B9" w:rsidRDefault="006A1398">
            <w:pPr>
              <w:widowControl w:val="0"/>
              <w:spacing w:line="240" w:lineRule="auto"/>
              <w:ind w:firstLineChars="0" w:firstLine="0"/>
              <w:jc w:val="center"/>
              <w:rPr>
                <w:rFonts w:cs="Times New Roman"/>
                <w:sz w:val="21"/>
                <w:szCs w:val="21"/>
              </w:rPr>
            </w:pPr>
            <w:r>
              <w:rPr>
                <w:rFonts w:cs="Times New Roman"/>
                <w:sz w:val="21"/>
                <w:szCs w:val="21"/>
              </w:rPr>
              <w:t>纳氏试剂分光光度法</w:t>
            </w:r>
          </w:p>
        </w:tc>
        <w:tc>
          <w:tcPr>
            <w:tcW w:w="2218" w:type="dxa"/>
            <w:tcBorders>
              <w:top w:val="single" w:sz="4" w:space="0" w:color="auto"/>
              <w:left w:val="nil"/>
              <w:bottom w:val="single" w:sz="4" w:space="0" w:color="auto"/>
              <w:right w:val="single" w:sz="4" w:space="0" w:color="auto"/>
            </w:tcBorders>
            <w:vAlign w:val="center"/>
          </w:tcPr>
          <w:p w14:paraId="0E3B18AE" w14:textId="77777777" w:rsidR="00E579B9" w:rsidRDefault="006A1398">
            <w:pPr>
              <w:widowControl w:val="0"/>
              <w:spacing w:line="240" w:lineRule="auto"/>
              <w:ind w:firstLineChars="0" w:firstLine="0"/>
              <w:jc w:val="center"/>
              <w:rPr>
                <w:rFonts w:cs="Times New Roman"/>
                <w:sz w:val="21"/>
                <w:szCs w:val="21"/>
              </w:rPr>
            </w:pPr>
            <w:r>
              <w:rPr>
                <w:rFonts w:cs="Times New Roman"/>
                <w:sz w:val="21"/>
                <w:szCs w:val="21"/>
              </w:rPr>
              <w:t>HJ535-2009</w:t>
            </w:r>
          </w:p>
        </w:tc>
        <w:tc>
          <w:tcPr>
            <w:tcW w:w="1585" w:type="dxa"/>
            <w:tcBorders>
              <w:top w:val="single" w:sz="4" w:space="0" w:color="auto"/>
              <w:left w:val="nil"/>
              <w:bottom w:val="single" w:sz="4" w:space="0" w:color="auto"/>
              <w:right w:val="single" w:sz="4" w:space="0" w:color="auto"/>
            </w:tcBorders>
            <w:vAlign w:val="center"/>
          </w:tcPr>
          <w:p w14:paraId="0C2E7C25" w14:textId="77777777" w:rsidR="00E579B9" w:rsidRDefault="006A1398">
            <w:pPr>
              <w:widowControl w:val="0"/>
              <w:spacing w:line="240" w:lineRule="auto"/>
              <w:ind w:firstLineChars="0" w:firstLine="0"/>
              <w:jc w:val="center"/>
              <w:rPr>
                <w:rFonts w:cs="Times New Roman"/>
                <w:sz w:val="21"/>
                <w:szCs w:val="21"/>
              </w:rPr>
            </w:pPr>
            <w:r>
              <w:rPr>
                <w:rFonts w:cs="Times New Roman" w:hint="eastAsia"/>
                <w:sz w:val="21"/>
                <w:szCs w:val="21"/>
              </w:rPr>
              <w:t>0.025</w:t>
            </w:r>
            <w:r>
              <w:rPr>
                <w:rFonts w:cs="Times New Roman"/>
                <w:sz w:val="21"/>
                <w:szCs w:val="21"/>
              </w:rPr>
              <w:t>mg/L</w:t>
            </w:r>
          </w:p>
        </w:tc>
      </w:tr>
      <w:tr w:rsidR="00E579B9" w14:paraId="4964C1D4"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09D3E4C8"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op w:val="single" w:sz="4" w:space="0" w:color="auto"/>
              <w:left w:val="nil"/>
              <w:bottom w:val="single" w:sz="4" w:space="0" w:color="auto"/>
              <w:right w:val="single" w:sz="4" w:space="0" w:color="auto"/>
            </w:tcBorders>
            <w:vAlign w:val="center"/>
          </w:tcPr>
          <w:p w14:paraId="20FC8E39"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hint="eastAsia"/>
                <w:sz w:val="21"/>
                <w:szCs w:val="21"/>
              </w:rPr>
              <w:t>溶解性总固体</w:t>
            </w:r>
          </w:p>
        </w:tc>
        <w:tc>
          <w:tcPr>
            <w:tcW w:w="2371" w:type="dxa"/>
            <w:tcBorders>
              <w:top w:val="single" w:sz="4" w:space="0" w:color="auto"/>
              <w:left w:val="nil"/>
              <w:bottom w:val="single" w:sz="4" w:space="0" w:color="auto"/>
              <w:right w:val="single" w:sz="4" w:space="0" w:color="auto"/>
            </w:tcBorders>
            <w:vAlign w:val="center"/>
          </w:tcPr>
          <w:p w14:paraId="13E8D1B7"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hint="eastAsia"/>
                <w:sz w:val="21"/>
                <w:szCs w:val="21"/>
              </w:rPr>
              <w:t>称量法</w:t>
            </w:r>
          </w:p>
        </w:tc>
        <w:tc>
          <w:tcPr>
            <w:tcW w:w="2218" w:type="dxa"/>
            <w:tcBorders>
              <w:top w:val="single" w:sz="4" w:space="0" w:color="auto"/>
              <w:left w:val="nil"/>
              <w:bottom w:val="single" w:sz="4" w:space="0" w:color="auto"/>
              <w:right w:val="single" w:sz="4" w:space="0" w:color="auto"/>
            </w:tcBorders>
            <w:vAlign w:val="center"/>
          </w:tcPr>
          <w:p w14:paraId="65C20503"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GB/T5750</w:t>
            </w:r>
            <w:r>
              <w:rPr>
                <w:rFonts w:cs="Times New Roman" w:hint="eastAsia"/>
                <w:sz w:val="21"/>
                <w:szCs w:val="21"/>
              </w:rPr>
              <w:t>.4</w:t>
            </w:r>
            <w:r>
              <w:rPr>
                <w:rFonts w:cs="Times New Roman"/>
                <w:sz w:val="21"/>
                <w:szCs w:val="21"/>
              </w:rPr>
              <w:t>-2006</w:t>
            </w:r>
          </w:p>
        </w:tc>
        <w:tc>
          <w:tcPr>
            <w:tcW w:w="1585" w:type="dxa"/>
            <w:tcBorders>
              <w:top w:val="single" w:sz="4" w:space="0" w:color="auto"/>
              <w:left w:val="nil"/>
              <w:bottom w:val="single" w:sz="4" w:space="0" w:color="auto"/>
              <w:right w:val="single" w:sz="4" w:space="0" w:color="auto"/>
            </w:tcBorders>
            <w:vAlign w:val="center"/>
          </w:tcPr>
          <w:p w14:paraId="5F473262"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hint="eastAsia"/>
                <w:sz w:val="21"/>
                <w:szCs w:val="21"/>
              </w:rPr>
              <w:t>/</w:t>
            </w:r>
          </w:p>
        </w:tc>
      </w:tr>
      <w:tr w:rsidR="00E579B9" w14:paraId="3DB97BF0"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396CAEE5"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op w:val="single" w:sz="4" w:space="0" w:color="auto"/>
              <w:left w:val="nil"/>
              <w:bottom w:val="single" w:sz="4" w:space="0" w:color="auto"/>
              <w:right w:val="single" w:sz="4" w:space="0" w:color="auto"/>
            </w:tcBorders>
            <w:vAlign w:val="center"/>
          </w:tcPr>
          <w:p w14:paraId="197E489B"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高锰酸盐指数</w:t>
            </w:r>
          </w:p>
        </w:tc>
        <w:tc>
          <w:tcPr>
            <w:tcW w:w="2371" w:type="dxa"/>
            <w:tcBorders>
              <w:top w:val="single" w:sz="4" w:space="0" w:color="auto"/>
              <w:left w:val="nil"/>
              <w:bottom w:val="single" w:sz="4" w:space="0" w:color="auto"/>
              <w:right w:val="single" w:sz="4" w:space="0" w:color="auto"/>
            </w:tcBorders>
            <w:vAlign w:val="center"/>
          </w:tcPr>
          <w:p w14:paraId="1CB42BBE" w14:textId="77777777" w:rsidR="00E579B9" w:rsidRDefault="006A1398">
            <w:pPr>
              <w:widowControl w:val="0"/>
              <w:spacing w:line="240" w:lineRule="auto"/>
              <w:ind w:firstLineChars="0" w:firstLine="0"/>
              <w:jc w:val="center"/>
              <w:rPr>
                <w:rFonts w:cs="Times New Roman"/>
                <w:sz w:val="21"/>
                <w:szCs w:val="21"/>
              </w:rPr>
            </w:pPr>
            <w:r>
              <w:rPr>
                <w:rFonts w:cs="Times New Roman" w:hint="eastAsia"/>
                <w:sz w:val="21"/>
                <w:szCs w:val="21"/>
              </w:rPr>
              <w:t>酸性法</w:t>
            </w:r>
          </w:p>
        </w:tc>
        <w:tc>
          <w:tcPr>
            <w:tcW w:w="2218" w:type="dxa"/>
            <w:tcBorders>
              <w:top w:val="single" w:sz="4" w:space="0" w:color="auto"/>
              <w:left w:val="nil"/>
              <w:bottom w:val="single" w:sz="4" w:space="0" w:color="auto"/>
              <w:right w:val="single" w:sz="4" w:space="0" w:color="auto"/>
            </w:tcBorders>
            <w:vAlign w:val="center"/>
          </w:tcPr>
          <w:p w14:paraId="46FECBCC" w14:textId="77777777" w:rsidR="00E579B9" w:rsidRDefault="006A1398">
            <w:pPr>
              <w:widowControl w:val="0"/>
              <w:spacing w:line="240" w:lineRule="auto"/>
              <w:ind w:firstLineChars="0" w:firstLine="0"/>
              <w:jc w:val="center"/>
              <w:rPr>
                <w:rFonts w:cs="Times New Roman"/>
                <w:sz w:val="21"/>
                <w:szCs w:val="21"/>
              </w:rPr>
            </w:pPr>
            <w:r>
              <w:rPr>
                <w:rFonts w:cs="Times New Roman" w:hint="eastAsia"/>
                <w:sz w:val="21"/>
                <w:szCs w:val="21"/>
              </w:rPr>
              <w:t>GB11892-1989</w:t>
            </w:r>
          </w:p>
        </w:tc>
        <w:tc>
          <w:tcPr>
            <w:tcW w:w="1585" w:type="dxa"/>
            <w:tcBorders>
              <w:top w:val="single" w:sz="4" w:space="0" w:color="auto"/>
              <w:left w:val="nil"/>
              <w:bottom w:val="single" w:sz="4" w:space="0" w:color="auto"/>
              <w:right w:val="single" w:sz="4" w:space="0" w:color="auto"/>
            </w:tcBorders>
            <w:vAlign w:val="center"/>
          </w:tcPr>
          <w:p w14:paraId="37DD3EA8" w14:textId="77777777" w:rsidR="00E579B9" w:rsidRDefault="006A1398">
            <w:pPr>
              <w:widowControl w:val="0"/>
              <w:spacing w:line="240" w:lineRule="auto"/>
              <w:ind w:firstLineChars="0" w:firstLine="0"/>
              <w:jc w:val="center"/>
              <w:rPr>
                <w:rFonts w:cs="Times New Roman"/>
                <w:sz w:val="21"/>
                <w:szCs w:val="21"/>
              </w:rPr>
            </w:pPr>
            <w:r>
              <w:rPr>
                <w:rFonts w:cs="Times New Roman" w:hint="eastAsia"/>
                <w:sz w:val="21"/>
                <w:szCs w:val="21"/>
              </w:rPr>
              <w:t>0.5</w:t>
            </w:r>
            <w:r>
              <w:rPr>
                <w:rFonts w:cs="Times New Roman"/>
                <w:sz w:val="21"/>
                <w:szCs w:val="21"/>
              </w:rPr>
              <w:t>mg/L</w:t>
            </w:r>
          </w:p>
        </w:tc>
      </w:tr>
      <w:tr w:rsidR="00E579B9" w14:paraId="30F0571E"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0FD475EA"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op w:val="single" w:sz="4" w:space="0" w:color="auto"/>
              <w:left w:val="nil"/>
              <w:bottom w:val="single" w:sz="4" w:space="0" w:color="auto"/>
              <w:right w:val="single" w:sz="4" w:space="0" w:color="auto"/>
            </w:tcBorders>
            <w:vAlign w:val="center"/>
          </w:tcPr>
          <w:p w14:paraId="64BC4FAC"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硫酸盐</w:t>
            </w:r>
          </w:p>
        </w:tc>
        <w:tc>
          <w:tcPr>
            <w:tcW w:w="2371" w:type="dxa"/>
            <w:tcBorders>
              <w:top w:val="single" w:sz="4" w:space="0" w:color="auto"/>
              <w:left w:val="nil"/>
              <w:bottom w:val="single" w:sz="4" w:space="0" w:color="auto"/>
              <w:right w:val="single" w:sz="4" w:space="0" w:color="auto"/>
            </w:tcBorders>
            <w:vAlign w:val="center"/>
          </w:tcPr>
          <w:p w14:paraId="27496622" w14:textId="77777777" w:rsidR="00E579B9" w:rsidRDefault="006A1398">
            <w:pPr>
              <w:adjustRightInd w:val="0"/>
              <w:spacing w:line="240" w:lineRule="auto"/>
              <w:ind w:firstLineChars="0" w:firstLine="0"/>
              <w:jc w:val="center"/>
              <w:textAlignment w:val="bottom"/>
              <w:rPr>
                <w:rFonts w:cs="Times New Roman"/>
                <w:sz w:val="21"/>
                <w:szCs w:val="21"/>
              </w:rPr>
            </w:pPr>
            <w:r>
              <w:rPr>
                <w:rFonts w:cs="Times New Roman"/>
                <w:kern w:val="0"/>
                <w:sz w:val="21"/>
                <w:szCs w:val="21"/>
              </w:rPr>
              <w:t>铬酸钡分光光度法</w:t>
            </w:r>
          </w:p>
        </w:tc>
        <w:tc>
          <w:tcPr>
            <w:tcW w:w="2218" w:type="dxa"/>
            <w:tcBorders>
              <w:top w:val="single" w:sz="4" w:space="0" w:color="auto"/>
              <w:left w:val="nil"/>
              <w:bottom w:val="single" w:sz="4" w:space="0" w:color="auto"/>
              <w:right w:val="single" w:sz="4" w:space="0" w:color="auto"/>
            </w:tcBorders>
            <w:vAlign w:val="center"/>
          </w:tcPr>
          <w:p w14:paraId="45DFE85D" w14:textId="77777777" w:rsidR="00E579B9" w:rsidRDefault="006A1398">
            <w:pPr>
              <w:adjustRightInd w:val="0"/>
              <w:spacing w:line="240" w:lineRule="auto"/>
              <w:ind w:firstLineChars="0" w:firstLine="0"/>
              <w:jc w:val="center"/>
              <w:textAlignment w:val="bottom"/>
              <w:rPr>
                <w:rFonts w:cs="Times New Roman"/>
                <w:sz w:val="21"/>
                <w:szCs w:val="21"/>
              </w:rPr>
            </w:pPr>
            <w:r>
              <w:rPr>
                <w:rFonts w:cs="Times New Roman"/>
                <w:kern w:val="0"/>
                <w:sz w:val="21"/>
                <w:szCs w:val="21"/>
              </w:rPr>
              <w:t>HJ/T342-2007</w:t>
            </w:r>
          </w:p>
        </w:tc>
        <w:tc>
          <w:tcPr>
            <w:tcW w:w="1585" w:type="dxa"/>
            <w:tcBorders>
              <w:top w:val="single" w:sz="4" w:space="0" w:color="auto"/>
              <w:left w:val="nil"/>
              <w:bottom w:val="single" w:sz="4" w:space="0" w:color="auto"/>
              <w:right w:val="single" w:sz="4" w:space="0" w:color="auto"/>
            </w:tcBorders>
            <w:vAlign w:val="center"/>
          </w:tcPr>
          <w:p w14:paraId="39E21299" w14:textId="77777777" w:rsidR="00E579B9" w:rsidRDefault="006A1398">
            <w:pPr>
              <w:adjustRightInd w:val="0"/>
              <w:spacing w:line="240" w:lineRule="auto"/>
              <w:ind w:firstLineChars="0" w:firstLine="0"/>
              <w:jc w:val="center"/>
              <w:textAlignment w:val="bottom"/>
              <w:rPr>
                <w:rFonts w:cs="Times New Roman"/>
                <w:sz w:val="21"/>
                <w:szCs w:val="21"/>
              </w:rPr>
            </w:pPr>
            <w:r>
              <w:rPr>
                <w:rFonts w:cs="Times New Roman" w:hint="eastAsia"/>
                <w:kern w:val="0"/>
                <w:sz w:val="21"/>
                <w:szCs w:val="21"/>
              </w:rPr>
              <w:t>8</w:t>
            </w:r>
            <w:r>
              <w:rPr>
                <w:rFonts w:cs="Times New Roman"/>
                <w:kern w:val="0"/>
                <w:sz w:val="21"/>
                <w:szCs w:val="21"/>
              </w:rPr>
              <w:t>mg/L</w:t>
            </w:r>
          </w:p>
        </w:tc>
      </w:tr>
      <w:tr w:rsidR="00E579B9" w14:paraId="1CB7C789"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0F4AE415"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op w:val="single" w:sz="4" w:space="0" w:color="auto"/>
              <w:left w:val="nil"/>
              <w:bottom w:val="single" w:sz="4" w:space="0" w:color="auto"/>
              <w:right w:val="single" w:sz="4" w:space="0" w:color="auto"/>
            </w:tcBorders>
            <w:vAlign w:val="center"/>
          </w:tcPr>
          <w:p w14:paraId="471CA65C"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氟化物</w:t>
            </w:r>
          </w:p>
        </w:tc>
        <w:tc>
          <w:tcPr>
            <w:tcW w:w="2371" w:type="dxa"/>
            <w:tcBorders>
              <w:top w:val="single" w:sz="4" w:space="0" w:color="auto"/>
              <w:left w:val="nil"/>
              <w:bottom w:val="single" w:sz="4" w:space="0" w:color="auto"/>
              <w:right w:val="single" w:sz="4" w:space="0" w:color="auto"/>
            </w:tcBorders>
            <w:vAlign w:val="center"/>
          </w:tcPr>
          <w:p w14:paraId="3127021F" w14:textId="77777777" w:rsidR="00E579B9" w:rsidRDefault="006A1398">
            <w:pPr>
              <w:adjustRightInd w:val="0"/>
              <w:spacing w:line="240" w:lineRule="auto"/>
              <w:ind w:firstLineChars="0" w:firstLine="0"/>
              <w:jc w:val="center"/>
              <w:textAlignment w:val="bottom"/>
              <w:rPr>
                <w:rFonts w:cs="Times New Roman"/>
                <w:sz w:val="21"/>
                <w:szCs w:val="21"/>
              </w:rPr>
            </w:pPr>
            <w:r>
              <w:rPr>
                <w:rFonts w:cs="Times New Roman"/>
                <w:kern w:val="0"/>
                <w:sz w:val="21"/>
                <w:szCs w:val="21"/>
              </w:rPr>
              <w:t>离子选择电极法</w:t>
            </w:r>
          </w:p>
        </w:tc>
        <w:tc>
          <w:tcPr>
            <w:tcW w:w="2218" w:type="dxa"/>
            <w:tcBorders>
              <w:top w:val="single" w:sz="4" w:space="0" w:color="auto"/>
              <w:left w:val="nil"/>
              <w:bottom w:val="single" w:sz="4" w:space="0" w:color="auto"/>
              <w:right w:val="single" w:sz="4" w:space="0" w:color="auto"/>
            </w:tcBorders>
            <w:vAlign w:val="center"/>
          </w:tcPr>
          <w:p w14:paraId="40892BEA" w14:textId="77777777" w:rsidR="00E579B9" w:rsidRDefault="006A1398">
            <w:pPr>
              <w:adjustRightInd w:val="0"/>
              <w:spacing w:line="240" w:lineRule="auto"/>
              <w:ind w:firstLineChars="0" w:firstLine="0"/>
              <w:jc w:val="center"/>
              <w:textAlignment w:val="bottom"/>
              <w:rPr>
                <w:rFonts w:cs="Times New Roman"/>
                <w:sz w:val="21"/>
                <w:szCs w:val="21"/>
              </w:rPr>
            </w:pPr>
            <w:r>
              <w:rPr>
                <w:rFonts w:cs="Times New Roman"/>
                <w:kern w:val="0"/>
                <w:sz w:val="21"/>
                <w:szCs w:val="21"/>
              </w:rPr>
              <w:t>GB7484-1987</w:t>
            </w:r>
          </w:p>
        </w:tc>
        <w:tc>
          <w:tcPr>
            <w:tcW w:w="1585" w:type="dxa"/>
            <w:tcBorders>
              <w:top w:val="single" w:sz="4" w:space="0" w:color="auto"/>
              <w:left w:val="nil"/>
              <w:bottom w:val="single" w:sz="4" w:space="0" w:color="auto"/>
              <w:right w:val="single" w:sz="4" w:space="0" w:color="auto"/>
            </w:tcBorders>
            <w:vAlign w:val="center"/>
          </w:tcPr>
          <w:p w14:paraId="696682E0" w14:textId="77777777" w:rsidR="00E579B9" w:rsidRDefault="006A1398">
            <w:pPr>
              <w:adjustRightInd w:val="0"/>
              <w:spacing w:line="240" w:lineRule="auto"/>
              <w:ind w:firstLineChars="0" w:firstLine="0"/>
              <w:jc w:val="center"/>
              <w:textAlignment w:val="bottom"/>
              <w:rPr>
                <w:rFonts w:cs="Times New Roman"/>
                <w:sz w:val="21"/>
                <w:szCs w:val="21"/>
              </w:rPr>
            </w:pPr>
            <w:r>
              <w:rPr>
                <w:rFonts w:cs="Times New Roman"/>
                <w:kern w:val="0"/>
                <w:sz w:val="21"/>
                <w:szCs w:val="21"/>
              </w:rPr>
              <w:t>0.05mg/L</w:t>
            </w:r>
          </w:p>
        </w:tc>
      </w:tr>
      <w:tr w:rsidR="00E579B9" w14:paraId="0CB1A15D"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516E856C"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op w:val="single" w:sz="4" w:space="0" w:color="auto"/>
              <w:left w:val="nil"/>
              <w:bottom w:val="single" w:sz="4" w:space="0" w:color="auto"/>
              <w:right w:val="single" w:sz="4" w:space="0" w:color="auto"/>
            </w:tcBorders>
            <w:vAlign w:val="center"/>
          </w:tcPr>
          <w:p w14:paraId="180151FC" w14:textId="77777777" w:rsidR="00E579B9" w:rsidRDefault="006A1398">
            <w:pPr>
              <w:widowControl w:val="0"/>
              <w:adjustRightInd w:val="0"/>
              <w:spacing w:line="240" w:lineRule="auto"/>
              <w:ind w:firstLineChars="0" w:firstLine="0"/>
              <w:jc w:val="center"/>
              <w:rPr>
                <w:rFonts w:cs="Times New Roman"/>
                <w:sz w:val="21"/>
                <w:szCs w:val="21"/>
              </w:rPr>
            </w:pPr>
            <w:r>
              <w:rPr>
                <w:rFonts w:cs="Times New Roman"/>
                <w:sz w:val="21"/>
                <w:szCs w:val="21"/>
              </w:rPr>
              <w:t>氯化物</w:t>
            </w:r>
          </w:p>
        </w:tc>
        <w:tc>
          <w:tcPr>
            <w:tcW w:w="2371" w:type="dxa"/>
            <w:tcBorders>
              <w:top w:val="single" w:sz="4" w:space="0" w:color="auto"/>
              <w:left w:val="nil"/>
              <w:bottom w:val="single" w:sz="4" w:space="0" w:color="auto"/>
              <w:right w:val="single" w:sz="4" w:space="0" w:color="auto"/>
            </w:tcBorders>
            <w:vAlign w:val="center"/>
          </w:tcPr>
          <w:p w14:paraId="05B2EA8C" w14:textId="77777777" w:rsidR="00E579B9" w:rsidRDefault="006A1398">
            <w:pPr>
              <w:adjustRightInd w:val="0"/>
              <w:spacing w:line="240" w:lineRule="auto"/>
              <w:ind w:firstLineChars="0" w:firstLine="0"/>
              <w:jc w:val="center"/>
              <w:textAlignment w:val="top"/>
              <w:rPr>
                <w:rFonts w:cs="Times New Roman"/>
                <w:sz w:val="21"/>
                <w:szCs w:val="21"/>
              </w:rPr>
            </w:pPr>
            <w:r>
              <w:rPr>
                <w:rFonts w:cs="Times New Roman"/>
                <w:kern w:val="0"/>
                <w:sz w:val="21"/>
                <w:szCs w:val="21"/>
              </w:rPr>
              <w:t>硝酸</w:t>
            </w:r>
            <w:r>
              <w:rPr>
                <w:rFonts w:cs="Times New Roman" w:hint="eastAsia"/>
                <w:kern w:val="0"/>
                <w:sz w:val="21"/>
                <w:szCs w:val="21"/>
              </w:rPr>
              <w:t>银</w:t>
            </w:r>
            <w:r>
              <w:rPr>
                <w:rFonts w:cs="Times New Roman"/>
                <w:kern w:val="0"/>
                <w:sz w:val="21"/>
                <w:szCs w:val="21"/>
              </w:rPr>
              <w:t>滴定法</w:t>
            </w:r>
          </w:p>
        </w:tc>
        <w:tc>
          <w:tcPr>
            <w:tcW w:w="2218" w:type="dxa"/>
            <w:tcBorders>
              <w:top w:val="single" w:sz="4" w:space="0" w:color="auto"/>
              <w:left w:val="nil"/>
              <w:bottom w:val="single" w:sz="4" w:space="0" w:color="auto"/>
              <w:right w:val="single" w:sz="4" w:space="0" w:color="auto"/>
            </w:tcBorders>
            <w:vAlign w:val="center"/>
          </w:tcPr>
          <w:p w14:paraId="3BDCA09A" w14:textId="77777777" w:rsidR="00E579B9" w:rsidRDefault="006A1398">
            <w:pPr>
              <w:adjustRightInd w:val="0"/>
              <w:spacing w:line="240" w:lineRule="auto"/>
              <w:ind w:firstLineChars="0" w:firstLine="0"/>
              <w:jc w:val="center"/>
              <w:textAlignment w:val="center"/>
              <w:rPr>
                <w:rFonts w:cs="Times New Roman"/>
                <w:sz w:val="21"/>
                <w:szCs w:val="21"/>
              </w:rPr>
            </w:pPr>
            <w:r>
              <w:rPr>
                <w:rFonts w:cs="Times New Roman" w:hint="eastAsia"/>
                <w:sz w:val="21"/>
                <w:szCs w:val="21"/>
              </w:rPr>
              <w:t>GB/T11896-1989</w:t>
            </w:r>
          </w:p>
        </w:tc>
        <w:tc>
          <w:tcPr>
            <w:tcW w:w="1585" w:type="dxa"/>
            <w:tcBorders>
              <w:top w:val="single" w:sz="4" w:space="0" w:color="auto"/>
              <w:left w:val="nil"/>
              <w:bottom w:val="single" w:sz="4" w:space="0" w:color="auto"/>
              <w:right w:val="single" w:sz="4" w:space="0" w:color="auto"/>
            </w:tcBorders>
            <w:vAlign w:val="center"/>
          </w:tcPr>
          <w:p w14:paraId="1A0A0013" w14:textId="77777777" w:rsidR="00E579B9" w:rsidRDefault="006A1398">
            <w:pPr>
              <w:adjustRightInd w:val="0"/>
              <w:spacing w:line="240" w:lineRule="auto"/>
              <w:ind w:firstLineChars="0" w:firstLine="0"/>
              <w:jc w:val="center"/>
              <w:textAlignment w:val="center"/>
              <w:rPr>
                <w:rFonts w:cs="Times New Roman"/>
                <w:sz w:val="21"/>
                <w:szCs w:val="21"/>
              </w:rPr>
            </w:pPr>
            <w:r>
              <w:rPr>
                <w:rFonts w:cs="Times New Roman" w:hint="eastAsia"/>
                <w:kern w:val="0"/>
                <w:sz w:val="21"/>
                <w:szCs w:val="21"/>
              </w:rPr>
              <w:t>10</w:t>
            </w:r>
            <w:r>
              <w:rPr>
                <w:rFonts w:cs="Times New Roman"/>
                <w:sz w:val="21"/>
                <w:szCs w:val="21"/>
              </w:rPr>
              <w:t>mg/L</w:t>
            </w:r>
          </w:p>
        </w:tc>
      </w:tr>
      <w:tr w:rsidR="00E579B9" w14:paraId="044FB8F9"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158812B4"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l2br w:val="nil"/>
              <w:tr2bl w:val="nil"/>
            </w:tcBorders>
            <w:vAlign w:val="center"/>
          </w:tcPr>
          <w:p w14:paraId="2042336C" w14:textId="77777777" w:rsidR="00E579B9" w:rsidRDefault="006A1398">
            <w:pPr>
              <w:widowControl w:val="0"/>
              <w:adjustRightInd w:val="0"/>
              <w:spacing w:line="240" w:lineRule="auto"/>
              <w:ind w:firstLineChars="0" w:firstLine="0"/>
              <w:jc w:val="center"/>
              <w:rPr>
                <w:rFonts w:cs="Times New Roman"/>
                <w:sz w:val="21"/>
                <w:szCs w:val="21"/>
              </w:rPr>
            </w:pPr>
            <w:r>
              <w:rPr>
                <w:sz w:val="21"/>
                <w:szCs w:val="21"/>
              </w:rPr>
              <w:t>总硬度</w:t>
            </w:r>
          </w:p>
        </w:tc>
        <w:tc>
          <w:tcPr>
            <w:tcW w:w="2371" w:type="dxa"/>
            <w:tcBorders>
              <w:tl2br w:val="nil"/>
              <w:tr2bl w:val="nil"/>
            </w:tcBorders>
            <w:vAlign w:val="center"/>
          </w:tcPr>
          <w:p w14:paraId="26BB7A45" w14:textId="77777777" w:rsidR="00E579B9" w:rsidRDefault="006A1398">
            <w:pPr>
              <w:adjustRightInd w:val="0"/>
              <w:spacing w:line="240" w:lineRule="auto"/>
              <w:ind w:firstLineChars="0" w:firstLine="0"/>
              <w:jc w:val="center"/>
              <w:textAlignment w:val="top"/>
              <w:rPr>
                <w:rFonts w:cs="Times New Roman"/>
                <w:kern w:val="0"/>
                <w:sz w:val="21"/>
                <w:szCs w:val="21"/>
              </w:rPr>
            </w:pPr>
            <w:r>
              <w:rPr>
                <w:sz w:val="21"/>
                <w:szCs w:val="21"/>
              </w:rPr>
              <w:t>乙二胺四乙酸二钠滴定法</w:t>
            </w:r>
          </w:p>
        </w:tc>
        <w:tc>
          <w:tcPr>
            <w:tcW w:w="2218" w:type="dxa"/>
            <w:tcBorders>
              <w:tl2br w:val="nil"/>
              <w:tr2bl w:val="nil"/>
            </w:tcBorders>
            <w:vAlign w:val="center"/>
          </w:tcPr>
          <w:p w14:paraId="014E8036" w14:textId="77777777" w:rsidR="00E579B9" w:rsidRDefault="006A1398">
            <w:pPr>
              <w:adjustRightInd w:val="0"/>
              <w:spacing w:line="240" w:lineRule="auto"/>
              <w:ind w:firstLineChars="0" w:firstLine="0"/>
              <w:jc w:val="center"/>
              <w:textAlignment w:val="center"/>
              <w:rPr>
                <w:rFonts w:cs="Times New Roman"/>
                <w:sz w:val="21"/>
                <w:szCs w:val="21"/>
              </w:rPr>
            </w:pPr>
            <w:r>
              <w:rPr>
                <w:sz w:val="21"/>
                <w:szCs w:val="21"/>
              </w:rPr>
              <w:t>GB/T5750.4-2006</w:t>
            </w:r>
          </w:p>
        </w:tc>
        <w:tc>
          <w:tcPr>
            <w:tcW w:w="1585" w:type="dxa"/>
            <w:tcBorders>
              <w:top w:val="single" w:sz="4" w:space="0" w:color="auto"/>
              <w:left w:val="nil"/>
              <w:bottom w:val="single" w:sz="4" w:space="0" w:color="auto"/>
              <w:right w:val="single" w:sz="4" w:space="0" w:color="auto"/>
            </w:tcBorders>
            <w:vAlign w:val="center"/>
          </w:tcPr>
          <w:p w14:paraId="3B99549C" w14:textId="77777777" w:rsidR="00E579B9" w:rsidRDefault="00E579B9">
            <w:pPr>
              <w:adjustRightInd w:val="0"/>
              <w:spacing w:line="240" w:lineRule="auto"/>
              <w:ind w:firstLineChars="0" w:firstLine="0"/>
              <w:jc w:val="center"/>
              <w:textAlignment w:val="center"/>
              <w:rPr>
                <w:rFonts w:cs="Times New Roman"/>
                <w:kern w:val="0"/>
                <w:sz w:val="21"/>
                <w:szCs w:val="21"/>
              </w:rPr>
            </w:pPr>
          </w:p>
        </w:tc>
      </w:tr>
      <w:tr w:rsidR="00E579B9" w14:paraId="3636A159"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0177CE4D"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l2br w:val="nil"/>
              <w:tr2bl w:val="nil"/>
            </w:tcBorders>
            <w:vAlign w:val="center"/>
          </w:tcPr>
          <w:p w14:paraId="6C320908" w14:textId="77777777" w:rsidR="00E579B9" w:rsidRDefault="006A1398">
            <w:pPr>
              <w:widowControl w:val="0"/>
              <w:adjustRightInd w:val="0"/>
              <w:spacing w:line="240" w:lineRule="auto"/>
              <w:ind w:firstLineChars="0" w:firstLine="0"/>
              <w:jc w:val="center"/>
              <w:rPr>
                <w:rFonts w:cs="Times New Roman"/>
                <w:sz w:val="21"/>
                <w:szCs w:val="21"/>
              </w:rPr>
            </w:pPr>
            <w:r>
              <w:rPr>
                <w:sz w:val="21"/>
                <w:szCs w:val="21"/>
              </w:rPr>
              <w:t>耗氧量</w:t>
            </w:r>
          </w:p>
        </w:tc>
        <w:tc>
          <w:tcPr>
            <w:tcW w:w="2371" w:type="dxa"/>
            <w:tcBorders>
              <w:tl2br w:val="nil"/>
              <w:tr2bl w:val="nil"/>
            </w:tcBorders>
            <w:vAlign w:val="center"/>
          </w:tcPr>
          <w:p w14:paraId="5691666D" w14:textId="77777777" w:rsidR="00E579B9" w:rsidRDefault="006A1398">
            <w:pPr>
              <w:adjustRightInd w:val="0"/>
              <w:spacing w:line="240" w:lineRule="auto"/>
              <w:ind w:firstLineChars="0" w:firstLine="0"/>
              <w:jc w:val="center"/>
              <w:textAlignment w:val="top"/>
              <w:rPr>
                <w:rFonts w:cs="Times New Roman"/>
                <w:kern w:val="0"/>
                <w:sz w:val="21"/>
                <w:szCs w:val="21"/>
              </w:rPr>
            </w:pPr>
            <w:r>
              <w:rPr>
                <w:color w:val="000000"/>
                <w:sz w:val="21"/>
                <w:szCs w:val="21"/>
                <w:lang w:bidi="ar"/>
              </w:rPr>
              <w:t>生活饮用水标准检验方法有机物综合指标（</w:t>
            </w:r>
            <w:r>
              <w:rPr>
                <w:color w:val="000000"/>
                <w:sz w:val="21"/>
                <w:szCs w:val="21"/>
                <w:lang w:bidi="ar"/>
              </w:rPr>
              <w:t>1</w:t>
            </w:r>
            <w:r>
              <w:rPr>
                <w:color w:val="000000"/>
                <w:sz w:val="21"/>
                <w:szCs w:val="21"/>
                <w:lang w:bidi="ar"/>
              </w:rPr>
              <w:t>耗氧量</w:t>
            </w:r>
            <w:r>
              <w:rPr>
                <w:color w:val="000000"/>
                <w:sz w:val="21"/>
                <w:szCs w:val="21"/>
                <w:lang w:bidi="ar"/>
              </w:rPr>
              <w:t>1.1</w:t>
            </w:r>
            <w:r>
              <w:rPr>
                <w:color w:val="000000"/>
                <w:sz w:val="21"/>
                <w:szCs w:val="21"/>
                <w:lang w:bidi="ar"/>
              </w:rPr>
              <w:t>酸性高锰酸钾滴定法）</w:t>
            </w:r>
          </w:p>
        </w:tc>
        <w:tc>
          <w:tcPr>
            <w:tcW w:w="2218" w:type="dxa"/>
            <w:tcBorders>
              <w:tl2br w:val="nil"/>
              <w:tr2bl w:val="nil"/>
            </w:tcBorders>
            <w:vAlign w:val="center"/>
          </w:tcPr>
          <w:p w14:paraId="231345FB" w14:textId="77777777" w:rsidR="00E579B9" w:rsidRDefault="006A1398">
            <w:pPr>
              <w:adjustRightInd w:val="0"/>
              <w:spacing w:line="240" w:lineRule="auto"/>
              <w:ind w:firstLineChars="0" w:firstLine="0"/>
              <w:jc w:val="center"/>
              <w:textAlignment w:val="center"/>
              <w:rPr>
                <w:rFonts w:cs="Times New Roman"/>
                <w:sz w:val="21"/>
                <w:szCs w:val="21"/>
              </w:rPr>
            </w:pPr>
            <w:r>
              <w:rPr>
                <w:color w:val="000000"/>
                <w:sz w:val="21"/>
                <w:szCs w:val="21"/>
                <w:lang w:bidi="ar"/>
              </w:rPr>
              <w:t>GB/T5750.7-2006</w:t>
            </w:r>
          </w:p>
        </w:tc>
        <w:tc>
          <w:tcPr>
            <w:tcW w:w="1585" w:type="dxa"/>
            <w:tcBorders>
              <w:top w:val="single" w:sz="4" w:space="0" w:color="auto"/>
              <w:left w:val="nil"/>
              <w:bottom w:val="single" w:sz="4" w:space="0" w:color="auto"/>
              <w:right w:val="single" w:sz="4" w:space="0" w:color="auto"/>
            </w:tcBorders>
            <w:vAlign w:val="center"/>
          </w:tcPr>
          <w:p w14:paraId="3570749E" w14:textId="77777777" w:rsidR="00E579B9" w:rsidRDefault="00E579B9">
            <w:pPr>
              <w:adjustRightInd w:val="0"/>
              <w:spacing w:line="240" w:lineRule="auto"/>
              <w:ind w:firstLineChars="0" w:firstLine="0"/>
              <w:jc w:val="center"/>
              <w:textAlignment w:val="center"/>
              <w:rPr>
                <w:rFonts w:cs="Times New Roman"/>
                <w:kern w:val="0"/>
                <w:sz w:val="21"/>
                <w:szCs w:val="21"/>
              </w:rPr>
            </w:pPr>
          </w:p>
        </w:tc>
      </w:tr>
      <w:tr w:rsidR="00E579B9" w14:paraId="7E493CD0"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68D8A5E7"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l2br w:val="nil"/>
              <w:tr2bl w:val="nil"/>
            </w:tcBorders>
            <w:vAlign w:val="center"/>
          </w:tcPr>
          <w:p w14:paraId="5A616F33" w14:textId="77777777" w:rsidR="00E579B9" w:rsidRDefault="006A1398">
            <w:pPr>
              <w:widowControl w:val="0"/>
              <w:adjustRightInd w:val="0"/>
              <w:spacing w:line="240" w:lineRule="auto"/>
              <w:ind w:firstLineChars="0" w:firstLine="0"/>
              <w:jc w:val="center"/>
              <w:rPr>
                <w:rFonts w:cs="Times New Roman"/>
                <w:sz w:val="21"/>
                <w:szCs w:val="21"/>
              </w:rPr>
            </w:pPr>
            <w:r>
              <w:rPr>
                <w:sz w:val="21"/>
                <w:szCs w:val="21"/>
              </w:rPr>
              <w:t>K</w:t>
            </w:r>
            <w:r>
              <w:rPr>
                <w:sz w:val="21"/>
                <w:szCs w:val="21"/>
                <w:vertAlign w:val="superscript"/>
              </w:rPr>
              <w:t>+</w:t>
            </w:r>
          </w:p>
        </w:tc>
        <w:tc>
          <w:tcPr>
            <w:tcW w:w="2371" w:type="dxa"/>
            <w:tcBorders>
              <w:tl2br w:val="nil"/>
              <w:tr2bl w:val="nil"/>
            </w:tcBorders>
            <w:vAlign w:val="center"/>
          </w:tcPr>
          <w:p w14:paraId="66F3E106" w14:textId="77777777" w:rsidR="00E579B9" w:rsidRDefault="006A1398">
            <w:pPr>
              <w:adjustRightInd w:val="0"/>
              <w:spacing w:line="240" w:lineRule="auto"/>
              <w:ind w:firstLineChars="0" w:firstLine="0"/>
              <w:jc w:val="center"/>
              <w:textAlignment w:val="top"/>
              <w:rPr>
                <w:rFonts w:cs="Times New Roman"/>
                <w:kern w:val="0"/>
                <w:sz w:val="21"/>
                <w:szCs w:val="21"/>
              </w:rPr>
            </w:pPr>
            <w:r>
              <w:rPr>
                <w:sz w:val="21"/>
                <w:szCs w:val="21"/>
              </w:rPr>
              <w:t>水质钾和钠的测定火焰原子吸收分光光度法</w:t>
            </w:r>
          </w:p>
        </w:tc>
        <w:tc>
          <w:tcPr>
            <w:tcW w:w="2218" w:type="dxa"/>
            <w:tcBorders>
              <w:tl2br w:val="nil"/>
              <w:tr2bl w:val="nil"/>
            </w:tcBorders>
            <w:vAlign w:val="center"/>
          </w:tcPr>
          <w:p w14:paraId="350C99CB" w14:textId="77777777" w:rsidR="00E579B9" w:rsidRDefault="006A1398">
            <w:pPr>
              <w:adjustRightInd w:val="0"/>
              <w:spacing w:line="240" w:lineRule="auto"/>
              <w:ind w:firstLineChars="0" w:firstLine="0"/>
              <w:jc w:val="center"/>
              <w:textAlignment w:val="center"/>
              <w:rPr>
                <w:rFonts w:cs="Times New Roman"/>
                <w:sz w:val="21"/>
                <w:szCs w:val="21"/>
              </w:rPr>
            </w:pPr>
            <w:r>
              <w:rPr>
                <w:sz w:val="21"/>
                <w:szCs w:val="21"/>
              </w:rPr>
              <w:t>GB11904-1989</w:t>
            </w:r>
          </w:p>
        </w:tc>
        <w:tc>
          <w:tcPr>
            <w:tcW w:w="1585" w:type="dxa"/>
            <w:tcBorders>
              <w:top w:val="single" w:sz="4" w:space="0" w:color="auto"/>
              <w:left w:val="nil"/>
              <w:bottom w:val="single" w:sz="4" w:space="0" w:color="auto"/>
              <w:right w:val="single" w:sz="4" w:space="0" w:color="auto"/>
            </w:tcBorders>
            <w:vAlign w:val="center"/>
          </w:tcPr>
          <w:p w14:paraId="3F74C8D4" w14:textId="77777777" w:rsidR="00E579B9" w:rsidRDefault="00E579B9">
            <w:pPr>
              <w:adjustRightInd w:val="0"/>
              <w:spacing w:line="240" w:lineRule="auto"/>
              <w:ind w:firstLineChars="0" w:firstLine="0"/>
              <w:jc w:val="center"/>
              <w:textAlignment w:val="center"/>
              <w:rPr>
                <w:rFonts w:cs="Times New Roman"/>
                <w:kern w:val="0"/>
                <w:sz w:val="21"/>
                <w:szCs w:val="21"/>
              </w:rPr>
            </w:pPr>
          </w:p>
        </w:tc>
      </w:tr>
      <w:tr w:rsidR="00E579B9" w14:paraId="74E9C73B"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5AAEE28F"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l2br w:val="nil"/>
              <w:tr2bl w:val="nil"/>
            </w:tcBorders>
            <w:vAlign w:val="center"/>
          </w:tcPr>
          <w:p w14:paraId="0236707A" w14:textId="77777777" w:rsidR="00E579B9" w:rsidRDefault="006A1398">
            <w:pPr>
              <w:widowControl w:val="0"/>
              <w:adjustRightInd w:val="0"/>
              <w:spacing w:line="240" w:lineRule="auto"/>
              <w:ind w:firstLineChars="0" w:firstLine="0"/>
              <w:jc w:val="center"/>
              <w:rPr>
                <w:rFonts w:cs="Times New Roman"/>
                <w:sz w:val="21"/>
                <w:szCs w:val="21"/>
              </w:rPr>
            </w:pPr>
            <w:r>
              <w:rPr>
                <w:sz w:val="21"/>
                <w:szCs w:val="21"/>
              </w:rPr>
              <w:t>Na</w:t>
            </w:r>
            <w:r>
              <w:rPr>
                <w:sz w:val="21"/>
                <w:szCs w:val="21"/>
                <w:vertAlign w:val="superscript"/>
              </w:rPr>
              <w:t>+</w:t>
            </w:r>
          </w:p>
        </w:tc>
        <w:tc>
          <w:tcPr>
            <w:tcW w:w="2371" w:type="dxa"/>
            <w:tcBorders>
              <w:tl2br w:val="nil"/>
              <w:tr2bl w:val="nil"/>
            </w:tcBorders>
            <w:vAlign w:val="center"/>
          </w:tcPr>
          <w:p w14:paraId="7D85BAB4" w14:textId="77777777" w:rsidR="00E579B9" w:rsidRDefault="006A1398">
            <w:pPr>
              <w:adjustRightInd w:val="0"/>
              <w:spacing w:line="240" w:lineRule="auto"/>
              <w:ind w:firstLineChars="0" w:firstLine="0"/>
              <w:jc w:val="center"/>
              <w:textAlignment w:val="top"/>
              <w:rPr>
                <w:rFonts w:cs="Times New Roman"/>
                <w:kern w:val="0"/>
                <w:sz w:val="21"/>
                <w:szCs w:val="21"/>
              </w:rPr>
            </w:pPr>
            <w:r>
              <w:rPr>
                <w:sz w:val="21"/>
                <w:szCs w:val="21"/>
              </w:rPr>
              <w:t>水质钾和钠的测定火焰原子吸收分光光度法</w:t>
            </w:r>
          </w:p>
        </w:tc>
        <w:tc>
          <w:tcPr>
            <w:tcW w:w="2218" w:type="dxa"/>
            <w:tcBorders>
              <w:tl2br w:val="nil"/>
              <w:tr2bl w:val="nil"/>
            </w:tcBorders>
            <w:vAlign w:val="center"/>
          </w:tcPr>
          <w:p w14:paraId="0E58890D" w14:textId="77777777" w:rsidR="00E579B9" w:rsidRDefault="006A1398">
            <w:pPr>
              <w:adjustRightInd w:val="0"/>
              <w:spacing w:line="240" w:lineRule="auto"/>
              <w:ind w:firstLineChars="0" w:firstLine="0"/>
              <w:jc w:val="center"/>
              <w:textAlignment w:val="center"/>
              <w:rPr>
                <w:rFonts w:cs="Times New Roman"/>
                <w:sz w:val="21"/>
                <w:szCs w:val="21"/>
              </w:rPr>
            </w:pPr>
            <w:r>
              <w:rPr>
                <w:sz w:val="21"/>
                <w:szCs w:val="21"/>
              </w:rPr>
              <w:t>GB11904-1989</w:t>
            </w:r>
          </w:p>
        </w:tc>
        <w:tc>
          <w:tcPr>
            <w:tcW w:w="1585" w:type="dxa"/>
            <w:tcBorders>
              <w:top w:val="single" w:sz="4" w:space="0" w:color="auto"/>
              <w:left w:val="nil"/>
              <w:bottom w:val="single" w:sz="4" w:space="0" w:color="auto"/>
              <w:right w:val="single" w:sz="4" w:space="0" w:color="auto"/>
            </w:tcBorders>
            <w:vAlign w:val="center"/>
          </w:tcPr>
          <w:p w14:paraId="758E734A" w14:textId="77777777" w:rsidR="00E579B9" w:rsidRDefault="00E579B9">
            <w:pPr>
              <w:adjustRightInd w:val="0"/>
              <w:spacing w:line="240" w:lineRule="auto"/>
              <w:ind w:firstLineChars="0" w:firstLine="0"/>
              <w:jc w:val="center"/>
              <w:textAlignment w:val="center"/>
              <w:rPr>
                <w:rFonts w:cs="Times New Roman"/>
                <w:kern w:val="0"/>
                <w:sz w:val="21"/>
                <w:szCs w:val="21"/>
              </w:rPr>
            </w:pPr>
          </w:p>
        </w:tc>
      </w:tr>
      <w:tr w:rsidR="00E579B9" w14:paraId="783E0677"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478D0B42"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l2br w:val="nil"/>
              <w:tr2bl w:val="nil"/>
            </w:tcBorders>
            <w:vAlign w:val="center"/>
          </w:tcPr>
          <w:p w14:paraId="08F5C151" w14:textId="77777777" w:rsidR="00E579B9" w:rsidRDefault="006A1398">
            <w:pPr>
              <w:widowControl w:val="0"/>
              <w:adjustRightInd w:val="0"/>
              <w:spacing w:line="240" w:lineRule="auto"/>
              <w:ind w:firstLineChars="0" w:firstLine="0"/>
              <w:jc w:val="center"/>
              <w:rPr>
                <w:rFonts w:cs="Times New Roman"/>
                <w:sz w:val="21"/>
                <w:szCs w:val="21"/>
              </w:rPr>
            </w:pPr>
            <w:r>
              <w:rPr>
                <w:sz w:val="21"/>
                <w:szCs w:val="21"/>
              </w:rPr>
              <w:t>Ca</w:t>
            </w:r>
            <w:r>
              <w:rPr>
                <w:sz w:val="21"/>
                <w:szCs w:val="21"/>
                <w:vertAlign w:val="superscript"/>
              </w:rPr>
              <w:t>2+</w:t>
            </w:r>
          </w:p>
        </w:tc>
        <w:tc>
          <w:tcPr>
            <w:tcW w:w="2371" w:type="dxa"/>
            <w:tcBorders>
              <w:tl2br w:val="nil"/>
              <w:tr2bl w:val="nil"/>
            </w:tcBorders>
            <w:vAlign w:val="center"/>
          </w:tcPr>
          <w:p w14:paraId="5705E7D6" w14:textId="77777777" w:rsidR="00E579B9" w:rsidRDefault="006A1398">
            <w:pPr>
              <w:adjustRightInd w:val="0"/>
              <w:spacing w:line="240" w:lineRule="auto"/>
              <w:ind w:firstLineChars="0" w:firstLine="0"/>
              <w:jc w:val="center"/>
              <w:textAlignment w:val="top"/>
              <w:rPr>
                <w:rFonts w:cs="Times New Roman"/>
                <w:kern w:val="0"/>
                <w:sz w:val="21"/>
                <w:szCs w:val="21"/>
              </w:rPr>
            </w:pPr>
            <w:r>
              <w:rPr>
                <w:sz w:val="21"/>
                <w:szCs w:val="21"/>
              </w:rPr>
              <w:t>水质钙和镁的测定原子吸收分光光度法</w:t>
            </w:r>
          </w:p>
        </w:tc>
        <w:tc>
          <w:tcPr>
            <w:tcW w:w="2218" w:type="dxa"/>
            <w:tcBorders>
              <w:tl2br w:val="nil"/>
              <w:tr2bl w:val="nil"/>
            </w:tcBorders>
            <w:vAlign w:val="center"/>
          </w:tcPr>
          <w:p w14:paraId="189BEB6A" w14:textId="77777777" w:rsidR="00E579B9" w:rsidRDefault="006A1398">
            <w:pPr>
              <w:adjustRightInd w:val="0"/>
              <w:spacing w:line="240" w:lineRule="auto"/>
              <w:ind w:firstLineChars="0" w:firstLine="0"/>
              <w:jc w:val="center"/>
              <w:textAlignment w:val="center"/>
              <w:rPr>
                <w:rFonts w:cs="Times New Roman"/>
                <w:sz w:val="21"/>
                <w:szCs w:val="21"/>
              </w:rPr>
            </w:pPr>
            <w:r>
              <w:rPr>
                <w:sz w:val="21"/>
                <w:szCs w:val="21"/>
              </w:rPr>
              <w:t>GB11905-1989</w:t>
            </w:r>
          </w:p>
        </w:tc>
        <w:tc>
          <w:tcPr>
            <w:tcW w:w="1585" w:type="dxa"/>
            <w:tcBorders>
              <w:top w:val="single" w:sz="4" w:space="0" w:color="auto"/>
              <w:left w:val="nil"/>
              <w:bottom w:val="single" w:sz="4" w:space="0" w:color="auto"/>
              <w:right w:val="single" w:sz="4" w:space="0" w:color="auto"/>
            </w:tcBorders>
            <w:vAlign w:val="center"/>
          </w:tcPr>
          <w:p w14:paraId="30A2FFD9" w14:textId="77777777" w:rsidR="00E579B9" w:rsidRDefault="00E579B9">
            <w:pPr>
              <w:adjustRightInd w:val="0"/>
              <w:spacing w:line="240" w:lineRule="auto"/>
              <w:ind w:firstLineChars="0" w:firstLine="0"/>
              <w:jc w:val="center"/>
              <w:textAlignment w:val="center"/>
              <w:rPr>
                <w:rFonts w:cs="Times New Roman"/>
                <w:kern w:val="0"/>
                <w:sz w:val="21"/>
                <w:szCs w:val="21"/>
              </w:rPr>
            </w:pPr>
          </w:p>
        </w:tc>
      </w:tr>
      <w:tr w:rsidR="00E579B9" w14:paraId="0F56FAF2"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7E8AECE0"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l2br w:val="nil"/>
              <w:tr2bl w:val="nil"/>
            </w:tcBorders>
            <w:vAlign w:val="center"/>
          </w:tcPr>
          <w:p w14:paraId="32AE5213" w14:textId="77777777" w:rsidR="00E579B9" w:rsidRDefault="006A1398">
            <w:pPr>
              <w:widowControl w:val="0"/>
              <w:adjustRightInd w:val="0"/>
              <w:spacing w:line="240" w:lineRule="auto"/>
              <w:ind w:firstLineChars="0" w:firstLine="0"/>
              <w:jc w:val="center"/>
              <w:rPr>
                <w:rFonts w:cs="Times New Roman"/>
                <w:sz w:val="21"/>
                <w:szCs w:val="21"/>
              </w:rPr>
            </w:pPr>
            <w:r>
              <w:rPr>
                <w:sz w:val="21"/>
                <w:szCs w:val="21"/>
              </w:rPr>
              <w:t>Mg</w:t>
            </w:r>
            <w:r>
              <w:rPr>
                <w:sz w:val="21"/>
                <w:szCs w:val="21"/>
                <w:vertAlign w:val="superscript"/>
              </w:rPr>
              <w:t>2+</w:t>
            </w:r>
          </w:p>
        </w:tc>
        <w:tc>
          <w:tcPr>
            <w:tcW w:w="2371" w:type="dxa"/>
            <w:tcBorders>
              <w:tl2br w:val="nil"/>
              <w:tr2bl w:val="nil"/>
            </w:tcBorders>
            <w:vAlign w:val="center"/>
          </w:tcPr>
          <w:p w14:paraId="648F70C0" w14:textId="77777777" w:rsidR="00E579B9" w:rsidRDefault="006A1398">
            <w:pPr>
              <w:adjustRightInd w:val="0"/>
              <w:spacing w:line="240" w:lineRule="auto"/>
              <w:ind w:firstLineChars="0" w:firstLine="0"/>
              <w:jc w:val="center"/>
              <w:textAlignment w:val="top"/>
              <w:rPr>
                <w:rFonts w:cs="Times New Roman"/>
                <w:kern w:val="0"/>
                <w:sz w:val="21"/>
                <w:szCs w:val="21"/>
              </w:rPr>
            </w:pPr>
            <w:r>
              <w:rPr>
                <w:sz w:val="21"/>
                <w:szCs w:val="21"/>
              </w:rPr>
              <w:t>水质钙和镁的测定原子吸收分光光度法</w:t>
            </w:r>
          </w:p>
        </w:tc>
        <w:tc>
          <w:tcPr>
            <w:tcW w:w="2218" w:type="dxa"/>
            <w:tcBorders>
              <w:tl2br w:val="nil"/>
              <w:tr2bl w:val="nil"/>
            </w:tcBorders>
            <w:vAlign w:val="center"/>
          </w:tcPr>
          <w:p w14:paraId="6DE56B63" w14:textId="77777777" w:rsidR="00E579B9" w:rsidRDefault="006A1398">
            <w:pPr>
              <w:adjustRightInd w:val="0"/>
              <w:spacing w:line="240" w:lineRule="auto"/>
              <w:ind w:firstLineChars="0" w:firstLine="0"/>
              <w:jc w:val="center"/>
              <w:textAlignment w:val="center"/>
              <w:rPr>
                <w:rFonts w:cs="Times New Roman"/>
                <w:sz w:val="21"/>
                <w:szCs w:val="21"/>
              </w:rPr>
            </w:pPr>
            <w:r>
              <w:rPr>
                <w:sz w:val="21"/>
                <w:szCs w:val="21"/>
              </w:rPr>
              <w:t>GB11905-1989</w:t>
            </w:r>
          </w:p>
        </w:tc>
        <w:tc>
          <w:tcPr>
            <w:tcW w:w="1585" w:type="dxa"/>
            <w:tcBorders>
              <w:top w:val="single" w:sz="4" w:space="0" w:color="auto"/>
              <w:left w:val="nil"/>
              <w:bottom w:val="single" w:sz="4" w:space="0" w:color="auto"/>
              <w:right w:val="single" w:sz="4" w:space="0" w:color="auto"/>
            </w:tcBorders>
            <w:vAlign w:val="center"/>
          </w:tcPr>
          <w:p w14:paraId="1555958D" w14:textId="77777777" w:rsidR="00E579B9" w:rsidRDefault="00E579B9">
            <w:pPr>
              <w:adjustRightInd w:val="0"/>
              <w:spacing w:line="240" w:lineRule="auto"/>
              <w:ind w:firstLineChars="0" w:firstLine="0"/>
              <w:jc w:val="center"/>
              <w:textAlignment w:val="center"/>
              <w:rPr>
                <w:rFonts w:cs="Times New Roman"/>
                <w:kern w:val="0"/>
                <w:sz w:val="21"/>
                <w:szCs w:val="21"/>
              </w:rPr>
            </w:pPr>
          </w:p>
        </w:tc>
      </w:tr>
      <w:tr w:rsidR="00E579B9" w14:paraId="449E018A"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16E5DCA6"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l2br w:val="nil"/>
              <w:tr2bl w:val="nil"/>
            </w:tcBorders>
            <w:vAlign w:val="center"/>
          </w:tcPr>
          <w:p w14:paraId="0B4E91C4" w14:textId="77777777" w:rsidR="00E579B9" w:rsidRDefault="006A1398">
            <w:pPr>
              <w:widowControl w:val="0"/>
              <w:adjustRightInd w:val="0"/>
              <w:spacing w:line="240" w:lineRule="auto"/>
              <w:ind w:firstLineChars="0" w:firstLine="0"/>
              <w:jc w:val="center"/>
              <w:rPr>
                <w:rFonts w:cs="Times New Roman"/>
                <w:sz w:val="21"/>
                <w:szCs w:val="21"/>
              </w:rPr>
            </w:pPr>
            <w:r>
              <w:rPr>
                <w:sz w:val="21"/>
                <w:szCs w:val="21"/>
              </w:rPr>
              <w:t>CO</w:t>
            </w:r>
            <w:r>
              <w:rPr>
                <w:sz w:val="21"/>
                <w:szCs w:val="21"/>
                <w:vertAlign w:val="subscript"/>
              </w:rPr>
              <w:t>3</w:t>
            </w:r>
            <w:r>
              <w:rPr>
                <w:sz w:val="21"/>
                <w:szCs w:val="21"/>
                <w:vertAlign w:val="superscript"/>
              </w:rPr>
              <w:t>2-</w:t>
            </w:r>
          </w:p>
        </w:tc>
        <w:tc>
          <w:tcPr>
            <w:tcW w:w="2371" w:type="dxa"/>
            <w:tcBorders>
              <w:tl2br w:val="nil"/>
              <w:tr2bl w:val="nil"/>
            </w:tcBorders>
            <w:vAlign w:val="center"/>
          </w:tcPr>
          <w:p w14:paraId="603ACE4A" w14:textId="77777777" w:rsidR="00E579B9" w:rsidRDefault="006A1398">
            <w:pPr>
              <w:adjustRightInd w:val="0"/>
              <w:spacing w:line="240" w:lineRule="auto"/>
              <w:ind w:firstLineChars="0" w:firstLine="0"/>
              <w:jc w:val="center"/>
              <w:textAlignment w:val="top"/>
              <w:rPr>
                <w:rFonts w:cs="Times New Roman"/>
                <w:kern w:val="0"/>
                <w:sz w:val="21"/>
                <w:szCs w:val="21"/>
              </w:rPr>
            </w:pPr>
            <w:r>
              <w:rPr>
                <w:sz w:val="21"/>
                <w:szCs w:val="21"/>
              </w:rPr>
              <w:t>地下水质检验方法滴定法测定碳酸根、重碳酸根和氢氧根</w:t>
            </w:r>
          </w:p>
        </w:tc>
        <w:tc>
          <w:tcPr>
            <w:tcW w:w="2218" w:type="dxa"/>
            <w:tcBorders>
              <w:tl2br w:val="nil"/>
              <w:tr2bl w:val="nil"/>
            </w:tcBorders>
            <w:vAlign w:val="center"/>
          </w:tcPr>
          <w:p w14:paraId="4B08CEAA" w14:textId="77777777" w:rsidR="00E579B9" w:rsidRDefault="006A1398">
            <w:pPr>
              <w:adjustRightInd w:val="0"/>
              <w:spacing w:line="240" w:lineRule="auto"/>
              <w:ind w:firstLineChars="0" w:firstLine="0"/>
              <w:jc w:val="center"/>
              <w:textAlignment w:val="center"/>
              <w:rPr>
                <w:rFonts w:cs="Times New Roman"/>
                <w:sz w:val="21"/>
                <w:szCs w:val="21"/>
              </w:rPr>
            </w:pPr>
            <w:r>
              <w:rPr>
                <w:sz w:val="21"/>
                <w:szCs w:val="21"/>
              </w:rPr>
              <w:t>DZ/T0064.49-1993</w:t>
            </w:r>
          </w:p>
        </w:tc>
        <w:tc>
          <w:tcPr>
            <w:tcW w:w="1585" w:type="dxa"/>
            <w:tcBorders>
              <w:top w:val="single" w:sz="4" w:space="0" w:color="auto"/>
              <w:left w:val="nil"/>
              <w:bottom w:val="single" w:sz="4" w:space="0" w:color="auto"/>
              <w:right w:val="single" w:sz="4" w:space="0" w:color="auto"/>
            </w:tcBorders>
            <w:vAlign w:val="center"/>
          </w:tcPr>
          <w:p w14:paraId="2BED2B2C" w14:textId="77777777" w:rsidR="00E579B9" w:rsidRDefault="00E579B9">
            <w:pPr>
              <w:adjustRightInd w:val="0"/>
              <w:spacing w:line="240" w:lineRule="auto"/>
              <w:ind w:firstLineChars="0" w:firstLine="0"/>
              <w:jc w:val="center"/>
              <w:textAlignment w:val="center"/>
              <w:rPr>
                <w:rFonts w:cs="Times New Roman"/>
                <w:kern w:val="0"/>
                <w:sz w:val="21"/>
                <w:szCs w:val="21"/>
              </w:rPr>
            </w:pPr>
          </w:p>
        </w:tc>
      </w:tr>
      <w:tr w:rsidR="00E579B9" w14:paraId="1D504D8C"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7CADDAB4"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l2br w:val="nil"/>
              <w:tr2bl w:val="nil"/>
            </w:tcBorders>
            <w:vAlign w:val="center"/>
          </w:tcPr>
          <w:p w14:paraId="34AC27D9" w14:textId="77777777" w:rsidR="00E579B9" w:rsidRDefault="006A1398">
            <w:pPr>
              <w:widowControl w:val="0"/>
              <w:adjustRightInd w:val="0"/>
              <w:spacing w:line="240" w:lineRule="auto"/>
              <w:ind w:firstLineChars="0" w:firstLine="0"/>
              <w:jc w:val="center"/>
              <w:rPr>
                <w:rFonts w:cs="Times New Roman"/>
                <w:sz w:val="21"/>
                <w:szCs w:val="21"/>
              </w:rPr>
            </w:pPr>
            <w:r>
              <w:rPr>
                <w:sz w:val="21"/>
                <w:szCs w:val="21"/>
              </w:rPr>
              <w:t>HCO</w:t>
            </w:r>
            <w:r>
              <w:rPr>
                <w:sz w:val="21"/>
                <w:szCs w:val="21"/>
                <w:vertAlign w:val="subscript"/>
              </w:rPr>
              <w:t>3</w:t>
            </w:r>
            <w:r>
              <w:rPr>
                <w:sz w:val="21"/>
                <w:szCs w:val="21"/>
                <w:vertAlign w:val="superscript"/>
              </w:rPr>
              <w:t>-</w:t>
            </w:r>
          </w:p>
        </w:tc>
        <w:tc>
          <w:tcPr>
            <w:tcW w:w="2371" w:type="dxa"/>
            <w:tcBorders>
              <w:tl2br w:val="nil"/>
              <w:tr2bl w:val="nil"/>
            </w:tcBorders>
            <w:vAlign w:val="center"/>
          </w:tcPr>
          <w:p w14:paraId="4B817E6E" w14:textId="77777777" w:rsidR="00E579B9" w:rsidRDefault="006A1398">
            <w:pPr>
              <w:adjustRightInd w:val="0"/>
              <w:spacing w:line="240" w:lineRule="auto"/>
              <w:ind w:firstLineChars="0" w:firstLine="0"/>
              <w:jc w:val="center"/>
              <w:textAlignment w:val="top"/>
              <w:rPr>
                <w:rFonts w:cs="Times New Roman"/>
                <w:kern w:val="0"/>
                <w:sz w:val="21"/>
                <w:szCs w:val="21"/>
              </w:rPr>
            </w:pPr>
            <w:r>
              <w:rPr>
                <w:sz w:val="21"/>
                <w:szCs w:val="21"/>
              </w:rPr>
              <w:t>地下水质检验方法滴定法测定碳酸根、重碳酸根和氢氧根</w:t>
            </w:r>
          </w:p>
        </w:tc>
        <w:tc>
          <w:tcPr>
            <w:tcW w:w="2218" w:type="dxa"/>
            <w:tcBorders>
              <w:tl2br w:val="nil"/>
              <w:tr2bl w:val="nil"/>
            </w:tcBorders>
            <w:vAlign w:val="center"/>
          </w:tcPr>
          <w:p w14:paraId="41DC308E" w14:textId="77777777" w:rsidR="00E579B9" w:rsidRDefault="006A1398">
            <w:pPr>
              <w:adjustRightInd w:val="0"/>
              <w:spacing w:line="240" w:lineRule="auto"/>
              <w:ind w:firstLineChars="0" w:firstLine="0"/>
              <w:jc w:val="center"/>
              <w:textAlignment w:val="center"/>
              <w:rPr>
                <w:rFonts w:cs="Times New Roman"/>
                <w:sz w:val="21"/>
                <w:szCs w:val="21"/>
              </w:rPr>
            </w:pPr>
            <w:r>
              <w:rPr>
                <w:sz w:val="21"/>
                <w:szCs w:val="21"/>
              </w:rPr>
              <w:t>DZ/T0064.49-1993</w:t>
            </w:r>
          </w:p>
        </w:tc>
        <w:tc>
          <w:tcPr>
            <w:tcW w:w="1585" w:type="dxa"/>
            <w:tcBorders>
              <w:top w:val="single" w:sz="4" w:space="0" w:color="auto"/>
              <w:left w:val="nil"/>
              <w:bottom w:val="single" w:sz="4" w:space="0" w:color="auto"/>
              <w:right w:val="single" w:sz="4" w:space="0" w:color="auto"/>
            </w:tcBorders>
            <w:vAlign w:val="center"/>
          </w:tcPr>
          <w:p w14:paraId="373F9552" w14:textId="77777777" w:rsidR="00E579B9" w:rsidRDefault="00E579B9">
            <w:pPr>
              <w:adjustRightInd w:val="0"/>
              <w:spacing w:line="240" w:lineRule="auto"/>
              <w:ind w:firstLineChars="0" w:firstLine="0"/>
              <w:jc w:val="center"/>
              <w:textAlignment w:val="center"/>
              <w:rPr>
                <w:rFonts w:cs="Times New Roman"/>
                <w:kern w:val="0"/>
                <w:sz w:val="21"/>
                <w:szCs w:val="21"/>
              </w:rPr>
            </w:pPr>
          </w:p>
        </w:tc>
      </w:tr>
      <w:tr w:rsidR="00E579B9" w14:paraId="6AB6DE6C"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2CBBB6C6"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l2br w:val="nil"/>
              <w:tr2bl w:val="nil"/>
            </w:tcBorders>
            <w:vAlign w:val="center"/>
          </w:tcPr>
          <w:p w14:paraId="385F8546" w14:textId="77777777" w:rsidR="00E579B9" w:rsidRDefault="006A1398">
            <w:pPr>
              <w:widowControl w:val="0"/>
              <w:adjustRightInd w:val="0"/>
              <w:spacing w:line="240" w:lineRule="auto"/>
              <w:ind w:firstLineChars="0" w:firstLine="0"/>
              <w:jc w:val="center"/>
              <w:rPr>
                <w:rFonts w:cs="Times New Roman"/>
                <w:sz w:val="21"/>
                <w:szCs w:val="21"/>
              </w:rPr>
            </w:pPr>
            <w:r>
              <w:rPr>
                <w:sz w:val="21"/>
                <w:szCs w:val="21"/>
              </w:rPr>
              <w:t>C</w:t>
            </w:r>
            <w:r>
              <w:rPr>
                <w:sz w:val="21"/>
                <w:szCs w:val="21"/>
                <w:vertAlign w:val="superscript"/>
              </w:rPr>
              <w:t>l-</w:t>
            </w:r>
          </w:p>
        </w:tc>
        <w:tc>
          <w:tcPr>
            <w:tcW w:w="2371" w:type="dxa"/>
            <w:tcBorders>
              <w:tl2br w:val="nil"/>
              <w:tr2bl w:val="nil"/>
            </w:tcBorders>
            <w:vAlign w:val="center"/>
          </w:tcPr>
          <w:p w14:paraId="4388A2E0" w14:textId="77777777" w:rsidR="00E579B9" w:rsidRDefault="006A1398">
            <w:pPr>
              <w:adjustRightInd w:val="0"/>
              <w:spacing w:line="240" w:lineRule="auto"/>
              <w:ind w:firstLineChars="0" w:firstLine="0"/>
              <w:jc w:val="center"/>
              <w:textAlignment w:val="top"/>
              <w:rPr>
                <w:rFonts w:cs="Times New Roman"/>
                <w:kern w:val="0"/>
                <w:sz w:val="21"/>
                <w:szCs w:val="21"/>
              </w:rPr>
            </w:pPr>
            <w:r>
              <w:rPr>
                <w:sz w:val="21"/>
                <w:szCs w:val="21"/>
              </w:rPr>
              <w:t>离子色谱法</w:t>
            </w:r>
          </w:p>
        </w:tc>
        <w:tc>
          <w:tcPr>
            <w:tcW w:w="2218" w:type="dxa"/>
            <w:tcBorders>
              <w:tl2br w:val="nil"/>
              <w:tr2bl w:val="nil"/>
            </w:tcBorders>
            <w:vAlign w:val="center"/>
          </w:tcPr>
          <w:p w14:paraId="6BDD3A0C" w14:textId="77777777" w:rsidR="00E579B9" w:rsidRDefault="006A1398">
            <w:pPr>
              <w:adjustRightInd w:val="0"/>
              <w:spacing w:line="240" w:lineRule="auto"/>
              <w:ind w:firstLineChars="0" w:firstLine="0"/>
              <w:jc w:val="center"/>
              <w:textAlignment w:val="center"/>
              <w:rPr>
                <w:rFonts w:cs="Times New Roman"/>
                <w:sz w:val="21"/>
                <w:szCs w:val="21"/>
              </w:rPr>
            </w:pPr>
            <w:r>
              <w:rPr>
                <w:sz w:val="21"/>
                <w:szCs w:val="21"/>
              </w:rPr>
              <w:t>HJ84-2016</w:t>
            </w:r>
          </w:p>
        </w:tc>
        <w:tc>
          <w:tcPr>
            <w:tcW w:w="1585" w:type="dxa"/>
            <w:tcBorders>
              <w:top w:val="single" w:sz="4" w:space="0" w:color="auto"/>
              <w:left w:val="nil"/>
              <w:bottom w:val="single" w:sz="4" w:space="0" w:color="auto"/>
              <w:right w:val="single" w:sz="4" w:space="0" w:color="auto"/>
            </w:tcBorders>
            <w:vAlign w:val="center"/>
          </w:tcPr>
          <w:p w14:paraId="2108D3ED" w14:textId="77777777" w:rsidR="00E579B9" w:rsidRDefault="00E579B9">
            <w:pPr>
              <w:adjustRightInd w:val="0"/>
              <w:spacing w:line="240" w:lineRule="auto"/>
              <w:ind w:firstLineChars="0" w:firstLine="0"/>
              <w:jc w:val="center"/>
              <w:textAlignment w:val="center"/>
              <w:rPr>
                <w:rFonts w:cs="Times New Roman"/>
                <w:kern w:val="0"/>
                <w:sz w:val="21"/>
                <w:szCs w:val="21"/>
              </w:rPr>
            </w:pPr>
          </w:p>
        </w:tc>
      </w:tr>
      <w:tr w:rsidR="00E579B9" w14:paraId="7CBBB44A"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047FBF56"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l2br w:val="nil"/>
              <w:tr2bl w:val="nil"/>
            </w:tcBorders>
            <w:vAlign w:val="center"/>
          </w:tcPr>
          <w:p w14:paraId="33DC0183" w14:textId="77777777" w:rsidR="00E579B9" w:rsidRDefault="006A1398">
            <w:pPr>
              <w:widowControl w:val="0"/>
              <w:adjustRightInd w:val="0"/>
              <w:spacing w:line="240" w:lineRule="auto"/>
              <w:ind w:firstLineChars="0" w:firstLine="0"/>
              <w:jc w:val="center"/>
              <w:rPr>
                <w:rFonts w:cs="Times New Roman"/>
                <w:sz w:val="21"/>
                <w:szCs w:val="21"/>
              </w:rPr>
            </w:pPr>
            <w:r>
              <w:rPr>
                <w:sz w:val="21"/>
                <w:szCs w:val="21"/>
              </w:rPr>
              <w:t>SO</w:t>
            </w:r>
            <w:r>
              <w:rPr>
                <w:sz w:val="21"/>
                <w:szCs w:val="21"/>
                <w:vertAlign w:val="subscript"/>
              </w:rPr>
              <w:t>4</w:t>
            </w:r>
            <w:r>
              <w:rPr>
                <w:sz w:val="21"/>
                <w:szCs w:val="21"/>
                <w:vertAlign w:val="superscript"/>
              </w:rPr>
              <w:t>2-</w:t>
            </w:r>
          </w:p>
        </w:tc>
        <w:tc>
          <w:tcPr>
            <w:tcW w:w="2371" w:type="dxa"/>
            <w:tcBorders>
              <w:tl2br w:val="nil"/>
              <w:tr2bl w:val="nil"/>
            </w:tcBorders>
            <w:vAlign w:val="center"/>
          </w:tcPr>
          <w:p w14:paraId="1A32CC11" w14:textId="77777777" w:rsidR="00E579B9" w:rsidRDefault="006A1398">
            <w:pPr>
              <w:adjustRightInd w:val="0"/>
              <w:spacing w:line="240" w:lineRule="auto"/>
              <w:ind w:firstLineChars="0" w:firstLine="0"/>
              <w:jc w:val="center"/>
              <w:textAlignment w:val="top"/>
              <w:rPr>
                <w:rFonts w:cs="Times New Roman"/>
                <w:kern w:val="0"/>
                <w:sz w:val="21"/>
                <w:szCs w:val="21"/>
              </w:rPr>
            </w:pPr>
            <w:r>
              <w:rPr>
                <w:sz w:val="21"/>
                <w:szCs w:val="21"/>
              </w:rPr>
              <w:t>离子色谱法</w:t>
            </w:r>
          </w:p>
        </w:tc>
        <w:tc>
          <w:tcPr>
            <w:tcW w:w="2218" w:type="dxa"/>
            <w:tcBorders>
              <w:tl2br w:val="nil"/>
              <w:tr2bl w:val="nil"/>
            </w:tcBorders>
            <w:vAlign w:val="center"/>
          </w:tcPr>
          <w:p w14:paraId="29CB7AF9" w14:textId="77777777" w:rsidR="00E579B9" w:rsidRDefault="006A1398">
            <w:pPr>
              <w:adjustRightInd w:val="0"/>
              <w:spacing w:line="240" w:lineRule="auto"/>
              <w:ind w:firstLineChars="0" w:firstLine="0"/>
              <w:jc w:val="center"/>
              <w:textAlignment w:val="center"/>
              <w:rPr>
                <w:rFonts w:cs="Times New Roman"/>
                <w:sz w:val="21"/>
                <w:szCs w:val="21"/>
              </w:rPr>
            </w:pPr>
            <w:r>
              <w:rPr>
                <w:sz w:val="21"/>
                <w:szCs w:val="21"/>
              </w:rPr>
              <w:t>HJ84-2016</w:t>
            </w:r>
          </w:p>
        </w:tc>
        <w:tc>
          <w:tcPr>
            <w:tcW w:w="1585" w:type="dxa"/>
            <w:tcBorders>
              <w:top w:val="single" w:sz="4" w:space="0" w:color="auto"/>
              <w:left w:val="nil"/>
              <w:bottom w:val="single" w:sz="4" w:space="0" w:color="auto"/>
              <w:right w:val="single" w:sz="4" w:space="0" w:color="auto"/>
            </w:tcBorders>
            <w:vAlign w:val="center"/>
          </w:tcPr>
          <w:p w14:paraId="7E397147" w14:textId="77777777" w:rsidR="00E579B9" w:rsidRDefault="00E579B9">
            <w:pPr>
              <w:adjustRightInd w:val="0"/>
              <w:spacing w:line="240" w:lineRule="auto"/>
              <w:ind w:firstLineChars="0" w:firstLine="0"/>
              <w:jc w:val="center"/>
              <w:textAlignment w:val="center"/>
              <w:rPr>
                <w:rFonts w:cs="Times New Roman"/>
                <w:kern w:val="0"/>
                <w:sz w:val="21"/>
                <w:szCs w:val="21"/>
              </w:rPr>
            </w:pPr>
          </w:p>
        </w:tc>
      </w:tr>
      <w:tr w:rsidR="00E579B9" w14:paraId="7909A237" w14:textId="77777777">
        <w:trPr>
          <w:cantSplit/>
          <w:trHeight w:val="60"/>
        </w:trPr>
        <w:tc>
          <w:tcPr>
            <w:tcW w:w="537" w:type="dxa"/>
            <w:tcBorders>
              <w:top w:val="single" w:sz="4" w:space="0" w:color="auto"/>
              <w:left w:val="single" w:sz="4" w:space="0" w:color="auto"/>
              <w:bottom w:val="single" w:sz="4" w:space="0" w:color="auto"/>
              <w:right w:val="single" w:sz="4" w:space="0" w:color="auto"/>
            </w:tcBorders>
            <w:vAlign w:val="center"/>
          </w:tcPr>
          <w:p w14:paraId="480072B1" w14:textId="77777777" w:rsidR="00E579B9" w:rsidRDefault="00E579B9">
            <w:pPr>
              <w:pStyle w:val="af3"/>
              <w:widowControl w:val="0"/>
              <w:numPr>
                <w:ilvl w:val="0"/>
                <w:numId w:val="7"/>
              </w:numPr>
              <w:adjustRightInd w:val="0"/>
              <w:spacing w:line="240" w:lineRule="auto"/>
              <w:ind w:firstLineChars="0"/>
              <w:jc w:val="center"/>
              <w:rPr>
                <w:rFonts w:cs="Times New Roman"/>
                <w:sz w:val="21"/>
                <w:szCs w:val="21"/>
              </w:rPr>
            </w:pPr>
          </w:p>
        </w:tc>
        <w:tc>
          <w:tcPr>
            <w:tcW w:w="1585" w:type="dxa"/>
            <w:tcBorders>
              <w:tl2br w:val="nil"/>
              <w:tr2bl w:val="nil"/>
            </w:tcBorders>
            <w:vAlign w:val="center"/>
          </w:tcPr>
          <w:p w14:paraId="543CDB39" w14:textId="77777777" w:rsidR="00E579B9" w:rsidRDefault="006A1398">
            <w:pPr>
              <w:widowControl w:val="0"/>
              <w:adjustRightInd w:val="0"/>
              <w:spacing w:line="240" w:lineRule="auto"/>
              <w:ind w:firstLineChars="0" w:firstLine="0"/>
              <w:jc w:val="center"/>
              <w:rPr>
                <w:rFonts w:cs="Times New Roman"/>
                <w:sz w:val="21"/>
                <w:szCs w:val="21"/>
              </w:rPr>
            </w:pPr>
            <w:r>
              <w:rPr>
                <w:sz w:val="21"/>
                <w:szCs w:val="21"/>
              </w:rPr>
              <w:t>pH</w:t>
            </w:r>
          </w:p>
        </w:tc>
        <w:tc>
          <w:tcPr>
            <w:tcW w:w="2371" w:type="dxa"/>
            <w:tcBorders>
              <w:tl2br w:val="nil"/>
              <w:tr2bl w:val="nil"/>
            </w:tcBorders>
            <w:vAlign w:val="center"/>
          </w:tcPr>
          <w:p w14:paraId="3DB2FB44" w14:textId="77777777" w:rsidR="00E579B9" w:rsidRDefault="006A1398">
            <w:pPr>
              <w:adjustRightInd w:val="0"/>
              <w:spacing w:line="240" w:lineRule="auto"/>
              <w:ind w:firstLineChars="0" w:firstLine="0"/>
              <w:jc w:val="center"/>
              <w:textAlignment w:val="top"/>
              <w:rPr>
                <w:rFonts w:cs="Times New Roman"/>
                <w:kern w:val="0"/>
                <w:sz w:val="21"/>
                <w:szCs w:val="21"/>
              </w:rPr>
            </w:pPr>
            <w:r>
              <w:rPr>
                <w:color w:val="000000"/>
                <w:sz w:val="21"/>
                <w:szCs w:val="21"/>
              </w:rPr>
              <w:t>土壤</w:t>
            </w:r>
            <w:r>
              <w:rPr>
                <w:color w:val="000000"/>
                <w:sz w:val="21"/>
                <w:szCs w:val="21"/>
              </w:rPr>
              <w:t>pH</w:t>
            </w:r>
            <w:r>
              <w:rPr>
                <w:color w:val="000000"/>
                <w:sz w:val="21"/>
                <w:szCs w:val="21"/>
              </w:rPr>
              <w:t>值的测定</w:t>
            </w:r>
          </w:p>
        </w:tc>
        <w:tc>
          <w:tcPr>
            <w:tcW w:w="2218" w:type="dxa"/>
            <w:tcBorders>
              <w:tl2br w:val="nil"/>
              <w:tr2bl w:val="nil"/>
            </w:tcBorders>
            <w:vAlign w:val="center"/>
          </w:tcPr>
          <w:p w14:paraId="165E2637" w14:textId="77777777" w:rsidR="00E579B9" w:rsidRDefault="006A1398">
            <w:pPr>
              <w:adjustRightInd w:val="0"/>
              <w:spacing w:line="240" w:lineRule="auto"/>
              <w:ind w:firstLineChars="0" w:firstLine="0"/>
              <w:jc w:val="center"/>
              <w:textAlignment w:val="center"/>
              <w:rPr>
                <w:rFonts w:cs="Times New Roman"/>
                <w:sz w:val="21"/>
                <w:szCs w:val="21"/>
              </w:rPr>
            </w:pPr>
            <w:r>
              <w:rPr>
                <w:color w:val="000000"/>
                <w:sz w:val="21"/>
                <w:szCs w:val="21"/>
              </w:rPr>
              <w:t>NY/T1377-2007</w:t>
            </w:r>
          </w:p>
        </w:tc>
        <w:tc>
          <w:tcPr>
            <w:tcW w:w="1585" w:type="dxa"/>
            <w:tcBorders>
              <w:top w:val="single" w:sz="4" w:space="0" w:color="auto"/>
              <w:left w:val="nil"/>
              <w:bottom w:val="single" w:sz="4" w:space="0" w:color="auto"/>
              <w:right w:val="single" w:sz="4" w:space="0" w:color="auto"/>
            </w:tcBorders>
            <w:vAlign w:val="center"/>
          </w:tcPr>
          <w:p w14:paraId="34ECBC89" w14:textId="77777777" w:rsidR="00E579B9" w:rsidRDefault="00E579B9">
            <w:pPr>
              <w:adjustRightInd w:val="0"/>
              <w:spacing w:line="240" w:lineRule="auto"/>
              <w:ind w:firstLineChars="0" w:firstLine="0"/>
              <w:jc w:val="center"/>
              <w:textAlignment w:val="center"/>
              <w:rPr>
                <w:rFonts w:cs="Times New Roman"/>
                <w:kern w:val="0"/>
                <w:sz w:val="21"/>
                <w:szCs w:val="21"/>
              </w:rPr>
            </w:pPr>
          </w:p>
        </w:tc>
      </w:tr>
    </w:tbl>
    <w:p w14:paraId="01A11F01" w14:textId="77777777" w:rsidR="00E579B9" w:rsidRDefault="006A1398">
      <w:pPr>
        <w:widowControl w:val="0"/>
        <w:spacing w:line="480" w:lineRule="exact"/>
        <w:ind w:firstLine="488"/>
        <w:jc w:val="both"/>
        <w:rPr>
          <w:rFonts w:cs="Times New Roman"/>
          <w:szCs w:val="24"/>
        </w:rPr>
      </w:pPr>
      <w:r>
        <w:rPr>
          <w:rFonts w:ascii="宋体" w:hAnsi="宋体" w:cs="Times New Roman" w:hint="eastAsia"/>
          <w:spacing w:val="2"/>
          <w:szCs w:val="24"/>
        </w:rPr>
        <w:t>（</w:t>
      </w:r>
      <w:r>
        <w:rPr>
          <w:rFonts w:cs="Times New Roman" w:hint="eastAsia"/>
          <w:spacing w:val="2"/>
          <w:szCs w:val="24"/>
        </w:rPr>
        <w:t>4</w:t>
      </w:r>
      <w:r>
        <w:rPr>
          <w:rFonts w:ascii="宋体" w:hAnsi="宋体" w:cs="Times New Roman" w:hint="eastAsia"/>
          <w:spacing w:val="2"/>
          <w:szCs w:val="24"/>
        </w:rPr>
        <w:t>）</w:t>
      </w:r>
      <w:r>
        <w:rPr>
          <w:rFonts w:ascii="宋体" w:hAnsi="宋体" w:cs="Times New Roman"/>
          <w:szCs w:val="24"/>
        </w:rPr>
        <w:t>评价标准</w:t>
      </w:r>
    </w:p>
    <w:p w14:paraId="1D2F2921" w14:textId="77777777" w:rsidR="00E579B9" w:rsidRDefault="006A1398">
      <w:pPr>
        <w:widowControl w:val="0"/>
        <w:spacing w:line="480" w:lineRule="exact"/>
        <w:ind w:firstLineChars="192" w:firstLine="468"/>
        <w:jc w:val="both"/>
        <w:rPr>
          <w:rFonts w:cs="Times New Roman"/>
          <w:szCs w:val="24"/>
        </w:rPr>
      </w:pPr>
      <w:r>
        <w:rPr>
          <w:rFonts w:ascii="宋体" w:hAnsi="宋体" w:cs="Times New Roman"/>
          <w:spacing w:val="2"/>
          <w:szCs w:val="24"/>
        </w:rPr>
        <w:t>根据</w:t>
      </w:r>
      <w:r>
        <w:rPr>
          <w:rFonts w:ascii="宋体" w:hAnsi="宋体" w:cs="Times New Roman" w:hint="eastAsia"/>
          <w:spacing w:val="2"/>
          <w:szCs w:val="24"/>
        </w:rPr>
        <w:t>区域环境情况，</w:t>
      </w:r>
      <w:r>
        <w:rPr>
          <w:rFonts w:ascii="宋体" w:hAnsi="宋体" w:cs="Times New Roman"/>
          <w:szCs w:val="24"/>
        </w:rPr>
        <w:t>地下水环境质量现状评价采用《地下水质量标准》（</w:t>
      </w:r>
      <w:r>
        <w:rPr>
          <w:rFonts w:cs="Times New Roman"/>
          <w:szCs w:val="24"/>
        </w:rPr>
        <w:t>GB/T14848-2017</w:t>
      </w:r>
      <w:r>
        <w:rPr>
          <w:rFonts w:ascii="宋体" w:hAnsi="宋体" w:cs="Times New Roman"/>
          <w:szCs w:val="24"/>
        </w:rPr>
        <w:t>）</w:t>
      </w:r>
      <w:r>
        <w:rPr>
          <w:rFonts w:cs="Times New Roman"/>
          <w:szCs w:val="24"/>
        </w:rPr>
        <w:t>III</w:t>
      </w:r>
      <w:r>
        <w:rPr>
          <w:rFonts w:ascii="宋体" w:hAnsi="宋体" w:cs="Times New Roman"/>
          <w:szCs w:val="24"/>
        </w:rPr>
        <w:t>类标准。</w:t>
      </w:r>
    </w:p>
    <w:p w14:paraId="3549A092" w14:textId="77777777" w:rsidR="00E579B9" w:rsidRDefault="006A1398">
      <w:pPr>
        <w:widowControl w:val="0"/>
        <w:spacing w:line="480" w:lineRule="exact"/>
        <w:ind w:firstLineChars="177" w:firstLine="425"/>
        <w:jc w:val="both"/>
        <w:rPr>
          <w:rFonts w:cs="Times New Roman"/>
          <w:szCs w:val="24"/>
        </w:rPr>
      </w:pPr>
      <w:r>
        <w:rPr>
          <w:rFonts w:ascii="宋体" w:hAnsi="宋体" w:cs="Times New Roman" w:hint="eastAsia"/>
          <w:szCs w:val="24"/>
        </w:rPr>
        <w:t>（</w:t>
      </w:r>
      <w:r>
        <w:rPr>
          <w:rFonts w:cs="Times New Roman" w:hint="eastAsia"/>
          <w:szCs w:val="24"/>
        </w:rPr>
        <w:t>5</w:t>
      </w:r>
      <w:r>
        <w:rPr>
          <w:rFonts w:ascii="宋体" w:hAnsi="宋体" w:cs="Times New Roman" w:hint="eastAsia"/>
          <w:szCs w:val="24"/>
        </w:rPr>
        <w:t>）</w:t>
      </w:r>
      <w:r>
        <w:rPr>
          <w:rFonts w:ascii="宋体" w:hAnsi="宋体" w:cs="Times New Roman"/>
          <w:szCs w:val="24"/>
        </w:rPr>
        <w:t>评价方法</w:t>
      </w:r>
    </w:p>
    <w:p w14:paraId="64A1CE40" w14:textId="77777777" w:rsidR="00E579B9" w:rsidRDefault="006A1398">
      <w:pPr>
        <w:widowControl w:val="0"/>
        <w:spacing w:line="480" w:lineRule="exact"/>
        <w:jc w:val="both"/>
        <w:rPr>
          <w:rFonts w:cs="Times New Roman"/>
          <w:szCs w:val="24"/>
        </w:rPr>
      </w:pPr>
      <w:r>
        <w:rPr>
          <w:rFonts w:ascii="宋体" w:hAnsi="宋体" w:cs="Times New Roman" w:hint="eastAsia"/>
          <w:szCs w:val="24"/>
        </w:rPr>
        <w:t>本次评价</w:t>
      </w:r>
      <w:r>
        <w:rPr>
          <w:rFonts w:ascii="宋体" w:hAnsi="宋体" w:cs="Times New Roman"/>
          <w:szCs w:val="24"/>
        </w:rPr>
        <w:t>采用</w:t>
      </w:r>
      <w:r>
        <w:rPr>
          <w:rFonts w:ascii="宋体" w:hAnsi="宋体" w:cs="Times New Roman" w:hint="eastAsia"/>
          <w:szCs w:val="24"/>
        </w:rPr>
        <w:t>对标法</w:t>
      </w:r>
      <w:r>
        <w:rPr>
          <w:rFonts w:ascii="宋体" w:hAnsi="宋体" w:cs="Times New Roman"/>
          <w:szCs w:val="24"/>
        </w:rPr>
        <w:t>进行评价。</w:t>
      </w:r>
    </w:p>
    <w:p w14:paraId="2E726134" w14:textId="77777777" w:rsidR="00E579B9" w:rsidRDefault="006A1398">
      <w:pPr>
        <w:widowControl w:val="0"/>
        <w:spacing w:line="480" w:lineRule="exact"/>
        <w:ind w:firstLineChars="177" w:firstLine="425"/>
        <w:jc w:val="both"/>
        <w:rPr>
          <w:rFonts w:cs="Times New Roman"/>
          <w:szCs w:val="24"/>
        </w:rPr>
      </w:pPr>
      <w:r>
        <w:rPr>
          <w:rFonts w:ascii="宋体" w:hAnsi="宋体" w:cs="Times New Roman" w:hint="eastAsia"/>
          <w:szCs w:val="24"/>
        </w:rPr>
        <w:t>（</w:t>
      </w:r>
      <w:r>
        <w:rPr>
          <w:rFonts w:cs="Times New Roman" w:hint="eastAsia"/>
          <w:szCs w:val="24"/>
        </w:rPr>
        <w:t>6</w:t>
      </w:r>
      <w:r>
        <w:rPr>
          <w:rFonts w:ascii="宋体" w:hAnsi="宋体" w:cs="Times New Roman" w:hint="eastAsia"/>
          <w:szCs w:val="24"/>
        </w:rPr>
        <w:t>）</w:t>
      </w:r>
      <w:r>
        <w:rPr>
          <w:rFonts w:ascii="宋体" w:hAnsi="宋体" w:cs="Times New Roman"/>
          <w:szCs w:val="24"/>
        </w:rPr>
        <w:t>监测及评价结果</w:t>
      </w:r>
    </w:p>
    <w:p w14:paraId="7507D1EB" w14:textId="77777777" w:rsidR="00E579B9" w:rsidRDefault="006A1398">
      <w:pPr>
        <w:widowControl w:val="0"/>
        <w:spacing w:line="480" w:lineRule="exact"/>
        <w:jc w:val="both"/>
        <w:rPr>
          <w:rFonts w:cs="Times New Roman"/>
          <w:szCs w:val="24"/>
        </w:rPr>
      </w:pPr>
      <w:r>
        <w:rPr>
          <w:rFonts w:ascii="宋体" w:hAnsi="宋体" w:cs="Times New Roman"/>
          <w:szCs w:val="24"/>
        </w:rPr>
        <w:t>项目监测结果见表</w:t>
      </w:r>
      <w:r>
        <w:rPr>
          <w:rFonts w:cs="Times New Roman" w:hint="eastAsia"/>
          <w:szCs w:val="24"/>
        </w:rPr>
        <w:t>4.3-8</w:t>
      </w:r>
      <w:r>
        <w:rPr>
          <w:rFonts w:ascii="宋体" w:hAnsi="宋体" w:cs="Times New Roman"/>
          <w:szCs w:val="24"/>
        </w:rPr>
        <w:t>。</w:t>
      </w:r>
    </w:p>
    <w:p w14:paraId="480D0FE5" w14:textId="034F3BBB" w:rsidR="00E579B9" w:rsidRDefault="006A1398">
      <w:pPr>
        <w:widowControl w:val="0"/>
        <w:spacing w:line="480" w:lineRule="exact"/>
        <w:ind w:firstLine="536"/>
        <w:jc w:val="center"/>
        <w:rPr>
          <w:rFonts w:cs="Times New Roman"/>
          <w:szCs w:val="24"/>
        </w:rPr>
      </w:pPr>
      <w:r>
        <w:rPr>
          <w:rFonts w:ascii="黑体" w:eastAsia="黑体" w:hAnsi="黑体" w:cs="Times New Roman"/>
          <w:spacing w:val="14"/>
          <w:kern w:val="0"/>
          <w:szCs w:val="24"/>
        </w:rPr>
        <w:t>表</w:t>
      </w:r>
      <w:r>
        <w:rPr>
          <w:rFonts w:eastAsia="黑体" w:cs="Times New Roman" w:hint="eastAsia"/>
          <w:spacing w:val="14"/>
          <w:kern w:val="0"/>
          <w:szCs w:val="24"/>
        </w:rPr>
        <w:t>4.3-8</w:t>
      </w:r>
      <w:r>
        <w:rPr>
          <w:rFonts w:ascii="黑体" w:eastAsia="黑体" w:hAnsi="黑体" w:cs="Times New Roman"/>
          <w:spacing w:val="14"/>
          <w:kern w:val="0"/>
          <w:szCs w:val="24"/>
        </w:rPr>
        <w:t>地下水监测统计结果</w:t>
      </w:r>
      <w:r>
        <w:rPr>
          <w:rFonts w:ascii="黑体" w:eastAsia="黑体" w:hAnsi="黑体" w:cs="Times New Roman"/>
          <w:sz w:val="21"/>
          <w:szCs w:val="21"/>
        </w:rPr>
        <w:t>单位：</w:t>
      </w:r>
      <w:r>
        <w:rPr>
          <w:rFonts w:eastAsia="黑体" w:cs="Times New Roman"/>
          <w:sz w:val="21"/>
          <w:szCs w:val="21"/>
        </w:rPr>
        <w:t>mg/L</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004"/>
        <w:gridCol w:w="855"/>
        <w:gridCol w:w="685"/>
        <w:gridCol w:w="850"/>
        <w:gridCol w:w="850"/>
        <w:gridCol w:w="929"/>
        <w:gridCol w:w="898"/>
        <w:gridCol w:w="898"/>
        <w:gridCol w:w="898"/>
      </w:tblGrid>
      <w:tr w:rsidR="00E579B9" w14:paraId="4D4ADAAB" w14:textId="77777777">
        <w:trPr>
          <w:trHeight w:val="1020"/>
          <w:jc w:val="center"/>
        </w:trPr>
        <w:tc>
          <w:tcPr>
            <w:tcW w:w="429" w:type="dxa"/>
            <w:vAlign w:val="center"/>
          </w:tcPr>
          <w:p w14:paraId="382790D8" w14:textId="77777777" w:rsidR="00E579B9" w:rsidRDefault="006A1398">
            <w:pPr>
              <w:pStyle w:val="aa"/>
            </w:pPr>
            <w:r>
              <w:t>名称</w:t>
            </w:r>
          </w:p>
        </w:tc>
        <w:tc>
          <w:tcPr>
            <w:tcW w:w="1004" w:type="dxa"/>
            <w:vAlign w:val="center"/>
          </w:tcPr>
          <w:p w14:paraId="60EC8156" w14:textId="77777777" w:rsidR="00E579B9" w:rsidRDefault="006A1398">
            <w:pPr>
              <w:pStyle w:val="aa"/>
            </w:pPr>
            <w:r>
              <w:t>采样日期</w:t>
            </w:r>
          </w:p>
        </w:tc>
        <w:tc>
          <w:tcPr>
            <w:tcW w:w="855" w:type="dxa"/>
            <w:vAlign w:val="center"/>
          </w:tcPr>
          <w:p w14:paraId="6C2ABC65" w14:textId="77777777" w:rsidR="00E579B9" w:rsidRDefault="006A1398">
            <w:pPr>
              <w:pStyle w:val="aa"/>
            </w:pPr>
            <w:r>
              <w:t>pH</w:t>
            </w:r>
          </w:p>
        </w:tc>
        <w:tc>
          <w:tcPr>
            <w:tcW w:w="685" w:type="dxa"/>
          </w:tcPr>
          <w:p w14:paraId="3E8A6E12" w14:textId="77777777" w:rsidR="00E579B9" w:rsidRDefault="006A1398">
            <w:pPr>
              <w:pStyle w:val="aa"/>
            </w:pPr>
            <w:r>
              <w:rPr>
                <w:rFonts w:hint="eastAsia"/>
                <w:kern w:val="0"/>
              </w:rPr>
              <w:t>总硬度</w:t>
            </w:r>
          </w:p>
        </w:tc>
        <w:tc>
          <w:tcPr>
            <w:tcW w:w="850" w:type="dxa"/>
            <w:vAlign w:val="center"/>
          </w:tcPr>
          <w:p w14:paraId="5FAD7A49" w14:textId="77777777" w:rsidR="00E579B9" w:rsidRDefault="006A1398">
            <w:pPr>
              <w:pStyle w:val="aa"/>
            </w:pPr>
            <w:r>
              <w:t>溶解性</w:t>
            </w:r>
          </w:p>
          <w:p w14:paraId="1D3922E1" w14:textId="77777777" w:rsidR="00E579B9" w:rsidRDefault="006A1398">
            <w:pPr>
              <w:pStyle w:val="aa"/>
            </w:pPr>
            <w:r>
              <w:t>总固体</w:t>
            </w:r>
          </w:p>
        </w:tc>
        <w:tc>
          <w:tcPr>
            <w:tcW w:w="850" w:type="dxa"/>
            <w:vAlign w:val="center"/>
          </w:tcPr>
          <w:p w14:paraId="33FBDBD8" w14:textId="77777777" w:rsidR="00E579B9" w:rsidRDefault="006A1398">
            <w:pPr>
              <w:pStyle w:val="aa"/>
            </w:pPr>
            <w:r>
              <w:rPr>
                <w:rFonts w:hint="eastAsia"/>
              </w:rPr>
              <w:t>硫酸盐</w:t>
            </w:r>
          </w:p>
        </w:tc>
        <w:tc>
          <w:tcPr>
            <w:tcW w:w="929" w:type="dxa"/>
            <w:vAlign w:val="center"/>
          </w:tcPr>
          <w:p w14:paraId="602DB998" w14:textId="77777777" w:rsidR="00E579B9" w:rsidRDefault="006A1398">
            <w:pPr>
              <w:pStyle w:val="aa"/>
            </w:pPr>
            <w:r>
              <w:rPr>
                <w:rFonts w:hint="eastAsia"/>
              </w:rPr>
              <w:t>耗氧量</w:t>
            </w:r>
          </w:p>
        </w:tc>
        <w:tc>
          <w:tcPr>
            <w:tcW w:w="898" w:type="dxa"/>
            <w:vAlign w:val="center"/>
          </w:tcPr>
          <w:p w14:paraId="5535EB09" w14:textId="77777777" w:rsidR="00E579B9" w:rsidRDefault="006A1398">
            <w:pPr>
              <w:pStyle w:val="aa"/>
            </w:pPr>
            <w:r>
              <w:rPr>
                <w:rFonts w:hint="eastAsia"/>
              </w:rPr>
              <w:t>氨氮</w:t>
            </w:r>
          </w:p>
        </w:tc>
        <w:tc>
          <w:tcPr>
            <w:tcW w:w="898" w:type="dxa"/>
            <w:vAlign w:val="center"/>
          </w:tcPr>
          <w:p w14:paraId="1086AAEA" w14:textId="77777777" w:rsidR="00E579B9" w:rsidRDefault="006A1398">
            <w:pPr>
              <w:pStyle w:val="aa"/>
            </w:pPr>
            <w:r>
              <w:rPr>
                <w:rFonts w:hint="eastAsia"/>
              </w:rPr>
              <w:t>氟化物</w:t>
            </w:r>
          </w:p>
        </w:tc>
        <w:tc>
          <w:tcPr>
            <w:tcW w:w="898" w:type="dxa"/>
            <w:vAlign w:val="center"/>
          </w:tcPr>
          <w:p w14:paraId="1957830A" w14:textId="77777777" w:rsidR="00E579B9" w:rsidRDefault="006A1398">
            <w:pPr>
              <w:pStyle w:val="aa"/>
            </w:pPr>
            <w:r>
              <w:rPr>
                <w:rFonts w:hint="eastAsia"/>
              </w:rPr>
              <w:t>氯化物</w:t>
            </w:r>
          </w:p>
        </w:tc>
      </w:tr>
      <w:tr w:rsidR="00E579B9" w14:paraId="2ECD136C" w14:textId="77777777">
        <w:trPr>
          <w:trHeight w:val="454"/>
          <w:jc w:val="center"/>
        </w:trPr>
        <w:tc>
          <w:tcPr>
            <w:tcW w:w="429" w:type="dxa"/>
            <w:vMerge w:val="restart"/>
            <w:vAlign w:val="center"/>
          </w:tcPr>
          <w:p w14:paraId="4BB3A943" w14:textId="77777777" w:rsidR="00E579B9" w:rsidRDefault="006A1398">
            <w:pPr>
              <w:pStyle w:val="aa"/>
              <w:rPr>
                <w:kern w:val="0"/>
              </w:rPr>
            </w:pPr>
            <w:r>
              <w:rPr>
                <w:rFonts w:hint="eastAsia"/>
                <w:kern w:val="0"/>
              </w:rPr>
              <w:t>傅</w:t>
            </w:r>
            <w:proofErr w:type="gramStart"/>
            <w:r>
              <w:rPr>
                <w:rFonts w:hint="eastAsia"/>
                <w:kern w:val="0"/>
              </w:rPr>
              <w:t>埂</w:t>
            </w:r>
            <w:proofErr w:type="gramEnd"/>
          </w:p>
        </w:tc>
        <w:tc>
          <w:tcPr>
            <w:tcW w:w="1004" w:type="dxa"/>
            <w:vAlign w:val="center"/>
          </w:tcPr>
          <w:p w14:paraId="467152B2" w14:textId="77777777" w:rsidR="00E579B9" w:rsidRDefault="006A1398">
            <w:pPr>
              <w:pStyle w:val="aa"/>
            </w:pPr>
            <w:r>
              <w:rPr>
                <w:rFonts w:hint="eastAsia"/>
              </w:rPr>
              <w:t>2020.2.1</w:t>
            </w:r>
          </w:p>
        </w:tc>
        <w:tc>
          <w:tcPr>
            <w:tcW w:w="855" w:type="dxa"/>
            <w:tcBorders>
              <w:tl2br w:val="nil"/>
              <w:tr2bl w:val="nil"/>
            </w:tcBorders>
            <w:vAlign w:val="center"/>
          </w:tcPr>
          <w:p w14:paraId="047E4AF6" w14:textId="77777777" w:rsidR="00E579B9" w:rsidRDefault="006A1398">
            <w:pPr>
              <w:pStyle w:val="aa"/>
            </w:pPr>
            <w:r>
              <w:rPr>
                <w:rFonts w:hint="eastAsia"/>
              </w:rPr>
              <w:t>7.61</w:t>
            </w:r>
          </w:p>
        </w:tc>
        <w:tc>
          <w:tcPr>
            <w:tcW w:w="685" w:type="dxa"/>
            <w:tcBorders>
              <w:tl2br w:val="nil"/>
              <w:tr2bl w:val="nil"/>
            </w:tcBorders>
            <w:vAlign w:val="center"/>
          </w:tcPr>
          <w:p w14:paraId="7C0E801A" w14:textId="77777777" w:rsidR="00E579B9" w:rsidRDefault="006A1398">
            <w:pPr>
              <w:pStyle w:val="aa"/>
            </w:pPr>
            <w:r>
              <w:rPr>
                <w:rFonts w:hint="eastAsia"/>
              </w:rPr>
              <w:t>366</w:t>
            </w:r>
          </w:p>
        </w:tc>
        <w:tc>
          <w:tcPr>
            <w:tcW w:w="850" w:type="dxa"/>
            <w:tcBorders>
              <w:tl2br w:val="nil"/>
              <w:tr2bl w:val="nil"/>
            </w:tcBorders>
            <w:vAlign w:val="center"/>
          </w:tcPr>
          <w:p w14:paraId="53556340" w14:textId="77777777" w:rsidR="00E579B9" w:rsidRDefault="006A1398">
            <w:pPr>
              <w:pStyle w:val="aa"/>
            </w:pPr>
            <w:r>
              <w:rPr>
                <w:rFonts w:hint="eastAsia"/>
              </w:rPr>
              <w:t>488</w:t>
            </w:r>
          </w:p>
        </w:tc>
        <w:tc>
          <w:tcPr>
            <w:tcW w:w="850" w:type="dxa"/>
            <w:tcBorders>
              <w:tl2br w:val="nil"/>
              <w:tr2bl w:val="nil"/>
            </w:tcBorders>
            <w:vAlign w:val="center"/>
          </w:tcPr>
          <w:p w14:paraId="0DCD6731" w14:textId="77777777" w:rsidR="00E579B9" w:rsidRDefault="006A1398">
            <w:pPr>
              <w:pStyle w:val="aa"/>
            </w:pPr>
            <w:r>
              <w:rPr>
                <w:rFonts w:hint="eastAsia"/>
              </w:rPr>
              <w:t>26</w:t>
            </w:r>
          </w:p>
        </w:tc>
        <w:tc>
          <w:tcPr>
            <w:tcW w:w="929" w:type="dxa"/>
            <w:tcBorders>
              <w:tl2br w:val="nil"/>
              <w:tr2bl w:val="nil"/>
            </w:tcBorders>
            <w:vAlign w:val="center"/>
          </w:tcPr>
          <w:p w14:paraId="1BFC8D95" w14:textId="77777777" w:rsidR="00E579B9" w:rsidRDefault="006A1398">
            <w:pPr>
              <w:pStyle w:val="aa"/>
            </w:pPr>
            <w:r>
              <w:rPr>
                <w:rFonts w:hint="eastAsia"/>
              </w:rPr>
              <w:t>2.14</w:t>
            </w:r>
          </w:p>
        </w:tc>
        <w:tc>
          <w:tcPr>
            <w:tcW w:w="898" w:type="dxa"/>
            <w:tcBorders>
              <w:tl2br w:val="nil"/>
              <w:tr2bl w:val="nil"/>
            </w:tcBorders>
            <w:vAlign w:val="center"/>
          </w:tcPr>
          <w:p w14:paraId="42D04B3F" w14:textId="77777777" w:rsidR="00E579B9" w:rsidRDefault="006A1398">
            <w:pPr>
              <w:pStyle w:val="aa"/>
            </w:pPr>
            <w:r>
              <w:rPr>
                <w:rFonts w:hint="eastAsia"/>
              </w:rPr>
              <w:t>未检出</w:t>
            </w:r>
          </w:p>
        </w:tc>
        <w:tc>
          <w:tcPr>
            <w:tcW w:w="898" w:type="dxa"/>
            <w:tcBorders>
              <w:tl2br w:val="nil"/>
              <w:tr2bl w:val="nil"/>
            </w:tcBorders>
            <w:vAlign w:val="center"/>
          </w:tcPr>
          <w:p w14:paraId="4BE3799E" w14:textId="77777777" w:rsidR="00E579B9" w:rsidRDefault="006A1398">
            <w:pPr>
              <w:pStyle w:val="aa"/>
            </w:pPr>
            <w:r>
              <w:rPr>
                <w:rFonts w:hint="eastAsia"/>
              </w:rPr>
              <w:t>0.20</w:t>
            </w:r>
          </w:p>
        </w:tc>
        <w:tc>
          <w:tcPr>
            <w:tcW w:w="898" w:type="dxa"/>
            <w:tcBorders>
              <w:tl2br w:val="nil"/>
              <w:tr2bl w:val="nil"/>
            </w:tcBorders>
            <w:vAlign w:val="center"/>
          </w:tcPr>
          <w:p w14:paraId="70BD720B" w14:textId="77777777" w:rsidR="00E579B9" w:rsidRDefault="006A1398">
            <w:pPr>
              <w:pStyle w:val="aa"/>
            </w:pPr>
            <w:r>
              <w:rPr>
                <w:rFonts w:hint="eastAsia"/>
              </w:rPr>
              <w:t>22</w:t>
            </w:r>
          </w:p>
        </w:tc>
      </w:tr>
      <w:tr w:rsidR="00E579B9" w14:paraId="34A48D1E" w14:textId="77777777">
        <w:trPr>
          <w:trHeight w:val="454"/>
          <w:jc w:val="center"/>
        </w:trPr>
        <w:tc>
          <w:tcPr>
            <w:tcW w:w="429" w:type="dxa"/>
            <w:vMerge/>
            <w:vAlign w:val="center"/>
          </w:tcPr>
          <w:p w14:paraId="0C6EE0CB" w14:textId="77777777" w:rsidR="00E579B9" w:rsidRDefault="00E579B9">
            <w:pPr>
              <w:pStyle w:val="aa"/>
              <w:rPr>
                <w:color w:val="000000"/>
              </w:rPr>
            </w:pPr>
          </w:p>
        </w:tc>
        <w:tc>
          <w:tcPr>
            <w:tcW w:w="1004" w:type="dxa"/>
            <w:vAlign w:val="center"/>
          </w:tcPr>
          <w:p w14:paraId="14B274F6" w14:textId="77777777" w:rsidR="00E579B9" w:rsidRDefault="006A1398">
            <w:pPr>
              <w:pStyle w:val="aa"/>
            </w:pPr>
            <w:r>
              <w:rPr>
                <w:rFonts w:hint="eastAsia"/>
              </w:rPr>
              <w:t>2.20.2.2</w:t>
            </w:r>
          </w:p>
        </w:tc>
        <w:tc>
          <w:tcPr>
            <w:tcW w:w="855" w:type="dxa"/>
            <w:tcBorders>
              <w:tl2br w:val="nil"/>
              <w:tr2bl w:val="nil"/>
            </w:tcBorders>
            <w:vAlign w:val="center"/>
          </w:tcPr>
          <w:p w14:paraId="1D3DB119" w14:textId="77777777" w:rsidR="00E579B9" w:rsidRDefault="006A1398">
            <w:pPr>
              <w:pStyle w:val="aa"/>
            </w:pPr>
            <w:r>
              <w:rPr>
                <w:rFonts w:hint="eastAsia"/>
              </w:rPr>
              <w:t>7.61</w:t>
            </w:r>
          </w:p>
        </w:tc>
        <w:tc>
          <w:tcPr>
            <w:tcW w:w="685" w:type="dxa"/>
            <w:tcBorders>
              <w:tl2br w:val="nil"/>
              <w:tr2bl w:val="nil"/>
            </w:tcBorders>
            <w:vAlign w:val="center"/>
          </w:tcPr>
          <w:p w14:paraId="62BFDA9B" w14:textId="77777777" w:rsidR="00E579B9" w:rsidRDefault="006A1398">
            <w:pPr>
              <w:pStyle w:val="aa"/>
            </w:pPr>
            <w:r>
              <w:rPr>
                <w:rFonts w:hint="eastAsia"/>
              </w:rPr>
              <w:t>325</w:t>
            </w:r>
          </w:p>
        </w:tc>
        <w:tc>
          <w:tcPr>
            <w:tcW w:w="850" w:type="dxa"/>
            <w:tcBorders>
              <w:tl2br w:val="nil"/>
              <w:tr2bl w:val="nil"/>
            </w:tcBorders>
            <w:vAlign w:val="center"/>
          </w:tcPr>
          <w:p w14:paraId="753253EE" w14:textId="77777777" w:rsidR="00E579B9" w:rsidRDefault="006A1398">
            <w:pPr>
              <w:pStyle w:val="aa"/>
            </w:pPr>
            <w:r>
              <w:rPr>
                <w:rFonts w:hint="eastAsia"/>
              </w:rPr>
              <w:t>473</w:t>
            </w:r>
          </w:p>
        </w:tc>
        <w:tc>
          <w:tcPr>
            <w:tcW w:w="850" w:type="dxa"/>
            <w:tcBorders>
              <w:tl2br w:val="nil"/>
              <w:tr2bl w:val="nil"/>
            </w:tcBorders>
            <w:vAlign w:val="center"/>
          </w:tcPr>
          <w:p w14:paraId="26CAD9AF" w14:textId="77777777" w:rsidR="00E579B9" w:rsidRDefault="006A1398">
            <w:pPr>
              <w:pStyle w:val="aa"/>
            </w:pPr>
            <w:r>
              <w:rPr>
                <w:rFonts w:hint="eastAsia"/>
              </w:rPr>
              <w:t>22</w:t>
            </w:r>
          </w:p>
        </w:tc>
        <w:tc>
          <w:tcPr>
            <w:tcW w:w="929" w:type="dxa"/>
            <w:tcBorders>
              <w:tl2br w:val="nil"/>
              <w:tr2bl w:val="nil"/>
            </w:tcBorders>
            <w:vAlign w:val="center"/>
          </w:tcPr>
          <w:p w14:paraId="4F0DCABE" w14:textId="77777777" w:rsidR="00E579B9" w:rsidRDefault="006A1398">
            <w:pPr>
              <w:pStyle w:val="aa"/>
            </w:pPr>
            <w:r>
              <w:rPr>
                <w:rFonts w:hint="eastAsia"/>
              </w:rPr>
              <w:t>2.17</w:t>
            </w:r>
          </w:p>
        </w:tc>
        <w:tc>
          <w:tcPr>
            <w:tcW w:w="898" w:type="dxa"/>
            <w:tcBorders>
              <w:tl2br w:val="nil"/>
              <w:tr2bl w:val="nil"/>
            </w:tcBorders>
            <w:vAlign w:val="center"/>
          </w:tcPr>
          <w:p w14:paraId="5F27AF64" w14:textId="77777777" w:rsidR="00E579B9" w:rsidRDefault="006A1398">
            <w:pPr>
              <w:pStyle w:val="aa"/>
            </w:pPr>
            <w:r>
              <w:rPr>
                <w:rFonts w:hint="eastAsia"/>
              </w:rPr>
              <w:t>未检出</w:t>
            </w:r>
          </w:p>
        </w:tc>
        <w:tc>
          <w:tcPr>
            <w:tcW w:w="898" w:type="dxa"/>
            <w:tcBorders>
              <w:tl2br w:val="nil"/>
              <w:tr2bl w:val="nil"/>
            </w:tcBorders>
            <w:vAlign w:val="center"/>
          </w:tcPr>
          <w:p w14:paraId="10807D67" w14:textId="77777777" w:rsidR="00E579B9" w:rsidRDefault="006A1398">
            <w:pPr>
              <w:pStyle w:val="aa"/>
            </w:pPr>
            <w:r>
              <w:rPr>
                <w:rFonts w:hint="eastAsia"/>
              </w:rPr>
              <w:t>0.22</w:t>
            </w:r>
          </w:p>
        </w:tc>
        <w:tc>
          <w:tcPr>
            <w:tcW w:w="898" w:type="dxa"/>
            <w:tcBorders>
              <w:tl2br w:val="nil"/>
              <w:tr2bl w:val="nil"/>
            </w:tcBorders>
            <w:vAlign w:val="center"/>
          </w:tcPr>
          <w:p w14:paraId="2C578560" w14:textId="77777777" w:rsidR="00E579B9" w:rsidRDefault="006A1398">
            <w:pPr>
              <w:pStyle w:val="aa"/>
            </w:pPr>
            <w:r>
              <w:rPr>
                <w:rFonts w:hint="eastAsia"/>
              </w:rPr>
              <w:t>21</w:t>
            </w:r>
          </w:p>
        </w:tc>
      </w:tr>
      <w:tr w:rsidR="00E579B9" w14:paraId="1BDEC0A2" w14:textId="77777777">
        <w:trPr>
          <w:trHeight w:val="454"/>
          <w:jc w:val="center"/>
        </w:trPr>
        <w:tc>
          <w:tcPr>
            <w:tcW w:w="429" w:type="dxa"/>
            <w:vMerge w:val="restart"/>
            <w:vAlign w:val="center"/>
          </w:tcPr>
          <w:p w14:paraId="27C67830" w14:textId="77777777" w:rsidR="00E579B9" w:rsidRDefault="006A1398">
            <w:pPr>
              <w:pStyle w:val="aa"/>
            </w:pPr>
            <w:r>
              <w:rPr>
                <w:rFonts w:hint="eastAsia"/>
                <w:color w:val="000000"/>
              </w:rPr>
              <w:t>西下庄</w:t>
            </w:r>
          </w:p>
        </w:tc>
        <w:tc>
          <w:tcPr>
            <w:tcW w:w="1004" w:type="dxa"/>
            <w:vAlign w:val="center"/>
          </w:tcPr>
          <w:p w14:paraId="03FD9D70" w14:textId="77777777" w:rsidR="00E579B9" w:rsidRDefault="006A1398">
            <w:pPr>
              <w:pStyle w:val="aa"/>
            </w:pPr>
            <w:r>
              <w:rPr>
                <w:rFonts w:hint="eastAsia"/>
              </w:rPr>
              <w:t>2020.2.1</w:t>
            </w:r>
          </w:p>
        </w:tc>
        <w:tc>
          <w:tcPr>
            <w:tcW w:w="855" w:type="dxa"/>
            <w:tcBorders>
              <w:tl2br w:val="nil"/>
              <w:tr2bl w:val="nil"/>
            </w:tcBorders>
            <w:vAlign w:val="center"/>
          </w:tcPr>
          <w:p w14:paraId="338D768E" w14:textId="77777777" w:rsidR="00E579B9" w:rsidRDefault="006A1398">
            <w:pPr>
              <w:pStyle w:val="aa"/>
            </w:pPr>
            <w:r>
              <w:rPr>
                <w:rFonts w:hint="eastAsia"/>
              </w:rPr>
              <w:t>7.62</w:t>
            </w:r>
          </w:p>
        </w:tc>
        <w:tc>
          <w:tcPr>
            <w:tcW w:w="685" w:type="dxa"/>
            <w:tcBorders>
              <w:tl2br w:val="nil"/>
              <w:tr2bl w:val="nil"/>
            </w:tcBorders>
            <w:vAlign w:val="center"/>
          </w:tcPr>
          <w:p w14:paraId="5509E726" w14:textId="77777777" w:rsidR="00E579B9" w:rsidRDefault="006A1398">
            <w:pPr>
              <w:pStyle w:val="aa"/>
            </w:pPr>
            <w:r>
              <w:rPr>
                <w:rFonts w:hint="eastAsia"/>
              </w:rPr>
              <w:t>326</w:t>
            </w:r>
          </w:p>
        </w:tc>
        <w:tc>
          <w:tcPr>
            <w:tcW w:w="850" w:type="dxa"/>
            <w:tcBorders>
              <w:tl2br w:val="nil"/>
              <w:tr2bl w:val="nil"/>
            </w:tcBorders>
            <w:vAlign w:val="center"/>
          </w:tcPr>
          <w:p w14:paraId="77F5742B" w14:textId="77777777" w:rsidR="00E579B9" w:rsidRDefault="006A1398">
            <w:pPr>
              <w:pStyle w:val="aa"/>
            </w:pPr>
            <w:r>
              <w:rPr>
                <w:rFonts w:hint="eastAsia"/>
              </w:rPr>
              <w:t>477</w:t>
            </w:r>
          </w:p>
        </w:tc>
        <w:tc>
          <w:tcPr>
            <w:tcW w:w="850" w:type="dxa"/>
            <w:tcBorders>
              <w:tl2br w:val="nil"/>
              <w:tr2bl w:val="nil"/>
            </w:tcBorders>
            <w:vAlign w:val="center"/>
          </w:tcPr>
          <w:p w14:paraId="1E768DE2" w14:textId="77777777" w:rsidR="00E579B9" w:rsidRDefault="006A1398">
            <w:pPr>
              <w:pStyle w:val="aa"/>
            </w:pPr>
            <w:r>
              <w:rPr>
                <w:rFonts w:hint="eastAsia"/>
              </w:rPr>
              <w:t>22</w:t>
            </w:r>
          </w:p>
        </w:tc>
        <w:tc>
          <w:tcPr>
            <w:tcW w:w="929" w:type="dxa"/>
            <w:tcBorders>
              <w:tl2br w:val="nil"/>
              <w:tr2bl w:val="nil"/>
            </w:tcBorders>
            <w:vAlign w:val="center"/>
          </w:tcPr>
          <w:p w14:paraId="452DDF1C" w14:textId="77777777" w:rsidR="00E579B9" w:rsidRDefault="006A1398">
            <w:pPr>
              <w:pStyle w:val="aa"/>
            </w:pPr>
            <w:r>
              <w:rPr>
                <w:rFonts w:hint="eastAsia"/>
              </w:rPr>
              <w:t>2.18</w:t>
            </w:r>
          </w:p>
        </w:tc>
        <w:tc>
          <w:tcPr>
            <w:tcW w:w="898" w:type="dxa"/>
            <w:tcBorders>
              <w:tl2br w:val="nil"/>
              <w:tr2bl w:val="nil"/>
            </w:tcBorders>
            <w:vAlign w:val="center"/>
          </w:tcPr>
          <w:p w14:paraId="0BD4FE01" w14:textId="77777777" w:rsidR="00E579B9" w:rsidRDefault="006A1398">
            <w:pPr>
              <w:pStyle w:val="aa"/>
            </w:pPr>
            <w:r>
              <w:rPr>
                <w:rFonts w:hint="eastAsia"/>
              </w:rPr>
              <w:t>未检出</w:t>
            </w:r>
          </w:p>
        </w:tc>
        <w:tc>
          <w:tcPr>
            <w:tcW w:w="898" w:type="dxa"/>
            <w:tcBorders>
              <w:tl2br w:val="nil"/>
              <w:tr2bl w:val="nil"/>
            </w:tcBorders>
            <w:vAlign w:val="center"/>
          </w:tcPr>
          <w:p w14:paraId="0521351F" w14:textId="77777777" w:rsidR="00E579B9" w:rsidRDefault="006A1398">
            <w:pPr>
              <w:pStyle w:val="aa"/>
            </w:pPr>
            <w:r>
              <w:rPr>
                <w:rFonts w:hint="eastAsia"/>
              </w:rPr>
              <w:t>0.25</w:t>
            </w:r>
          </w:p>
        </w:tc>
        <w:tc>
          <w:tcPr>
            <w:tcW w:w="898" w:type="dxa"/>
            <w:tcBorders>
              <w:tl2br w:val="nil"/>
              <w:tr2bl w:val="nil"/>
            </w:tcBorders>
            <w:vAlign w:val="center"/>
          </w:tcPr>
          <w:p w14:paraId="65FFA80C" w14:textId="77777777" w:rsidR="00E579B9" w:rsidRDefault="006A1398">
            <w:pPr>
              <w:pStyle w:val="aa"/>
            </w:pPr>
            <w:r>
              <w:rPr>
                <w:rFonts w:hint="eastAsia"/>
              </w:rPr>
              <w:t>24</w:t>
            </w:r>
          </w:p>
        </w:tc>
      </w:tr>
      <w:tr w:rsidR="00E579B9" w14:paraId="149500A6" w14:textId="77777777">
        <w:trPr>
          <w:trHeight w:val="454"/>
          <w:jc w:val="center"/>
        </w:trPr>
        <w:tc>
          <w:tcPr>
            <w:tcW w:w="429" w:type="dxa"/>
            <w:vMerge/>
            <w:vAlign w:val="center"/>
          </w:tcPr>
          <w:p w14:paraId="4B90CC62" w14:textId="77777777" w:rsidR="00E579B9" w:rsidRDefault="00E579B9">
            <w:pPr>
              <w:pStyle w:val="aa"/>
            </w:pPr>
          </w:p>
        </w:tc>
        <w:tc>
          <w:tcPr>
            <w:tcW w:w="1004" w:type="dxa"/>
            <w:vAlign w:val="center"/>
          </w:tcPr>
          <w:p w14:paraId="0CFDBB06" w14:textId="77777777" w:rsidR="00E579B9" w:rsidRDefault="006A1398">
            <w:pPr>
              <w:pStyle w:val="aa"/>
            </w:pPr>
            <w:r>
              <w:rPr>
                <w:rFonts w:hint="eastAsia"/>
              </w:rPr>
              <w:t>2.20.2.2</w:t>
            </w:r>
          </w:p>
        </w:tc>
        <w:tc>
          <w:tcPr>
            <w:tcW w:w="855" w:type="dxa"/>
            <w:tcBorders>
              <w:tl2br w:val="nil"/>
              <w:tr2bl w:val="nil"/>
            </w:tcBorders>
            <w:vAlign w:val="center"/>
          </w:tcPr>
          <w:p w14:paraId="7CFC8C79" w14:textId="77777777" w:rsidR="00E579B9" w:rsidRDefault="006A1398">
            <w:pPr>
              <w:pStyle w:val="aa"/>
            </w:pPr>
            <w:r>
              <w:rPr>
                <w:rFonts w:hint="eastAsia"/>
              </w:rPr>
              <w:t>7.64</w:t>
            </w:r>
          </w:p>
        </w:tc>
        <w:tc>
          <w:tcPr>
            <w:tcW w:w="685" w:type="dxa"/>
            <w:tcBorders>
              <w:tl2br w:val="nil"/>
              <w:tr2bl w:val="nil"/>
            </w:tcBorders>
            <w:vAlign w:val="center"/>
          </w:tcPr>
          <w:p w14:paraId="7FA6001B" w14:textId="77777777" w:rsidR="00E579B9" w:rsidRDefault="006A1398">
            <w:pPr>
              <w:pStyle w:val="aa"/>
            </w:pPr>
            <w:r>
              <w:rPr>
                <w:rFonts w:hint="eastAsia"/>
              </w:rPr>
              <w:t>355</w:t>
            </w:r>
          </w:p>
        </w:tc>
        <w:tc>
          <w:tcPr>
            <w:tcW w:w="850" w:type="dxa"/>
            <w:tcBorders>
              <w:tl2br w:val="nil"/>
              <w:tr2bl w:val="nil"/>
            </w:tcBorders>
            <w:vAlign w:val="center"/>
          </w:tcPr>
          <w:p w14:paraId="1E5EF948" w14:textId="77777777" w:rsidR="00E579B9" w:rsidRDefault="006A1398">
            <w:pPr>
              <w:pStyle w:val="aa"/>
            </w:pPr>
            <w:r>
              <w:rPr>
                <w:rFonts w:hint="eastAsia"/>
              </w:rPr>
              <w:t>463</w:t>
            </w:r>
          </w:p>
        </w:tc>
        <w:tc>
          <w:tcPr>
            <w:tcW w:w="850" w:type="dxa"/>
            <w:tcBorders>
              <w:tl2br w:val="nil"/>
              <w:tr2bl w:val="nil"/>
            </w:tcBorders>
            <w:vAlign w:val="center"/>
          </w:tcPr>
          <w:p w14:paraId="3C8E012B" w14:textId="77777777" w:rsidR="00E579B9" w:rsidRDefault="006A1398">
            <w:pPr>
              <w:pStyle w:val="aa"/>
            </w:pPr>
            <w:r>
              <w:rPr>
                <w:rFonts w:hint="eastAsia"/>
              </w:rPr>
              <w:t>17</w:t>
            </w:r>
          </w:p>
        </w:tc>
        <w:tc>
          <w:tcPr>
            <w:tcW w:w="929" w:type="dxa"/>
            <w:tcBorders>
              <w:tl2br w:val="nil"/>
              <w:tr2bl w:val="nil"/>
            </w:tcBorders>
            <w:vAlign w:val="center"/>
          </w:tcPr>
          <w:p w14:paraId="2ECFA970" w14:textId="77777777" w:rsidR="00E579B9" w:rsidRDefault="006A1398">
            <w:pPr>
              <w:pStyle w:val="aa"/>
            </w:pPr>
            <w:r>
              <w:rPr>
                <w:rFonts w:hint="eastAsia"/>
              </w:rPr>
              <w:t>2.22</w:t>
            </w:r>
          </w:p>
        </w:tc>
        <w:tc>
          <w:tcPr>
            <w:tcW w:w="898" w:type="dxa"/>
            <w:tcBorders>
              <w:tl2br w:val="nil"/>
              <w:tr2bl w:val="nil"/>
            </w:tcBorders>
            <w:vAlign w:val="center"/>
          </w:tcPr>
          <w:p w14:paraId="6FA3E6DB" w14:textId="77777777" w:rsidR="00E579B9" w:rsidRDefault="006A1398">
            <w:pPr>
              <w:pStyle w:val="aa"/>
            </w:pPr>
            <w:r>
              <w:rPr>
                <w:rFonts w:hint="eastAsia"/>
              </w:rPr>
              <w:t>未检出</w:t>
            </w:r>
          </w:p>
        </w:tc>
        <w:tc>
          <w:tcPr>
            <w:tcW w:w="898" w:type="dxa"/>
            <w:tcBorders>
              <w:tl2br w:val="nil"/>
              <w:tr2bl w:val="nil"/>
            </w:tcBorders>
            <w:vAlign w:val="center"/>
          </w:tcPr>
          <w:p w14:paraId="7DDC5019" w14:textId="77777777" w:rsidR="00E579B9" w:rsidRDefault="006A1398">
            <w:pPr>
              <w:pStyle w:val="aa"/>
            </w:pPr>
            <w:r>
              <w:rPr>
                <w:rFonts w:hint="eastAsia"/>
              </w:rPr>
              <w:t>0.24</w:t>
            </w:r>
          </w:p>
        </w:tc>
        <w:tc>
          <w:tcPr>
            <w:tcW w:w="898" w:type="dxa"/>
            <w:tcBorders>
              <w:tl2br w:val="nil"/>
              <w:tr2bl w:val="nil"/>
            </w:tcBorders>
            <w:vAlign w:val="center"/>
          </w:tcPr>
          <w:p w14:paraId="07F9C8B2" w14:textId="77777777" w:rsidR="00E579B9" w:rsidRDefault="006A1398">
            <w:pPr>
              <w:pStyle w:val="aa"/>
            </w:pPr>
            <w:r>
              <w:rPr>
                <w:rFonts w:hint="eastAsia"/>
              </w:rPr>
              <w:t>19</w:t>
            </w:r>
          </w:p>
        </w:tc>
      </w:tr>
      <w:tr w:rsidR="00E579B9" w14:paraId="7298A8D3" w14:textId="77777777">
        <w:trPr>
          <w:trHeight w:val="454"/>
          <w:jc w:val="center"/>
        </w:trPr>
        <w:tc>
          <w:tcPr>
            <w:tcW w:w="429" w:type="dxa"/>
            <w:vMerge w:val="restart"/>
            <w:vAlign w:val="center"/>
          </w:tcPr>
          <w:p w14:paraId="3346ABAF" w14:textId="77777777" w:rsidR="00E579B9" w:rsidRDefault="006A1398">
            <w:pPr>
              <w:pStyle w:val="aa"/>
            </w:pPr>
            <w:r>
              <w:rPr>
                <w:rFonts w:hint="eastAsia"/>
              </w:rPr>
              <w:t>平上</w:t>
            </w:r>
          </w:p>
        </w:tc>
        <w:tc>
          <w:tcPr>
            <w:tcW w:w="1004" w:type="dxa"/>
            <w:vAlign w:val="center"/>
          </w:tcPr>
          <w:p w14:paraId="39352813" w14:textId="77777777" w:rsidR="00E579B9" w:rsidRDefault="006A1398">
            <w:pPr>
              <w:pStyle w:val="aa"/>
            </w:pPr>
            <w:r>
              <w:rPr>
                <w:rFonts w:hint="eastAsia"/>
              </w:rPr>
              <w:t>2020.2.1</w:t>
            </w:r>
          </w:p>
        </w:tc>
        <w:tc>
          <w:tcPr>
            <w:tcW w:w="855" w:type="dxa"/>
            <w:tcBorders>
              <w:tl2br w:val="nil"/>
              <w:tr2bl w:val="nil"/>
            </w:tcBorders>
            <w:vAlign w:val="center"/>
          </w:tcPr>
          <w:p w14:paraId="474F3007" w14:textId="77777777" w:rsidR="00E579B9" w:rsidRDefault="006A1398">
            <w:pPr>
              <w:pStyle w:val="aa"/>
            </w:pPr>
            <w:r>
              <w:rPr>
                <w:rFonts w:hint="eastAsia"/>
              </w:rPr>
              <w:t>7.53</w:t>
            </w:r>
          </w:p>
        </w:tc>
        <w:tc>
          <w:tcPr>
            <w:tcW w:w="685" w:type="dxa"/>
            <w:tcBorders>
              <w:tl2br w:val="nil"/>
              <w:tr2bl w:val="nil"/>
            </w:tcBorders>
            <w:vAlign w:val="center"/>
          </w:tcPr>
          <w:p w14:paraId="43F24F30" w14:textId="77777777" w:rsidR="00E579B9" w:rsidRDefault="006A1398">
            <w:pPr>
              <w:pStyle w:val="aa"/>
            </w:pPr>
            <w:r>
              <w:rPr>
                <w:rFonts w:hint="eastAsia"/>
              </w:rPr>
              <w:t>325</w:t>
            </w:r>
          </w:p>
        </w:tc>
        <w:tc>
          <w:tcPr>
            <w:tcW w:w="850" w:type="dxa"/>
            <w:tcBorders>
              <w:tl2br w:val="nil"/>
              <w:tr2bl w:val="nil"/>
            </w:tcBorders>
            <w:vAlign w:val="center"/>
          </w:tcPr>
          <w:p w14:paraId="41D4CBB0" w14:textId="77777777" w:rsidR="00E579B9" w:rsidRDefault="006A1398">
            <w:pPr>
              <w:pStyle w:val="aa"/>
            </w:pPr>
            <w:r>
              <w:rPr>
                <w:rFonts w:hint="eastAsia"/>
              </w:rPr>
              <w:t>466</w:t>
            </w:r>
          </w:p>
        </w:tc>
        <w:tc>
          <w:tcPr>
            <w:tcW w:w="850" w:type="dxa"/>
            <w:tcBorders>
              <w:tl2br w:val="nil"/>
              <w:tr2bl w:val="nil"/>
            </w:tcBorders>
            <w:vAlign w:val="center"/>
          </w:tcPr>
          <w:p w14:paraId="1B970451" w14:textId="77777777" w:rsidR="00E579B9" w:rsidRDefault="006A1398">
            <w:pPr>
              <w:pStyle w:val="aa"/>
            </w:pPr>
            <w:r>
              <w:rPr>
                <w:rFonts w:hint="eastAsia"/>
              </w:rPr>
              <w:t>19</w:t>
            </w:r>
          </w:p>
        </w:tc>
        <w:tc>
          <w:tcPr>
            <w:tcW w:w="929" w:type="dxa"/>
            <w:tcBorders>
              <w:tl2br w:val="nil"/>
              <w:tr2bl w:val="nil"/>
            </w:tcBorders>
            <w:vAlign w:val="center"/>
          </w:tcPr>
          <w:p w14:paraId="0B8D680D" w14:textId="77777777" w:rsidR="00E579B9" w:rsidRDefault="006A1398">
            <w:pPr>
              <w:pStyle w:val="aa"/>
            </w:pPr>
            <w:r>
              <w:rPr>
                <w:rFonts w:hint="eastAsia"/>
              </w:rPr>
              <w:t>2.25</w:t>
            </w:r>
          </w:p>
        </w:tc>
        <w:tc>
          <w:tcPr>
            <w:tcW w:w="898" w:type="dxa"/>
            <w:tcBorders>
              <w:tl2br w:val="nil"/>
              <w:tr2bl w:val="nil"/>
            </w:tcBorders>
            <w:vAlign w:val="center"/>
          </w:tcPr>
          <w:p w14:paraId="4ADD7F48" w14:textId="77777777" w:rsidR="00E579B9" w:rsidRDefault="006A1398">
            <w:pPr>
              <w:pStyle w:val="aa"/>
            </w:pPr>
            <w:r>
              <w:rPr>
                <w:rFonts w:hint="eastAsia"/>
              </w:rPr>
              <w:t>未检出</w:t>
            </w:r>
          </w:p>
        </w:tc>
        <w:tc>
          <w:tcPr>
            <w:tcW w:w="898" w:type="dxa"/>
            <w:tcBorders>
              <w:tl2br w:val="nil"/>
              <w:tr2bl w:val="nil"/>
            </w:tcBorders>
            <w:vAlign w:val="center"/>
          </w:tcPr>
          <w:p w14:paraId="2E68CEB7" w14:textId="77777777" w:rsidR="00E579B9" w:rsidRDefault="006A1398">
            <w:pPr>
              <w:pStyle w:val="aa"/>
            </w:pPr>
            <w:r>
              <w:rPr>
                <w:rFonts w:hint="eastAsia"/>
              </w:rPr>
              <w:t>0.24</w:t>
            </w:r>
          </w:p>
        </w:tc>
        <w:tc>
          <w:tcPr>
            <w:tcW w:w="898" w:type="dxa"/>
            <w:tcBorders>
              <w:tl2br w:val="nil"/>
              <w:tr2bl w:val="nil"/>
            </w:tcBorders>
            <w:vAlign w:val="center"/>
          </w:tcPr>
          <w:p w14:paraId="05CF08FE" w14:textId="77777777" w:rsidR="00E579B9" w:rsidRDefault="006A1398">
            <w:pPr>
              <w:pStyle w:val="aa"/>
            </w:pPr>
            <w:r>
              <w:rPr>
                <w:rFonts w:hint="eastAsia"/>
              </w:rPr>
              <w:t>11</w:t>
            </w:r>
          </w:p>
        </w:tc>
      </w:tr>
      <w:tr w:rsidR="00E579B9" w14:paraId="43298F34" w14:textId="77777777">
        <w:trPr>
          <w:trHeight w:val="454"/>
          <w:jc w:val="center"/>
        </w:trPr>
        <w:tc>
          <w:tcPr>
            <w:tcW w:w="429" w:type="dxa"/>
            <w:vMerge/>
            <w:vAlign w:val="center"/>
          </w:tcPr>
          <w:p w14:paraId="65919B77" w14:textId="77777777" w:rsidR="00E579B9" w:rsidRDefault="00E579B9">
            <w:pPr>
              <w:pStyle w:val="aa"/>
            </w:pPr>
          </w:p>
        </w:tc>
        <w:tc>
          <w:tcPr>
            <w:tcW w:w="1004" w:type="dxa"/>
            <w:vAlign w:val="center"/>
          </w:tcPr>
          <w:p w14:paraId="1E0604F7" w14:textId="77777777" w:rsidR="00E579B9" w:rsidRDefault="006A1398">
            <w:pPr>
              <w:pStyle w:val="aa"/>
            </w:pPr>
            <w:r>
              <w:rPr>
                <w:rFonts w:hint="eastAsia"/>
              </w:rPr>
              <w:t>2.20.2.2</w:t>
            </w:r>
          </w:p>
        </w:tc>
        <w:tc>
          <w:tcPr>
            <w:tcW w:w="855" w:type="dxa"/>
            <w:tcBorders>
              <w:tl2br w:val="nil"/>
              <w:tr2bl w:val="nil"/>
            </w:tcBorders>
            <w:vAlign w:val="center"/>
          </w:tcPr>
          <w:p w14:paraId="67F93E50" w14:textId="77777777" w:rsidR="00E579B9" w:rsidRDefault="006A1398">
            <w:pPr>
              <w:pStyle w:val="aa"/>
            </w:pPr>
            <w:r>
              <w:rPr>
                <w:rFonts w:hint="eastAsia"/>
              </w:rPr>
              <w:t>7.57</w:t>
            </w:r>
          </w:p>
        </w:tc>
        <w:tc>
          <w:tcPr>
            <w:tcW w:w="685" w:type="dxa"/>
            <w:tcBorders>
              <w:tl2br w:val="nil"/>
              <w:tr2bl w:val="nil"/>
            </w:tcBorders>
            <w:vAlign w:val="center"/>
          </w:tcPr>
          <w:p w14:paraId="5FD860F2" w14:textId="77777777" w:rsidR="00E579B9" w:rsidRDefault="006A1398">
            <w:pPr>
              <w:pStyle w:val="aa"/>
            </w:pPr>
            <w:r>
              <w:rPr>
                <w:rFonts w:hint="eastAsia"/>
              </w:rPr>
              <w:t>358</w:t>
            </w:r>
          </w:p>
        </w:tc>
        <w:tc>
          <w:tcPr>
            <w:tcW w:w="850" w:type="dxa"/>
            <w:tcBorders>
              <w:tl2br w:val="nil"/>
              <w:tr2bl w:val="nil"/>
            </w:tcBorders>
            <w:vAlign w:val="center"/>
          </w:tcPr>
          <w:p w14:paraId="0B0C149C" w14:textId="77777777" w:rsidR="00E579B9" w:rsidRDefault="006A1398">
            <w:pPr>
              <w:pStyle w:val="aa"/>
            </w:pPr>
            <w:r>
              <w:rPr>
                <w:rFonts w:hint="eastAsia"/>
              </w:rPr>
              <w:t>465</w:t>
            </w:r>
          </w:p>
        </w:tc>
        <w:tc>
          <w:tcPr>
            <w:tcW w:w="850" w:type="dxa"/>
            <w:tcBorders>
              <w:tl2br w:val="nil"/>
              <w:tr2bl w:val="nil"/>
            </w:tcBorders>
            <w:vAlign w:val="center"/>
          </w:tcPr>
          <w:p w14:paraId="697F5F57" w14:textId="77777777" w:rsidR="00E579B9" w:rsidRDefault="006A1398">
            <w:pPr>
              <w:pStyle w:val="aa"/>
            </w:pPr>
            <w:r>
              <w:rPr>
                <w:rFonts w:hint="eastAsia"/>
              </w:rPr>
              <w:t>14</w:t>
            </w:r>
          </w:p>
        </w:tc>
        <w:tc>
          <w:tcPr>
            <w:tcW w:w="929" w:type="dxa"/>
            <w:tcBorders>
              <w:tl2br w:val="nil"/>
              <w:tr2bl w:val="nil"/>
            </w:tcBorders>
            <w:vAlign w:val="center"/>
          </w:tcPr>
          <w:p w14:paraId="56796F0F" w14:textId="77777777" w:rsidR="00E579B9" w:rsidRDefault="006A1398">
            <w:pPr>
              <w:pStyle w:val="aa"/>
            </w:pPr>
            <w:r>
              <w:rPr>
                <w:rFonts w:hint="eastAsia"/>
              </w:rPr>
              <w:t>2.23</w:t>
            </w:r>
          </w:p>
        </w:tc>
        <w:tc>
          <w:tcPr>
            <w:tcW w:w="898" w:type="dxa"/>
            <w:tcBorders>
              <w:tl2br w:val="nil"/>
              <w:tr2bl w:val="nil"/>
            </w:tcBorders>
            <w:vAlign w:val="center"/>
          </w:tcPr>
          <w:p w14:paraId="0BA68638" w14:textId="77777777" w:rsidR="00E579B9" w:rsidRDefault="006A1398">
            <w:pPr>
              <w:pStyle w:val="aa"/>
            </w:pPr>
            <w:r>
              <w:rPr>
                <w:rFonts w:hint="eastAsia"/>
              </w:rPr>
              <w:t>未检出</w:t>
            </w:r>
          </w:p>
        </w:tc>
        <w:tc>
          <w:tcPr>
            <w:tcW w:w="898" w:type="dxa"/>
            <w:tcBorders>
              <w:tl2br w:val="nil"/>
              <w:tr2bl w:val="nil"/>
            </w:tcBorders>
            <w:vAlign w:val="center"/>
          </w:tcPr>
          <w:p w14:paraId="0E77B7D0" w14:textId="77777777" w:rsidR="00E579B9" w:rsidRDefault="006A1398">
            <w:pPr>
              <w:pStyle w:val="aa"/>
            </w:pPr>
            <w:r>
              <w:rPr>
                <w:rFonts w:hint="eastAsia"/>
              </w:rPr>
              <w:t>0.26</w:t>
            </w:r>
          </w:p>
        </w:tc>
        <w:tc>
          <w:tcPr>
            <w:tcW w:w="898" w:type="dxa"/>
            <w:tcBorders>
              <w:tl2br w:val="nil"/>
              <w:tr2bl w:val="nil"/>
            </w:tcBorders>
            <w:vAlign w:val="center"/>
          </w:tcPr>
          <w:p w14:paraId="21D35326" w14:textId="77777777" w:rsidR="00E579B9" w:rsidRDefault="006A1398">
            <w:pPr>
              <w:pStyle w:val="aa"/>
            </w:pPr>
            <w:r>
              <w:rPr>
                <w:rFonts w:hint="eastAsia"/>
              </w:rPr>
              <w:t>12</w:t>
            </w:r>
          </w:p>
        </w:tc>
      </w:tr>
      <w:tr w:rsidR="00E579B9" w14:paraId="02AF25A7" w14:textId="77777777">
        <w:trPr>
          <w:trHeight w:val="1125"/>
          <w:jc w:val="center"/>
        </w:trPr>
        <w:tc>
          <w:tcPr>
            <w:tcW w:w="1433" w:type="dxa"/>
            <w:gridSpan w:val="2"/>
            <w:vAlign w:val="center"/>
          </w:tcPr>
          <w:p w14:paraId="2C6792C9" w14:textId="77777777" w:rsidR="00E579B9" w:rsidRDefault="006A1398">
            <w:pPr>
              <w:pStyle w:val="aa"/>
            </w:pPr>
            <w:r>
              <w:t>《地下水质量标准》</w:t>
            </w:r>
            <w:r>
              <w:rPr>
                <w:rFonts w:hint="eastAsia"/>
              </w:rPr>
              <w:t>（</w:t>
            </w:r>
            <w:r>
              <w:t>GB/T14848</w:t>
            </w:r>
            <w:r>
              <w:rPr>
                <w:rFonts w:ascii="宋体" w:hAnsi="宋体"/>
              </w:rPr>
              <w:lastRenderedPageBreak/>
              <w:t>－</w:t>
            </w:r>
            <w:r>
              <w:t>2017</w:t>
            </w:r>
            <w:r>
              <w:rPr>
                <w:rFonts w:hint="eastAsia"/>
              </w:rPr>
              <w:t>）</w:t>
            </w:r>
            <w:r>
              <w:rPr>
                <w:rFonts w:ascii="宋体" w:hAnsi="宋体" w:hint="eastAsia"/>
              </w:rPr>
              <w:t>Ⅲ</w:t>
            </w:r>
            <w:r>
              <w:t>类标准</w:t>
            </w:r>
          </w:p>
        </w:tc>
        <w:tc>
          <w:tcPr>
            <w:tcW w:w="855" w:type="dxa"/>
            <w:vAlign w:val="center"/>
          </w:tcPr>
          <w:p w14:paraId="1C76FB25" w14:textId="77777777" w:rsidR="00E579B9" w:rsidRDefault="006A1398">
            <w:pPr>
              <w:pStyle w:val="aa"/>
            </w:pPr>
            <w:r>
              <w:lastRenderedPageBreak/>
              <w:t>6.5~8.5</w:t>
            </w:r>
          </w:p>
        </w:tc>
        <w:tc>
          <w:tcPr>
            <w:tcW w:w="685" w:type="dxa"/>
            <w:vAlign w:val="center"/>
          </w:tcPr>
          <w:p w14:paraId="1B8D70EB" w14:textId="77777777" w:rsidR="00E579B9" w:rsidRDefault="006A1398">
            <w:pPr>
              <w:pStyle w:val="aa"/>
            </w:pPr>
            <w:r>
              <w:rPr>
                <w:rFonts w:hint="eastAsia"/>
              </w:rPr>
              <w:t>450</w:t>
            </w:r>
          </w:p>
        </w:tc>
        <w:tc>
          <w:tcPr>
            <w:tcW w:w="850" w:type="dxa"/>
            <w:vAlign w:val="center"/>
          </w:tcPr>
          <w:p w14:paraId="1C319CDF" w14:textId="77777777" w:rsidR="00E579B9" w:rsidRDefault="006A1398">
            <w:pPr>
              <w:pStyle w:val="aa"/>
            </w:pPr>
            <w:r>
              <w:t>1000</w:t>
            </w:r>
          </w:p>
        </w:tc>
        <w:tc>
          <w:tcPr>
            <w:tcW w:w="850" w:type="dxa"/>
            <w:vAlign w:val="center"/>
          </w:tcPr>
          <w:p w14:paraId="365BE503" w14:textId="77777777" w:rsidR="00E579B9" w:rsidRDefault="006A1398">
            <w:pPr>
              <w:pStyle w:val="aa"/>
            </w:pPr>
            <w:r>
              <w:rPr>
                <w:rFonts w:hint="eastAsia"/>
              </w:rPr>
              <w:t>250</w:t>
            </w:r>
          </w:p>
        </w:tc>
        <w:tc>
          <w:tcPr>
            <w:tcW w:w="929" w:type="dxa"/>
            <w:vAlign w:val="center"/>
          </w:tcPr>
          <w:p w14:paraId="7E6D814C" w14:textId="77777777" w:rsidR="00E579B9" w:rsidRDefault="006A1398">
            <w:pPr>
              <w:pStyle w:val="aa"/>
            </w:pPr>
            <w:r>
              <w:rPr>
                <w:rFonts w:hint="eastAsia"/>
              </w:rPr>
              <w:t>3.0</w:t>
            </w:r>
          </w:p>
        </w:tc>
        <w:tc>
          <w:tcPr>
            <w:tcW w:w="898" w:type="dxa"/>
            <w:vAlign w:val="center"/>
          </w:tcPr>
          <w:p w14:paraId="4A063F50" w14:textId="77777777" w:rsidR="00E579B9" w:rsidRDefault="006A1398">
            <w:pPr>
              <w:pStyle w:val="aa"/>
            </w:pPr>
            <w:r>
              <w:rPr>
                <w:rFonts w:hint="eastAsia"/>
              </w:rPr>
              <w:t>0.5</w:t>
            </w:r>
          </w:p>
        </w:tc>
        <w:tc>
          <w:tcPr>
            <w:tcW w:w="898" w:type="dxa"/>
            <w:vAlign w:val="center"/>
          </w:tcPr>
          <w:p w14:paraId="6CB7BFE5" w14:textId="77777777" w:rsidR="00E579B9" w:rsidRDefault="006A1398">
            <w:pPr>
              <w:pStyle w:val="aa"/>
            </w:pPr>
            <w:r>
              <w:t>1.0</w:t>
            </w:r>
          </w:p>
        </w:tc>
        <w:tc>
          <w:tcPr>
            <w:tcW w:w="898" w:type="dxa"/>
            <w:vAlign w:val="center"/>
          </w:tcPr>
          <w:p w14:paraId="60499A3E" w14:textId="77777777" w:rsidR="00E579B9" w:rsidRDefault="006A1398">
            <w:pPr>
              <w:pStyle w:val="aa"/>
            </w:pPr>
            <w:r>
              <w:rPr>
                <w:rFonts w:hint="eastAsia"/>
              </w:rPr>
              <w:t>250</w:t>
            </w:r>
          </w:p>
        </w:tc>
      </w:tr>
    </w:tbl>
    <w:p w14:paraId="14442514" w14:textId="1AD15D03" w:rsidR="00E579B9" w:rsidRDefault="006A1398">
      <w:pPr>
        <w:widowControl w:val="0"/>
        <w:spacing w:line="480" w:lineRule="exact"/>
        <w:ind w:firstLine="536"/>
        <w:jc w:val="both"/>
        <w:rPr>
          <w:rFonts w:cs="Times New Roman"/>
          <w:szCs w:val="24"/>
        </w:rPr>
      </w:pPr>
      <w:r>
        <w:rPr>
          <w:rFonts w:ascii="黑体" w:eastAsia="黑体" w:hAnsi="黑体" w:cs="Times New Roman" w:hint="eastAsia"/>
          <w:spacing w:val="14"/>
          <w:kern w:val="0"/>
          <w:szCs w:val="24"/>
        </w:rPr>
        <w:t>续</w:t>
      </w:r>
      <w:r>
        <w:rPr>
          <w:rFonts w:ascii="黑体" w:eastAsia="黑体" w:hAnsi="黑体" w:cs="Times New Roman"/>
          <w:spacing w:val="14"/>
          <w:kern w:val="0"/>
          <w:szCs w:val="24"/>
        </w:rPr>
        <w:t>表</w:t>
      </w:r>
      <w:r>
        <w:rPr>
          <w:rFonts w:eastAsia="黑体" w:cs="Times New Roman" w:hint="eastAsia"/>
          <w:spacing w:val="14"/>
          <w:kern w:val="0"/>
          <w:szCs w:val="24"/>
        </w:rPr>
        <w:t>4.3-8</w:t>
      </w:r>
      <w:r>
        <w:rPr>
          <w:rFonts w:ascii="黑体" w:eastAsia="黑体" w:hAnsi="黑体" w:cs="Times New Roman"/>
          <w:spacing w:val="14"/>
          <w:kern w:val="0"/>
          <w:szCs w:val="24"/>
        </w:rPr>
        <w:t>地下水监测统计结果</w:t>
      </w:r>
      <w:r>
        <w:rPr>
          <w:rFonts w:ascii="黑体" w:eastAsia="黑体" w:hAnsi="黑体" w:cs="Times New Roman"/>
          <w:sz w:val="21"/>
          <w:szCs w:val="21"/>
        </w:rPr>
        <w:t>单位：</w:t>
      </w:r>
      <w:r>
        <w:rPr>
          <w:rFonts w:eastAsia="黑体" w:cs="Times New Roman"/>
          <w:sz w:val="21"/>
          <w:szCs w:val="21"/>
        </w:rPr>
        <w:t>mg/L</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980"/>
        <w:gridCol w:w="868"/>
        <w:gridCol w:w="868"/>
        <w:gridCol w:w="868"/>
        <w:gridCol w:w="868"/>
        <w:gridCol w:w="905"/>
        <w:gridCol w:w="831"/>
        <w:gridCol w:w="985"/>
        <w:gridCol w:w="672"/>
      </w:tblGrid>
      <w:tr w:rsidR="00E579B9" w14:paraId="1FF8E186" w14:textId="77777777">
        <w:trPr>
          <w:trHeight w:val="802"/>
          <w:jc w:val="center"/>
        </w:trPr>
        <w:tc>
          <w:tcPr>
            <w:tcW w:w="451" w:type="dxa"/>
            <w:vAlign w:val="center"/>
          </w:tcPr>
          <w:p w14:paraId="154F2698" w14:textId="77777777" w:rsidR="00E579B9" w:rsidRDefault="006A1398">
            <w:pPr>
              <w:spacing w:line="240" w:lineRule="auto"/>
              <w:ind w:firstLineChars="0" w:firstLine="0"/>
              <w:jc w:val="center"/>
              <w:rPr>
                <w:rFonts w:cs="Times New Roman"/>
                <w:sz w:val="21"/>
                <w:szCs w:val="21"/>
              </w:rPr>
            </w:pPr>
            <w:r>
              <w:rPr>
                <w:rFonts w:cs="Times New Roman"/>
                <w:sz w:val="21"/>
                <w:szCs w:val="21"/>
              </w:rPr>
              <w:t>名称</w:t>
            </w:r>
          </w:p>
        </w:tc>
        <w:tc>
          <w:tcPr>
            <w:tcW w:w="980" w:type="dxa"/>
            <w:vAlign w:val="center"/>
          </w:tcPr>
          <w:p w14:paraId="188853C9" w14:textId="77777777" w:rsidR="00E579B9" w:rsidRDefault="006A1398">
            <w:pPr>
              <w:spacing w:line="240" w:lineRule="auto"/>
              <w:ind w:firstLineChars="0" w:firstLine="0"/>
              <w:jc w:val="center"/>
              <w:rPr>
                <w:rFonts w:cs="Times New Roman"/>
                <w:sz w:val="21"/>
                <w:szCs w:val="21"/>
              </w:rPr>
            </w:pPr>
            <w:r>
              <w:rPr>
                <w:rFonts w:cs="Times New Roman"/>
                <w:sz w:val="21"/>
                <w:szCs w:val="21"/>
              </w:rPr>
              <w:t>采样日期</w:t>
            </w:r>
          </w:p>
        </w:tc>
        <w:tc>
          <w:tcPr>
            <w:tcW w:w="868" w:type="dxa"/>
            <w:vAlign w:val="center"/>
          </w:tcPr>
          <w:p w14:paraId="41031332"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K+</w:t>
            </w:r>
          </w:p>
        </w:tc>
        <w:tc>
          <w:tcPr>
            <w:tcW w:w="868" w:type="dxa"/>
            <w:tcBorders>
              <w:tl2br w:val="nil"/>
              <w:tr2bl w:val="nil"/>
            </w:tcBorders>
            <w:vAlign w:val="center"/>
          </w:tcPr>
          <w:p w14:paraId="2E044274" w14:textId="6CEA05F7" w:rsidR="00E579B9" w:rsidRDefault="006A1398">
            <w:pPr>
              <w:spacing w:line="240" w:lineRule="auto"/>
              <w:ind w:firstLineChars="0" w:firstLine="0"/>
              <w:jc w:val="center"/>
              <w:rPr>
                <w:rFonts w:cs="Times New Roman"/>
                <w:sz w:val="21"/>
                <w:szCs w:val="21"/>
              </w:rPr>
            </w:pPr>
            <w:r>
              <w:rPr>
                <w:sz w:val="21"/>
                <w:szCs w:val="21"/>
              </w:rPr>
              <w:t>Na</w:t>
            </w:r>
            <w:r>
              <w:rPr>
                <w:sz w:val="21"/>
                <w:szCs w:val="21"/>
                <w:vertAlign w:val="superscript"/>
              </w:rPr>
              <w:t>+</w:t>
            </w:r>
          </w:p>
        </w:tc>
        <w:tc>
          <w:tcPr>
            <w:tcW w:w="868" w:type="dxa"/>
            <w:tcBorders>
              <w:tl2br w:val="nil"/>
              <w:tr2bl w:val="nil"/>
            </w:tcBorders>
            <w:vAlign w:val="center"/>
          </w:tcPr>
          <w:p w14:paraId="74761515" w14:textId="77777777" w:rsidR="00E579B9" w:rsidRDefault="006A1398">
            <w:pPr>
              <w:spacing w:line="240" w:lineRule="auto"/>
              <w:ind w:firstLineChars="0" w:firstLine="0"/>
              <w:jc w:val="center"/>
              <w:rPr>
                <w:rFonts w:cs="Times New Roman"/>
                <w:sz w:val="21"/>
                <w:szCs w:val="21"/>
              </w:rPr>
            </w:pPr>
            <w:r>
              <w:rPr>
                <w:sz w:val="21"/>
                <w:szCs w:val="21"/>
              </w:rPr>
              <w:t>Ca</w:t>
            </w:r>
            <w:r>
              <w:rPr>
                <w:sz w:val="21"/>
                <w:szCs w:val="21"/>
                <w:vertAlign w:val="superscript"/>
              </w:rPr>
              <w:t>2+</w:t>
            </w:r>
          </w:p>
        </w:tc>
        <w:tc>
          <w:tcPr>
            <w:tcW w:w="868" w:type="dxa"/>
            <w:tcBorders>
              <w:tl2br w:val="nil"/>
              <w:tr2bl w:val="nil"/>
            </w:tcBorders>
            <w:vAlign w:val="center"/>
          </w:tcPr>
          <w:p w14:paraId="7113C8A0" w14:textId="77777777" w:rsidR="00E579B9" w:rsidRDefault="006A1398">
            <w:pPr>
              <w:spacing w:line="240" w:lineRule="auto"/>
              <w:ind w:firstLineChars="0" w:firstLine="0"/>
              <w:jc w:val="center"/>
              <w:rPr>
                <w:rFonts w:cs="Times New Roman"/>
                <w:sz w:val="21"/>
                <w:szCs w:val="21"/>
              </w:rPr>
            </w:pPr>
            <w:r>
              <w:rPr>
                <w:sz w:val="21"/>
                <w:szCs w:val="21"/>
              </w:rPr>
              <w:t>Mg</w:t>
            </w:r>
            <w:r>
              <w:rPr>
                <w:sz w:val="21"/>
                <w:szCs w:val="21"/>
                <w:vertAlign w:val="superscript"/>
              </w:rPr>
              <w:t>2+</w:t>
            </w:r>
          </w:p>
        </w:tc>
        <w:tc>
          <w:tcPr>
            <w:tcW w:w="905" w:type="dxa"/>
            <w:tcBorders>
              <w:tl2br w:val="nil"/>
              <w:tr2bl w:val="nil"/>
            </w:tcBorders>
            <w:vAlign w:val="center"/>
          </w:tcPr>
          <w:p w14:paraId="1F04A806" w14:textId="77777777" w:rsidR="00E579B9" w:rsidRDefault="006A1398">
            <w:pPr>
              <w:spacing w:line="240" w:lineRule="auto"/>
              <w:ind w:firstLineChars="0" w:firstLine="0"/>
              <w:jc w:val="center"/>
              <w:rPr>
                <w:rFonts w:cs="Times New Roman"/>
                <w:sz w:val="21"/>
                <w:szCs w:val="21"/>
              </w:rPr>
            </w:pPr>
            <w:r>
              <w:rPr>
                <w:sz w:val="21"/>
                <w:szCs w:val="21"/>
              </w:rPr>
              <w:t>CO</w:t>
            </w:r>
            <w:r>
              <w:rPr>
                <w:sz w:val="21"/>
                <w:szCs w:val="21"/>
                <w:vertAlign w:val="subscript"/>
              </w:rPr>
              <w:t>3</w:t>
            </w:r>
            <w:r>
              <w:rPr>
                <w:sz w:val="21"/>
                <w:szCs w:val="21"/>
                <w:vertAlign w:val="superscript"/>
              </w:rPr>
              <w:t>2-</w:t>
            </w:r>
            <w:r>
              <w:rPr>
                <w:rFonts w:hint="eastAsia"/>
                <w:sz w:val="21"/>
                <w:szCs w:val="21"/>
              </w:rPr>
              <w:t>）</w:t>
            </w:r>
          </w:p>
        </w:tc>
        <w:tc>
          <w:tcPr>
            <w:tcW w:w="831" w:type="dxa"/>
            <w:tcBorders>
              <w:tl2br w:val="nil"/>
              <w:tr2bl w:val="nil"/>
            </w:tcBorders>
            <w:vAlign w:val="center"/>
          </w:tcPr>
          <w:p w14:paraId="10AEB870" w14:textId="77777777" w:rsidR="00E579B9" w:rsidRDefault="006A1398">
            <w:pPr>
              <w:spacing w:line="240" w:lineRule="auto"/>
              <w:ind w:firstLineChars="0" w:firstLine="0"/>
              <w:jc w:val="both"/>
              <w:rPr>
                <w:rFonts w:cs="Times New Roman"/>
                <w:sz w:val="21"/>
                <w:szCs w:val="21"/>
              </w:rPr>
            </w:pPr>
            <w:r>
              <w:rPr>
                <w:sz w:val="21"/>
                <w:szCs w:val="21"/>
              </w:rPr>
              <w:t>HCO</w:t>
            </w:r>
            <w:r>
              <w:rPr>
                <w:sz w:val="21"/>
                <w:szCs w:val="21"/>
                <w:vertAlign w:val="subscript"/>
              </w:rPr>
              <w:t>3</w:t>
            </w:r>
            <w:r>
              <w:rPr>
                <w:sz w:val="21"/>
                <w:szCs w:val="21"/>
                <w:vertAlign w:val="superscript"/>
              </w:rPr>
              <w:t>-</w:t>
            </w:r>
          </w:p>
        </w:tc>
        <w:tc>
          <w:tcPr>
            <w:tcW w:w="985" w:type="dxa"/>
            <w:tcBorders>
              <w:tl2br w:val="nil"/>
              <w:tr2bl w:val="nil"/>
            </w:tcBorders>
            <w:vAlign w:val="center"/>
          </w:tcPr>
          <w:p w14:paraId="19E65464" w14:textId="77777777" w:rsidR="00E579B9" w:rsidRDefault="006A1398">
            <w:pPr>
              <w:spacing w:line="240" w:lineRule="auto"/>
              <w:ind w:firstLineChars="0" w:firstLine="0"/>
              <w:jc w:val="center"/>
              <w:rPr>
                <w:rFonts w:cs="Times New Roman"/>
                <w:sz w:val="21"/>
                <w:szCs w:val="21"/>
              </w:rPr>
            </w:pPr>
            <w:r>
              <w:rPr>
                <w:sz w:val="21"/>
                <w:szCs w:val="21"/>
              </w:rPr>
              <w:t>Cl</w:t>
            </w:r>
            <w:r>
              <w:rPr>
                <w:sz w:val="21"/>
                <w:szCs w:val="21"/>
                <w:vertAlign w:val="superscript"/>
              </w:rPr>
              <w:t>-</w:t>
            </w:r>
          </w:p>
        </w:tc>
        <w:tc>
          <w:tcPr>
            <w:tcW w:w="672" w:type="dxa"/>
            <w:tcBorders>
              <w:tl2br w:val="nil"/>
              <w:tr2bl w:val="nil"/>
            </w:tcBorders>
            <w:vAlign w:val="center"/>
          </w:tcPr>
          <w:p w14:paraId="3440408B" w14:textId="77777777" w:rsidR="00E579B9" w:rsidRDefault="006A1398">
            <w:pPr>
              <w:spacing w:line="240" w:lineRule="auto"/>
              <w:ind w:firstLineChars="0" w:firstLine="0"/>
              <w:jc w:val="center"/>
              <w:rPr>
                <w:rFonts w:cs="Times New Roman"/>
                <w:sz w:val="21"/>
                <w:szCs w:val="21"/>
              </w:rPr>
            </w:pPr>
            <w:r>
              <w:rPr>
                <w:sz w:val="21"/>
                <w:szCs w:val="21"/>
              </w:rPr>
              <w:t>SO</w:t>
            </w:r>
            <w:r>
              <w:rPr>
                <w:sz w:val="21"/>
                <w:szCs w:val="21"/>
                <w:vertAlign w:val="subscript"/>
              </w:rPr>
              <w:t>4</w:t>
            </w:r>
            <w:r>
              <w:rPr>
                <w:sz w:val="21"/>
                <w:szCs w:val="21"/>
                <w:vertAlign w:val="superscript"/>
              </w:rPr>
              <w:t>2-</w:t>
            </w:r>
          </w:p>
        </w:tc>
      </w:tr>
      <w:tr w:rsidR="00E579B9" w14:paraId="55614086" w14:textId="77777777">
        <w:trPr>
          <w:trHeight w:val="456"/>
          <w:jc w:val="center"/>
        </w:trPr>
        <w:tc>
          <w:tcPr>
            <w:tcW w:w="451" w:type="dxa"/>
            <w:vMerge w:val="restart"/>
            <w:vAlign w:val="center"/>
          </w:tcPr>
          <w:p w14:paraId="29F0A108" w14:textId="77777777" w:rsidR="00E579B9" w:rsidRDefault="006A1398">
            <w:pPr>
              <w:spacing w:line="240" w:lineRule="exact"/>
              <w:ind w:firstLineChars="0" w:firstLine="0"/>
              <w:jc w:val="center"/>
              <w:rPr>
                <w:rFonts w:cs="Times New Roman"/>
                <w:kern w:val="0"/>
                <w:sz w:val="21"/>
                <w:szCs w:val="21"/>
              </w:rPr>
            </w:pPr>
            <w:r>
              <w:rPr>
                <w:rFonts w:cs="Times New Roman" w:hint="eastAsia"/>
                <w:kern w:val="0"/>
                <w:sz w:val="21"/>
                <w:szCs w:val="21"/>
              </w:rPr>
              <w:t>傅</w:t>
            </w:r>
            <w:proofErr w:type="gramStart"/>
            <w:r>
              <w:rPr>
                <w:rFonts w:cs="Times New Roman" w:hint="eastAsia"/>
                <w:kern w:val="0"/>
                <w:sz w:val="21"/>
                <w:szCs w:val="21"/>
              </w:rPr>
              <w:t>埂</w:t>
            </w:r>
            <w:proofErr w:type="gramEnd"/>
          </w:p>
          <w:p w14:paraId="0F5E7119" w14:textId="77777777" w:rsidR="00E579B9" w:rsidRDefault="00E579B9">
            <w:pPr>
              <w:spacing w:line="240" w:lineRule="auto"/>
              <w:ind w:firstLineChars="0" w:firstLine="0"/>
              <w:jc w:val="center"/>
              <w:rPr>
                <w:color w:val="000000"/>
                <w:sz w:val="21"/>
                <w:szCs w:val="21"/>
              </w:rPr>
            </w:pPr>
          </w:p>
        </w:tc>
        <w:tc>
          <w:tcPr>
            <w:tcW w:w="980" w:type="dxa"/>
            <w:vAlign w:val="center"/>
          </w:tcPr>
          <w:p w14:paraId="3525809C"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2020.2.1</w:t>
            </w:r>
          </w:p>
        </w:tc>
        <w:tc>
          <w:tcPr>
            <w:tcW w:w="868" w:type="dxa"/>
            <w:tcBorders>
              <w:tl2br w:val="nil"/>
              <w:tr2bl w:val="nil"/>
            </w:tcBorders>
            <w:vAlign w:val="center"/>
          </w:tcPr>
          <w:p w14:paraId="7AC3A0CF" w14:textId="77777777" w:rsidR="00E579B9" w:rsidRDefault="006A1398">
            <w:pPr>
              <w:spacing w:line="240" w:lineRule="auto"/>
              <w:ind w:firstLineChars="0" w:firstLine="0"/>
              <w:jc w:val="center"/>
              <w:rPr>
                <w:sz w:val="21"/>
                <w:szCs w:val="21"/>
              </w:rPr>
            </w:pPr>
            <w:r>
              <w:rPr>
                <w:rFonts w:hint="eastAsia"/>
                <w:sz w:val="21"/>
                <w:szCs w:val="21"/>
              </w:rPr>
              <w:t>5.3</w:t>
            </w:r>
          </w:p>
        </w:tc>
        <w:tc>
          <w:tcPr>
            <w:tcW w:w="868" w:type="dxa"/>
            <w:tcBorders>
              <w:tl2br w:val="nil"/>
              <w:tr2bl w:val="nil"/>
            </w:tcBorders>
            <w:vAlign w:val="center"/>
          </w:tcPr>
          <w:p w14:paraId="3DFD119F" w14:textId="77777777" w:rsidR="00E579B9" w:rsidRDefault="006A1398">
            <w:pPr>
              <w:spacing w:line="240" w:lineRule="auto"/>
              <w:ind w:firstLineChars="0" w:firstLine="0"/>
              <w:jc w:val="center"/>
              <w:rPr>
                <w:sz w:val="21"/>
                <w:szCs w:val="21"/>
              </w:rPr>
            </w:pPr>
            <w:r>
              <w:rPr>
                <w:rFonts w:hint="eastAsia"/>
                <w:sz w:val="21"/>
                <w:szCs w:val="21"/>
              </w:rPr>
              <w:t>10.6</w:t>
            </w:r>
          </w:p>
        </w:tc>
        <w:tc>
          <w:tcPr>
            <w:tcW w:w="868" w:type="dxa"/>
            <w:tcBorders>
              <w:tl2br w:val="nil"/>
              <w:tr2bl w:val="nil"/>
            </w:tcBorders>
            <w:vAlign w:val="center"/>
          </w:tcPr>
          <w:p w14:paraId="3099D44F" w14:textId="77777777" w:rsidR="00E579B9" w:rsidRDefault="006A1398">
            <w:pPr>
              <w:spacing w:line="240" w:lineRule="auto"/>
              <w:ind w:firstLineChars="0" w:firstLine="0"/>
              <w:jc w:val="center"/>
              <w:rPr>
                <w:sz w:val="21"/>
                <w:szCs w:val="21"/>
              </w:rPr>
            </w:pPr>
            <w:r>
              <w:rPr>
                <w:rFonts w:hint="eastAsia"/>
                <w:sz w:val="21"/>
                <w:szCs w:val="21"/>
              </w:rPr>
              <w:t>36.6</w:t>
            </w:r>
          </w:p>
        </w:tc>
        <w:tc>
          <w:tcPr>
            <w:tcW w:w="868" w:type="dxa"/>
            <w:tcBorders>
              <w:tl2br w:val="nil"/>
              <w:tr2bl w:val="nil"/>
            </w:tcBorders>
            <w:vAlign w:val="center"/>
          </w:tcPr>
          <w:p w14:paraId="1872A27C" w14:textId="77777777" w:rsidR="00E579B9" w:rsidRDefault="006A1398">
            <w:pPr>
              <w:spacing w:line="240" w:lineRule="auto"/>
              <w:ind w:firstLineChars="0" w:firstLine="0"/>
              <w:jc w:val="center"/>
              <w:rPr>
                <w:sz w:val="21"/>
                <w:szCs w:val="21"/>
              </w:rPr>
            </w:pPr>
            <w:r>
              <w:rPr>
                <w:rFonts w:hint="eastAsia"/>
                <w:sz w:val="21"/>
                <w:szCs w:val="21"/>
              </w:rPr>
              <w:t>20.6</w:t>
            </w:r>
          </w:p>
        </w:tc>
        <w:tc>
          <w:tcPr>
            <w:tcW w:w="905" w:type="dxa"/>
            <w:tcBorders>
              <w:tl2br w:val="nil"/>
              <w:tr2bl w:val="nil"/>
            </w:tcBorders>
            <w:vAlign w:val="center"/>
          </w:tcPr>
          <w:p w14:paraId="00D022FA" w14:textId="77777777" w:rsidR="00E579B9" w:rsidRDefault="006A1398">
            <w:pPr>
              <w:spacing w:line="240" w:lineRule="auto"/>
              <w:ind w:firstLineChars="0" w:firstLine="0"/>
              <w:jc w:val="center"/>
              <w:rPr>
                <w:sz w:val="21"/>
                <w:szCs w:val="21"/>
              </w:rPr>
            </w:pPr>
            <w:r>
              <w:rPr>
                <w:rFonts w:hint="eastAsia"/>
                <w:sz w:val="21"/>
                <w:szCs w:val="21"/>
              </w:rPr>
              <w:t>42</w:t>
            </w:r>
          </w:p>
        </w:tc>
        <w:tc>
          <w:tcPr>
            <w:tcW w:w="831" w:type="dxa"/>
            <w:tcBorders>
              <w:tl2br w:val="nil"/>
              <w:tr2bl w:val="nil"/>
            </w:tcBorders>
            <w:vAlign w:val="center"/>
          </w:tcPr>
          <w:p w14:paraId="4BDA7F93" w14:textId="77777777" w:rsidR="00E579B9" w:rsidRDefault="006A1398">
            <w:pPr>
              <w:spacing w:line="240" w:lineRule="auto"/>
              <w:ind w:firstLineChars="0" w:firstLine="0"/>
              <w:jc w:val="center"/>
              <w:rPr>
                <w:sz w:val="21"/>
                <w:szCs w:val="21"/>
              </w:rPr>
            </w:pPr>
            <w:r>
              <w:rPr>
                <w:rFonts w:hint="eastAsia"/>
                <w:sz w:val="21"/>
                <w:szCs w:val="21"/>
              </w:rPr>
              <w:t>220</w:t>
            </w:r>
          </w:p>
        </w:tc>
        <w:tc>
          <w:tcPr>
            <w:tcW w:w="985" w:type="dxa"/>
            <w:tcBorders>
              <w:tl2br w:val="nil"/>
              <w:tr2bl w:val="nil"/>
            </w:tcBorders>
            <w:vAlign w:val="center"/>
          </w:tcPr>
          <w:p w14:paraId="185D116F" w14:textId="77777777" w:rsidR="00E579B9" w:rsidRDefault="006A1398">
            <w:pPr>
              <w:spacing w:line="240" w:lineRule="auto"/>
              <w:ind w:firstLineChars="0" w:firstLine="0"/>
              <w:jc w:val="center"/>
              <w:rPr>
                <w:sz w:val="21"/>
                <w:szCs w:val="21"/>
              </w:rPr>
            </w:pPr>
            <w:r>
              <w:rPr>
                <w:rFonts w:hint="eastAsia"/>
                <w:sz w:val="21"/>
                <w:szCs w:val="21"/>
              </w:rPr>
              <w:t>0.12</w:t>
            </w:r>
          </w:p>
        </w:tc>
        <w:tc>
          <w:tcPr>
            <w:tcW w:w="672" w:type="dxa"/>
            <w:tcBorders>
              <w:tl2br w:val="nil"/>
              <w:tr2bl w:val="nil"/>
            </w:tcBorders>
            <w:vAlign w:val="center"/>
          </w:tcPr>
          <w:p w14:paraId="457284E6" w14:textId="77777777" w:rsidR="00E579B9" w:rsidRDefault="006A1398">
            <w:pPr>
              <w:spacing w:line="240" w:lineRule="auto"/>
              <w:ind w:firstLineChars="0" w:firstLine="0"/>
              <w:jc w:val="center"/>
              <w:rPr>
                <w:sz w:val="21"/>
                <w:szCs w:val="21"/>
              </w:rPr>
            </w:pPr>
            <w:r>
              <w:rPr>
                <w:rFonts w:hint="eastAsia"/>
                <w:sz w:val="21"/>
                <w:szCs w:val="21"/>
              </w:rPr>
              <w:t>0.21</w:t>
            </w:r>
          </w:p>
        </w:tc>
      </w:tr>
      <w:tr w:rsidR="00E579B9" w14:paraId="2F61D140" w14:textId="77777777">
        <w:trPr>
          <w:trHeight w:val="456"/>
          <w:jc w:val="center"/>
        </w:trPr>
        <w:tc>
          <w:tcPr>
            <w:tcW w:w="451" w:type="dxa"/>
            <w:vMerge/>
            <w:vAlign w:val="center"/>
          </w:tcPr>
          <w:p w14:paraId="0EF52DC6" w14:textId="77777777" w:rsidR="00E579B9" w:rsidRDefault="00E579B9">
            <w:pPr>
              <w:spacing w:line="240" w:lineRule="auto"/>
              <w:ind w:firstLineChars="0" w:firstLine="0"/>
              <w:jc w:val="center"/>
              <w:rPr>
                <w:color w:val="000000"/>
                <w:sz w:val="21"/>
                <w:szCs w:val="21"/>
              </w:rPr>
            </w:pPr>
          </w:p>
        </w:tc>
        <w:tc>
          <w:tcPr>
            <w:tcW w:w="980" w:type="dxa"/>
            <w:vAlign w:val="center"/>
          </w:tcPr>
          <w:p w14:paraId="6EE9B747"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2.20.2.2</w:t>
            </w:r>
          </w:p>
        </w:tc>
        <w:tc>
          <w:tcPr>
            <w:tcW w:w="868" w:type="dxa"/>
            <w:tcBorders>
              <w:tl2br w:val="nil"/>
              <w:tr2bl w:val="nil"/>
            </w:tcBorders>
            <w:vAlign w:val="center"/>
          </w:tcPr>
          <w:p w14:paraId="17292165" w14:textId="77777777" w:rsidR="00E579B9" w:rsidRDefault="006A1398">
            <w:pPr>
              <w:spacing w:line="240" w:lineRule="auto"/>
              <w:ind w:firstLineChars="0" w:firstLine="0"/>
              <w:jc w:val="center"/>
              <w:rPr>
                <w:sz w:val="21"/>
                <w:szCs w:val="21"/>
              </w:rPr>
            </w:pPr>
            <w:r>
              <w:rPr>
                <w:rFonts w:hint="eastAsia"/>
                <w:sz w:val="21"/>
                <w:szCs w:val="21"/>
              </w:rPr>
              <w:t>5.3</w:t>
            </w:r>
          </w:p>
        </w:tc>
        <w:tc>
          <w:tcPr>
            <w:tcW w:w="868" w:type="dxa"/>
            <w:tcBorders>
              <w:tl2br w:val="nil"/>
              <w:tr2bl w:val="nil"/>
            </w:tcBorders>
            <w:vAlign w:val="center"/>
          </w:tcPr>
          <w:p w14:paraId="1FF2EA3F" w14:textId="77777777" w:rsidR="00E579B9" w:rsidRDefault="006A1398">
            <w:pPr>
              <w:spacing w:line="240" w:lineRule="auto"/>
              <w:ind w:firstLineChars="0" w:firstLine="0"/>
              <w:jc w:val="center"/>
              <w:rPr>
                <w:sz w:val="21"/>
                <w:szCs w:val="21"/>
              </w:rPr>
            </w:pPr>
            <w:r>
              <w:rPr>
                <w:rFonts w:hint="eastAsia"/>
                <w:sz w:val="21"/>
                <w:szCs w:val="21"/>
              </w:rPr>
              <w:t>10.7</w:t>
            </w:r>
          </w:p>
        </w:tc>
        <w:tc>
          <w:tcPr>
            <w:tcW w:w="868" w:type="dxa"/>
            <w:tcBorders>
              <w:tl2br w:val="nil"/>
              <w:tr2bl w:val="nil"/>
            </w:tcBorders>
            <w:vAlign w:val="center"/>
          </w:tcPr>
          <w:p w14:paraId="45114276" w14:textId="77777777" w:rsidR="00E579B9" w:rsidRDefault="006A1398">
            <w:pPr>
              <w:spacing w:line="240" w:lineRule="auto"/>
              <w:ind w:firstLineChars="0" w:firstLine="0"/>
              <w:jc w:val="center"/>
              <w:rPr>
                <w:sz w:val="21"/>
                <w:szCs w:val="21"/>
              </w:rPr>
            </w:pPr>
            <w:r>
              <w:rPr>
                <w:rFonts w:hint="eastAsia"/>
                <w:sz w:val="21"/>
                <w:szCs w:val="21"/>
              </w:rPr>
              <w:t>36.8</w:t>
            </w:r>
          </w:p>
        </w:tc>
        <w:tc>
          <w:tcPr>
            <w:tcW w:w="868" w:type="dxa"/>
            <w:tcBorders>
              <w:tl2br w:val="nil"/>
              <w:tr2bl w:val="nil"/>
            </w:tcBorders>
            <w:vAlign w:val="center"/>
          </w:tcPr>
          <w:p w14:paraId="422F7EF6" w14:textId="77777777" w:rsidR="00E579B9" w:rsidRDefault="006A1398">
            <w:pPr>
              <w:spacing w:line="240" w:lineRule="auto"/>
              <w:ind w:firstLineChars="0" w:firstLine="0"/>
              <w:jc w:val="center"/>
              <w:rPr>
                <w:sz w:val="21"/>
                <w:szCs w:val="21"/>
              </w:rPr>
            </w:pPr>
            <w:r>
              <w:rPr>
                <w:rFonts w:hint="eastAsia"/>
                <w:sz w:val="21"/>
                <w:szCs w:val="21"/>
              </w:rPr>
              <w:t>20.2</w:t>
            </w:r>
          </w:p>
        </w:tc>
        <w:tc>
          <w:tcPr>
            <w:tcW w:w="905" w:type="dxa"/>
            <w:tcBorders>
              <w:tl2br w:val="nil"/>
              <w:tr2bl w:val="nil"/>
            </w:tcBorders>
            <w:vAlign w:val="center"/>
          </w:tcPr>
          <w:p w14:paraId="332671E5" w14:textId="77777777" w:rsidR="00E579B9" w:rsidRDefault="006A1398">
            <w:pPr>
              <w:spacing w:line="240" w:lineRule="auto"/>
              <w:ind w:firstLineChars="0" w:firstLine="0"/>
              <w:jc w:val="center"/>
              <w:rPr>
                <w:sz w:val="21"/>
                <w:szCs w:val="21"/>
              </w:rPr>
            </w:pPr>
            <w:r>
              <w:rPr>
                <w:rFonts w:hint="eastAsia"/>
                <w:sz w:val="21"/>
                <w:szCs w:val="21"/>
              </w:rPr>
              <w:t>43</w:t>
            </w:r>
          </w:p>
        </w:tc>
        <w:tc>
          <w:tcPr>
            <w:tcW w:w="831" w:type="dxa"/>
            <w:tcBorders>
              <w:tl2br w:val="nil"/>
              <w:tr2bl w:val="nil"/>
            </w:tcBorders>
            <w:vAlign w:val="center"/>
          </w:tcPr>
          <w:p w14:paraId="64EC1F74" w14:textId="77777777" w:rsidR="00E579B9" w:rsidRDefault="006A1398">
            <w:pPr>
              <w:spacing w:line="240" w:lineRule="auto"/>
              <w:ind w:firstLineChars="0" w:firstLine="0"/>
              <w:jc w:val="center"/>
              <w:rPr>
                <w:sz w:val="21"/>
                <w:szCs w:val="21"/>
              </w:rPr>
            </w:pPr>
            <w:r>
              <w:rPr>
                <w:rFonts w:hint="eastAsia"/>
                <w:sz w:val="21"/>
                <w:szCs w:val="21"/>
              </w:rPr>
              <w:t>217</w:t>
            </w:r>
          </w:p>
        </w:tc>
        <w:tc>
          <w:tcPr>
            <w:tcW w:w="985" w:type="dxa"/>
            <w:tcBorders>
              <w:tl2br w:val="nil"/>
              <w:tr2bl w:val="nil"/>
            </w:tcBorders>
            <w:vAlign w:val="center"/>
          </w:tcPr>
          <w:p w14:paraId="517F86FF" w14:textId="77777777" w:rsidR="00E579B9" w:rsidRDefault="006A1398">
            <w:pPr>
              <w:spacing w:line="240" w:lineRule="auto"/>
              <w:ind w:firstLineChars="0" w:firstLine="0"/>
              <w:jc w:val="center"/>
              <w:rPr>
                <w:sz w:val="21"/>
                <w:szCs w:val="21"/>
              </w:rPr>
            </w:pPr>
            <w:r>
              <w:rPr>
                <w:rFonts w:hint="eastAsia"/>
                <w:sz w:val="21"/>
                <w:szCs w:val="21"/>
              </w:rPr>
              <w:t>0.18</w:t>
            </w:r>
          </w:p>
        </w:tc>
        <w:tc>
          <w:tcPr>
            <w:tcW w:w="672" w:type="dxa"/>
            <w:tcBorders>
              <w:tl2br w:val="nil"/>
              <w:tr2bl w:val="nil"/>
            </w:tcBorders>
            <w:vAlign w:val="center"/>
          </w:tcPr>
          <w:p w14:paraId="246AC705" w14:textId="77777777" w:rsidR="00E579B9" w:rsidRDefault="006A1398">
            <w:pPr>
              <w:spacing w:line="240" w:lineRule="auto"/>
              <w:ind w:firstLineChars="0" w:firstLine="0"/>
              <w:jc w:val="center"/>
              <w:rPr>
                <w:sz w:val="21"/>
                <w:szCs w:val="21"/>
              </w:rPr>
            </w:pPr>
            <w:r>
              <w:rPr>
                <w:rFonts w:hint="eastAsia"/>
                <w:sz w:val="21"/>
                <w:szCs w:val="21"/>
              </w:rPr>
              <w:t>0.19</w:t>
            </w:r>
          </w:p>
        </w:tc>
      </w:tr>
      <w:tr w:rsidR="00E579B9" w14:paraId="0782D167" w14:textId="77777777">
        <w:trPr>
          <w:trHeight w:val="456"/>
          <w:jc w:val="center"/>
        </w:trPr>
        <w:tc>
          <w:tcPr>
            <w:tcW w:w="451" w:type="dxa"/>
            <w:vMerge w:val="restart"/>
            <w:vAlign w:val="center"/>
          </w:tcPr>
          <w:p w14:paraId="56A55433" w14:textId="77777777" w:rsidR="00E579B9" w:rsidRDefault="006A1398">
            <w:pPr>
              <w:spacing w:line="240" w:lineRule="auto"/>
              <w:ind w:firstLineChars="0" w:firstLine="0"/>
              <w:jc w:val="center"/>
              <w:rPr>
                <w:rFonts w:cs="Times New Roman"/>
                <w:sz w:val="21"/>
                <w:szCs w:val="21"/>
              </w:rPr>
            </w:pPr>
            <w:r>
              <w:rPr>
                <w:rFonts w:hint="eastAsia"/>
                <w:color w:val="000000"/>
                <w:sz w:val="21"/>
                <w:szCs w:val="21"/>
              </w:rPr>
              <w:t>西下庄</w:t>
            </w:r>
          </w:p>
        </w:tc>
        <w:tc>
          <w:tcPr>
            <w:tcW w:w="980" w:type="dxa"/>
            <w:vAlign w:val="center"/>
          </w:tcPr>
          <w:p w14:paraId="1F9BFB1A"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2020.2.1</w:t>
            </w:r>
          </w:p>
        </w:tc>
        <w:tc>
          <w:tcPr>
            <w:tcW w:w="868" w:type="dxa"/>
            <w:tcBorders>
              <w:tl2br w:val="nil"/>
              <w:tr2bl w:val="nil"/>
            </w:tcBorders>
            <w:vAlign w:val="center"/>
          </w:tcPr>
          <w:p w14:paraId="3DFCCE5E" w14:textId="77777777" w:rsidR="00E579B9" w:rsidRDefault="006A1398">
            <w:pPr>
              <w:spacing w:line="240" w:lineRule="auto"/>
              <w:ind w:firstLineChars="0" w:firstLine="0"/>
              <w:jc w:val="center"/>
              <w:rPr>
                <w:rFonts w:cs="Times New Roman"/>
                <w:sz w:val="21"/>
                <w:szCs w:val="21"/>
              </w:rPr>
            </w:pPr>
            <w:r>
              <w:rPr>
                <w:rFonts w:hint="eastAsia"/>
                <w:sz w:val="21"/>
                <w:szCs w:val="21"/>
              </w:rPr>
              <w:t>5.3</w:t>
            </w:r>
          </w:p>
        </w:tc>
        <w:tc>
          <w:tcPr>
            <w:tcW w:w="868" w:type="dxa"/>
            <w:tcBorders>
              <w:tl2br w:val="nil"/>
              <w:tr2bl w:val="nil"/>
            </w:tcBorders>
            <w:vAlign w:val="center"/>
          </w:tcPr>
          <w:p w14:paraId="2685AF49" w14:textId="77777777" w:rsidR="00E579B9" w:rsidRDefault="006A1398">
            <w:pPr>
              <w:spacing w:line="240" w:lineRule="auto"/>
              <w:ind w:firstLineChars="0" w:firstLine="0"/>
              <w:jc w:val="center"/>
              <w:rPr>
                <w:rFonts w:cs="Times New Roman"/>
                <w:sz w:val="21"/>
                <w:szCs w:val="21"/>
              </w:rPr>
            </w:pPr>
            <w:r>
              <w:rPr>
                <w:rFonts w:hint="eastAsia"/>
                <w:sz w:val="21"/>
                <w:szCs w:val="21"/>
              </w:rPr>
              <w:t>11.3</w:t>
            </w:r>
          </w:p>
        </w:tc>
        <w:tc>
          <w:tcPr>
            <w:tcW w:w="868" w:type="dxa"/>
            <w:tcBorders>
              <w:tl2br w:val="nil"/>
              <w:tr2bl w:val="nil"/>
            </w:tcBorders>
            <w:vAlign w:val="center"/>
          </w:tcPr>
          <w:p w14:paraId="71A253C4" w14:textId="77777777" w:rsidR="00E579B9" w:rsidRDefault="006A1398">
            <w:pPr>
              <w:spacing w:line="240" w:lineRule="auto"/>
              <w:ind w:firstLineChars="0" w:firstLine="0"/>
              <w:jc w:val="center"/>
              <w:rPr>
                <w:rFonts w:cs="Times New Roman"/>
                <w:sz w:val="21"/>
                <w:szCs w:val="21"/>
              </w:rPr>
            </w:pPr>
            <w:r>
              <w:rPr>
                <w:rFonts w:hint="eastAsia"/>
                <w:sz w:val="21"/>
                <w:szCs w:val="21"/>
              </w:rPr>
              <w:t>34.4</w:t>
            </w:r>
          </w:p>
        </w:tc>
        <w:tc>
          <w:tcPr>
            <w:tcW w:w="868" w:type="dxa"/>
            <w:tcBorders>
              <w:tl2br w:val="nil"/>
              <w:tr2bl w:val="nil"/>
            </w:tcBorders>
            <w:vAlign w:val="center"/>
          </w:tcPr>
          <w:p w14:paraId="7B7474A5" w14:textId="77777777" w:rsidR="00E579B9" w:rsidRDefault="006A1398">
            <w:pPr>
              <w:spacing w:line="240" w:lineRule="auto"/>
              <w:ind w:firstLineChars="0" w:firstLine="0"/>
              <w:jc w:val="center"/>
              <w:rPr>
                <w:rFonts w:cs="Times New Roman"/>
                <w:sz w:val="21"/>
                <w:szCs w:val="21"/>
              </w:rPr>
            </w:pPr>
            <w:r>
              <w:rPr>
                <w:rFonts w:hint="eastAsia"/>
                <w:sz w:val="21"/>
                <w:szCs w:val="21"/>
              </w:rPr>
              <w:t>20.6</w:t>
            </w:r>
          </w:p>
        </w:tc>
        <w:tc>
          <w:tcPr>
            <w:tcW w:w="905" w:type="dxa"/>
            <w:tcBorders>
              <w:tl2br w:val="nil"/>
              <w:tr2bl w:val="nil"/>
            </w:tcBorders>
            <w:vAlign w:val="center"/>
          </w:tcPr>
          <w:p w14:paraId="3DABD441" w14:textId="77777777" w:rsidR="00E579B9" w:rsidRDefault="006A1398">
            <w:pPr>
              <w:spacing w:line="240" w:lineRule="auto"/>
              <w:ind w:firstLineChars="0" w:firstLine="0"/>
              <w:jc w:val="center"/>
              <w:rPr>
                <w:rFonts w:cs="Times New Roman"/>
                <w:sz w:val="21"/>
                <w:szCs w:val="21"/>
              </w:rPr>
            </w:pPr>
            <w:r>
              <w:rPr>
                <w:rFonts w:hint="eastAsia"/>
                <w:sz w:val="21"/>
                <w:szCs w:val="21"/>
              </w:rPr>
              <w:t>43</w:t>
            </w:r>
          </w:p>
        </w:tc>
        <w:tc>
          <w:tcPr>
            <w:tcW w:w="831" w:type="dxa"/>
            <w:tcBorders>
              <w:tl2br w:val="nil"/>
              <w:tr2bl w:val="nil"/>
            </w:tcBorders>
            <w:vAlign w:val="center"/>
          </w:tcPr>
          <w:p w14:paraId="03FA9443" w14:textId="77777777" w:rsidR="00E579B9" w:rsidRDefault="006A1398">
            <w:pPr>
              <w:spacing w:line="240" w:lineRule="auto"/>
              <w:ind w:firstLineChars="0" w:firstLine="0"/>
              <w:jc w:val="center"/>
              <w:rPr>
                <w:rFonts w:cs="Times New Roman"/>
                <w:sz w:val="21"/>
                <w:szCs w:val="21"/>
              </w:rPr>
            </w:pPr>
            <w:r>
              <w:rPr>
                <w:rFonts w:hint="eastAsia"/>
                <w:sz w:val="21"/>
                <w:szCs w:val="21"/>
              </w:rPr>
              <w:t>215</w:t>
            </w:r>
          </w:p>
        </w:tc>
        <w:tc>
          <w:tcPr>
            <w:tcW w:w="985" w:type="dxa"/>
            <w:tcBorders>
              <w:tl2br w:val="nil"/>
              <w:tr2bl w:val="nil"/>
            </w:tcBorders>
            <w:vAlign w:val="center"/>
          </w:tcPr>
          <w:p w14:paraId="3F168F3A" w14:textId="77777777" w:rsidR="00E579B9" w:rsidRDefault="006A1398">
            <w:pPr>
              <w:spacing w:line="240" w:lineRule="auto"/>
              <w:ind w:firstLineChars="0" w:firstLine="0"/>
              <w:jc w:val="center"/>
              <w:rPr>
                <w:rFonts w:cs="Times New Roman"/>
                <w:sz w:val="21"/>
                <w:szCs w:val="21"/>
              </w:rPr>
            </w:pPr>
            <w:r>
              <w:rPr>
                <w:rFonts w:hint="eastAsia"/>
                <w:sz w:val="21"/>
                <w:szCs w:val="21"/>
              </w:rPr>
              <w:t>0.15</w:t>
            </w:r>
          </w:p>
        </w:tc>
        <w:tc>
          <w:tcPr>
            <w:tcW w:w="672" w:type="dxa"/>
            <w:tcBorders>
              <w:tl2br w:val="nil"/>
              <w:tr2bl w:val="nil"/>
            </w:tcBorders>
            <w:vAlign w:val="center"/>
          </w:tcPr>
          <w:p w14:paraId="5F818972" w14:textId="77777777" w:rsidR="00E579B9" w:rsidRDefault="006A1398">
            <w:pPr>
              <w:spacing w:line="240" w:lineRule="auto"/>
              <w:ind w:firstLineChars="0" w:firstLine="0"/>
              <w:jc w:val="center"/>
              <w:rPr>
                <w:rFonts w:cs="Times New Roman"/>
                <w:sz w:val="21"/>
                <w:szCs w:val="21"/>
              </w:rPr>
            </w:pPr>
            <w:r>
              <w:rPr>
                <w:rFonts w:hint="eastAsia"/>
                <w:sz w:val="21"/>
                <w:szCs w:val="21"/>
              </w:rPr>
              <w:t>0.23</w:t>
            </w:r>
          </w:p>
        </w:tc>
      </w:tr>
      <w:tr w:rsidR="00E579B9" w14:paraId="755E5408" w14:textId="77777777">
        <w:trPr>
          <w:trHeight w:val="456"/>
          <w:jc w:val="center"/>
        </w:trPr>
        <w:tc>
          <w:tcPr>
            <w:tcW w:w="451" w:type="dxa"/>
            <w:vMerge/>
            <w:vAlign w:val="center"/>
          </w:tcPr>
          <w:p w14:paraId="40A820FA" w14:textId="77777777" w:rsidR="00E579B9" w:rsidRDefault="00E579B9">
            <w:pPr>
              <w:spacing w:line="240" w:lineRule="auto"/>
              <w:ind w:firstLineChars="0" w:firstLine="0"/>
              <w:rPr>
                <w:rFonts w:cs="Times New Roman"/>
                <w:sz w:val="21"/>
                <w:szCs w:val="21"/>
              </w:rPr>
            </w:pPr>
          </w:p>
        </w:tc>
        <w:tc>
          <w:tcPr>
            <w:tcW w:w="980" w:type="dxa"/>
            <w:vAlign w:val="center"/>
          </w:tcPr>
          <w:p w14:paraId="0D05F861"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2.20.2.2</w:t>
            </w:r>
          </w:p>
        </w:tc>
        <w:tc>
          <w:tcPr>
            <w:tcW w:w="868" w:type="dxa"/>
            <w:tcBorders>
              <w:tl2br w:val="nil"/>
              <w:tr2bl w:val="nil"/>
            </w:tcBorders>
            <w:vAlign w:val="center"/>
          </w:tcPr>
          <w:p w14:paraId="391667BF" w14:textId="77777777" w:rsidR="00E579B9" w:rsidRDefault="006A1398">
            <w:pPr>
              <w:spacing w:line="240" w:lineRule="auto"/>
              <w:ind w:firstLineChars="0" w:firstLine="0"/>
              <w:jc w:val="center"/>
              <w:rPr>
                <w:rFonts w:cs="Times New Roman"/>
                <w:sz w:val="21"/>
                <w:szCs w:val="21"/>
              </w:rPr>
            </w:pPr>
            <w:r>
              <w:rPr>
                <w:rFonts w:hint="eastAsia"/>
                <w:sz w:val="21"/>
                <w:szCs w:val="21"/>
              </w:rPr>
              <w:t>5.3</w:t>
            </w:r>
          </w:p>
        </w:tc>
        <w:tc>
          <w:tcPr>
            <w:tcW w:w="868" w:type="dxa"/>
            <w:tcBorders>
              <w:tl2br w:val="nil"/>
              <w:tr2bl w:val="nil"/>
            </w:tcBorders>
            <w:vAlign w:val="center"/>
          </w:tcPr>
          <w:p w14:paraId="2B96E14E" w14:textId="77777777" w:rsidR="00E579B9" w:rsidRDefault="006A1398">
            <w:pPr>
              <w:spacing w:line="240" w:lineRule="auto"/>
              <w:ind w:firstLineChars="0" w:firstLine="0"/>
              <w:jc w:val="center"/>
              <w:rPr>
                <w:rFonts w:cs="Times New Roman"/>
                <w:sz w:val="21"/>
                <w:szCs w:val="21"/>
              </w:rPr>
            </w:pPr>
            <w:r>
              <w:rPr>
                <w:rFonts w:hint="eastAsia"/>
                <w:sz w:val="21"/>
                <w:szCs w:val="21"/>
              </w:rPr>
              <w:t>11.3</w:t>
            </w:r>
          </w:p>
        </w:tc>
        <w:tc>
          <w:tcPr>
            <w:tcW w:w="868" w:type="dxa"/>
            <w:tcBorders>
              <w:tl2br w:val="nil"/>
              <w:tr2bl w:val="nil"/>
            </w:tcBorders>
            <w:vAlign w:val="center"/>
          </w:tcPr>
          <w:p w14:paraId="564E3BC9" w14:textId="77777777" w:rsidR="00E579B9" w:rsidRDefault="006A1398">
            <w:pPr>
              <w:spacing w:line="240" w:lineRule="auto"/>
              <w:ind w:firstLineChars="0" w:firstLine="0"/>
              <w:jc w:val="center"/>
              <w:rPr>
                <w:rFonts w:cs="Times New Roman"/>
                <w:sz w:val="21"/>
                <w:szCs w:val="21"/>
              </w:rPr>
            </w:pPr>
            <w:r>
              <w:rPr>
                <w:rFonts w:hint="eastAsia"/>
                <w:sz w:val="21"/>
                <w:szCs w:val="21"/>
              </w:rPr>
              <w:t>34.3</w:t>
            </w:r>
          </w:p>
        </w:tc>
        <w:tc>
          <w:tcPr>
            <w:tcW w:w="868" w:type="dxa"/>
            <w:tcBorders>
              <w:tl2br w:val="nil"/>
              <w:tr2bl w:val="nil"/>
            </w:tcBorders>
            <w:vAlign w:val="center"/>
          </w:tcPr>
          <w:p w14:paraId="12586EAE" w14:textId="77777777" w:rsidR="00E579B9" w:rsidRDefault="006A1398">
            <w:pPr>
              <w:spacing w:line="240" w:lineRule="auto"/>
              <w:ind w:firstLineChars="0" w:firstLine="0"/>
              <w:jc w:val="center"/>
              <w:rPr>
                <w:rFonts w:cs="Times New Roman"/>
                <w:sz w:val="21"/>
                <w:szCs w:val="21"/>
              </w:rPr>
            </w:pPr>
            <w:r>
              <w:rPr>
                <w:rFonts w:hint="eastAsia"/>
                <w:sz w:val="21"/>
                <w:szCs w:val="21"/>
              </w:rPr>
              <w:t>20.2</w:t>
            </w:r>
          </w:p>
        </w:tc>
        <w:tc>
          <w:tcPr>
            <w:tcW w:w="905" w:type="dxa"/>
            <w:tcBorders>
              <w:tl2br w:val="nil"/>
              <w:tr2bl w:val="nil"/>
            </w:tcBorders>
            <w:vAlign w:val="center"/>
          </w:tcPr>
          <w:p w14:paraId="659AC8D3" w14:textId="77777777" w:rsidR="00E579B9" w:rsidRDefault="006A1398">
            <w:pPr>
              <w:spacing w:line="240" w:lineRule="auto"/>
              <w:ind w:firstLineChars="0" w:firstLine="0"/>
              <w:jc w:val="center"/>
              <w:rPr>
                <w:rFonts w:cs="Times New Roman"/>
                <w:sz w:val="21"/>
                <w:szCs w:val="21"/>
              </w:rPr>
            </w:pPr>
            <w:r>
              <w:rPr>
                <w:rFonts w:hint="eastAsia"/>
                <w:sz w:val="21"/>
                <w:szCs w:val="21"/>
              </w:rPr>
              <w:t>47</w:t>
            </w:r>
          </w:p>
        </w:tc>
        <w:tc>
          <w:tcPr>
            <w:tcW w:w="831" w:type="dxa"/>
            <w:tcBorders>
              <w:tl2br w:val="nil"/>
              <w:tr2bl w:val="nil"/>
            </w:tcBorders>
            <w:vAlign w:val="center"/>
          </w:tcPr>
          <w:p w14:paraId="7E1728A8" w14:textId="77777777" w:rsidR="00E579B9" w:rsidRDefault="006A1398">
            <w:pPr>
              <w:spacing w:line="240" w:lineRule="auto"/>
              <w:ind w:firstLineChars="0" w:firstLine="0"/>
              <w:jc w:val="center"/>
              <w:rPr>
                <w:rFonts w:cs="Times New Roman"/>
                <w:sz w:val="21"/>
                <w:szCs w:val="21"/>
              </w:rPr>
            </w:pPr>
            <w:r>
              <w:rPr>
                <w:rFonts w:hint="eastAsia"/>
                <w:sz w:val="21"/>
                <w:szCs w:val="21"/>
              </w:rPr>
              <w:t>214</w:t>
            </w:r>
          </w:p>
        </w:tc>
        <w:tc>
          <w:tcPr>
            <w:tcW w:w="985" w:type="dxa"/>
            <w:tcBorders>
              <w:tl2br w:val="nil"/>
              <w:tr2bl w:val="nil"/>
            </w:tcBorders>
            <w:vAlign w:val="center"/>
          </w:tcPr>
          <w:p w14:paraId="597FA559" w14:textId="77777777" w:rsidR="00E579B9" w:rsidRDefault="006A1398">
            <w:pPr>
              <w:spacing w:line="240" w:lineRule="auto"/>
              <w:ind w:firstLineChars="0" w:firstLine="0"/>
              <w:jc w:val="center"/>
              <w:rPr>
                <w:rFonts w:cs="Times New Roman"/>
                <w:sz w:val="21"/>
                <w:szCs w:val="21"/>
              </w:rPr>
            </w:pPr>
            <w:r>
              <w:rPr>
                <w:rFonts w:hint="eastAsia"/>
                <w:sz w:val="21"/>
                <w:szCs w:val="21"/>
              </w:rPr>
              <w:t>0.13</w:t>
            </w:r>
          </w:p>
        </w:tc>
        <w:tc>
          <w:tcPr>
            <w:tcW w:w="672" w:type="dxa"/>
            <w:tcBorders>
              <w:tl2br w:val="nil"/>
              <w:tr2bl w:val="nil"/>
            </w:tcBorders>
            <w:vAlign w:val="center"/>
          </w:tcPr>
          <w:p w14:paraId="10F72BF7" w14:textId="77777777" w:rsidR="00E579B9" w:rsidRDefault="006A1398">
            <w:pPr>
              <w:spacing w:line="240" w:lineRule="auto"/>
              <w:ind w:firstLineChars="0" w:firstLine="0"/>
              <w:jc w:val="center"/>
              <w:rPr>
                <w:rFonts w:cs="Times New Roman"/>
                <w:sz w:val="21"/>
                <w:szCs w:val="21"/>
              </w:rPr>
            </w:pPr>
            <w:r>
              <w:rPr>
                <w:rFonts w:hint="eastAsia"/>
                <w:sz w:val="21"/>
                <w:szCs w:val="21"/>
              </w:rPr>
              <w:t>0.24</w:t>
            </w:r>
          </w:p>
        </w:tc>
      </w:tr>
      <w:tr w:rsidR="00E579B9" w14:paraId="0237416D" w14:textId="77777777">
        <w:trPr>
          <w:trHeight w:val="456"/>
          <w:jc w:val="center"/>
        </w:trPr>
        <w:tc>
          <w:tcPr>
            <w:tcW w:w="451" w:type="dxa"/>
            <w:vMerge w:val="restart"/>
            <w:vAlign w:val="center"/>
          </w:tcPr>
          <w:p w14:paraId="3ECAA4AD"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平上</w:t>
            </w:r>
          </w:p>
        </w:tc>
        <w:tc>
          <w:tcPr>
            <w:tcW w:w="980" w:type="dxa"/>
            <w:vAlign w:val="center"/>
          </w:tcPr>
          <w:p w14:paraId="7F1C5EBB"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2020.2.1</w:t>
            </w:r>
          </w:p>
        </w:tc>
        <w:tc>
          <w:tcPr>
            <w:tcW w:w="868" w:type="dxa"/>
            <w:tcBorders>
              <w:tl2br w:val="nil"/>
              <w:tr2bl w:val="nil"/>
            </w:tcBorders>
            <w:vAlign w:val="center"/>
          </w:tcPr>
          <w:p w14:paraId="7E6B1C9F" w14:textId="77777777" w:rsidR="00E579B9" w:rsidRDefault="006A1398">
            <w:pPr>
              <w:spacing w:line="240" w:lineRule="auto"/>
              <w:ind w:firstLineChars="0" w:firstLine="0"/>
              <w:jc w:val="center"/>
              <w:rPr>
                <w:rFonts w:cs="Times New Roman"/>
                <w:sz w:val="21"/>
                <w:szCs w:val="21"/>
              </w:rPr>
            </w:pPr>
            <w:r>
              <w:rPr>
                <w:rFonts w:hint="eastAsia"/>
                <w:sz w:val="21"/>
                <w:szCs w:val="21"/>
              </w:rPr>
              <w:t>5.3</w:t>
            </w:r>
          </w:p>
        </w:tc>
        <w:tc>
          <w:tcPr>
            <w:tcW w:w="868" w:type="dxa"/>
            <w:tcBorders>
              <w:tl2br w:val="nil"/>
              <w:tr2bl w:val="nil"/>
            </w:tcBorders>
            <w:vAlign w:val="center"/>
          </w:tcPr>
          <w:p w14:paraId="6E360728" w14:textId="77777777" w:rsidR="00E579B9" w:rsidRDefault="006A1398">
            <w:pPr>
              <w:spacing w:line="240" w:lineRule="auto"/>
              <w:ind w:firstLineChars="0" w:firstLine="0"/>
              <w:jc w:val="center"/>
              <w:rPr>
                <w:rFonts w:cs="Times New Roman"/>
                <w:sz w:val="21"/>
                <w:szCs w:val="21"/>
              </w:rPr>
            </w:pPr>
            <w:r>
              <w:rPr>
                <w:rFonts w:hint="eastAsia"/>
                <w:sz w:val="21"/>
                <w:szCs w:val="21"/>
              </w:rPr>
              <w:t>11.3</w:t>
            </w:r>
          </w:p>
        </w:tc>
        <w:tc>
          <w:tcPr>
            <w:tcW w:w="868" w:type="dxa"/>
            <w:tcBorders>
              <w:tl2br w:val="nil"/>
              <w:tr2bl w:val="nil"/>
            </w:tcBorders>
            <w:vAlign w:val="center"/>
          </w:tcPr>
          <w:p w14:paraId="29BD6C10" w14:textId="77777777" w:rsidR="00E579B9" w:rsidRDefault="006A1398">
            <w:pPr>
              <w:spacing w:line="240" w:lineRule="auto"/>
              <w:ind w:firstLineChars="0" w:firstLine="0"/>
              <w:jc w:val="center"/>
              <w:rPr>
                <w:rFonts w:cs="Times New Roman"/>
                <w:sz w:val="21"/>
                <w:szCs w:val="21"/>
              </w:rPr>
            </w:pPr>
            <w:r>
              <w:rPr>
                <w:rFonts w:hint="eastAsia"/>
                <w:sz w:val="21"/>
                <w:szCs w:val="21"/>
              </w:rPr>
              <w:t>34.6</w:t>
            </w:r>
          </w:p>
        </w:tc>
        <w:tc>
          <w:tcPr>
            <w:tcW w:w="868" w:type="dxa"/>
            <w:tcBorders>
              <w:tl2br w:val="nil"/>
              <w:tr2bl w:val="nil"/>
            </w:tcBorders>
            <w:vAlign w:val="center"/>
          </w:tcPr>
          <w:p w14:paraId="62E77641" w14:textId="77777777" w:rsidR="00E579B9" w:rsidRDefault="006A1398">
            <w:pPr>
              <w:spacing w:line="240" w:lineRule="auto"/>
              <w:ind w:firstLineChars="0" w:firstLine="0"/>
              <w:jc w:val="center"/>
              <w:rPr>
                <w:rFonts w:cs="Times New Roman"/>
                <w:sz w:val="21"/>
                <w:szCs w:val="21"/>
              </w:rPr>
            </w:pPr>
            <w:r>
              <w:rPr>
                <w:rFonts w:hint="eastAsia"/>
                <w:sz w:val="21"/>
                <w:szCs w:val="21"/>
              </w:rPr>
              <w:t>20.2</w:t>
            </w:r>
          </w:p>
        </w:tc>
        <w:tc>
          <w:tcPr>
            <w:tcW w:w="905" w:type="dxa"/>
            <w:tcBorders>
              <w:tl2br w:val="nil"/>
              <w:tr2bl w:val="nil"/>
            </w:tcBorders>
            <w:vAlign w:val="center"/>
          </w:tcPr>
          <w:p w14:paraId="64B090A6" w14:textId="77777777" w:rsidR="00E579B9" w:rsidRDefault="006A1398">
            <w:pPr>
              <w:spacing w:line="240" w:lineRule="auto"/>
              <w:ind w:firstLineChars="0" w:firstLine="0"/>
              <w:jc w:val="center"/>
              <w:rPr>
                <w:rFonts w:cs="Times New Roman"/>
                <w:sz w:val="21"/>
                <w:szCs w:val="21"/>
              </w:rPr>
            </w:pPr>
            <w:r>
              <w:rPr>
                <w:rFonts w:hint="eastAsia"/>
                <w:sz w:val="21"/>
                <w:szCs w:val="21"/>
              </w:rPr>
              <w:t>46</w:t>
            </w:r>
          </w:p>
        </w:tc>
        <w:tc>
          <w:tcPr>
            <w:tcW w:w="831" w:type="dxa"/>
            <w:tcBorders>
              <w:tl2br w:val="nil"/>
              <w:tr2bl w:val="nil"/>
            </w:tcBorders>
            <w:vAlign w:val="center"/>
          </w:tcPr>
          <w:p w14:paraId="64AA25DE" w14:textId="77777777" w:rsidR="00E579B9" w:rsidRDefault="006A1398">
            <w:pPr>
              <w:spacing w:line="240" w:lineRule="auto"/>
              <w:ind w:firstLineChars="0" w:firstLine="0"/>
              <w:jc w:val="center"/>
              <w:rPr>
                <w:rFonts w:cs="Times New Roman"/>
                <w:sz w:val="21"/>
                <w:szCs w:val="21"/>
              </w:rPr>
            </w:pPr>
            <w:r>
              <w:rPr>
                <w:rFonts w:hint="eastAsia"/>
                <w:sz w:val="21"/>
                <w:szCs w:val="21"/>
              </w:rPr>
              <w:t>212</w:t>
            </w:r>
          </w:p>
        </w:tc>
        <w:tc>
          <w:tcPr>
            <w:tcW w:w="985" w:type="dxa"/>
            <w:tcBorders>
              <w:tl2br w:val="nil"/>
              <w:tr2bl w:val="nil"/>
            </w:tcBorders>
            <w:vAlign w:val="center"/>
          </w:tcPr>
          <w:p w14:paraId="6E7B8F43" w14:textId="77777777" w:rsidR="00E579B9" w:rsidRDefault="006A1398">
            <w:pPr>
              <w:spacing w:line="240" w:lineRule="auto"/>
              <w:ind w:firstLineChars="0" w:firstLine="0"/>
              <w:jc w:val="center"/>
              <w:rPr>
                <w:rFonts w:cs="Times New Roman"/>
                <w:sz w:val="21"/>
                <w:szCs w:val="21"/>
              </w:rPr>
            </w:pPr>
            <w:r>
              <w:rPr>
                <w:rFonts w:hint="eastAsia"/>
                <w:sz w:val="21"/>
                <w:szCs w:val="21"/>
              </w:rPr>
              <w:t>0.14</w:t>
            </w:r>
          </w:p>
        </w:tc>
        <w:tc>
          <w:tcPr>
            <w:tcW w:w="672" w:type="dxa"/>
            <w:tcBorders>
              <w:tl2br w:val="nil"/>
              <w:tr2bl w:val="nil"/>
            </w:tcBorders>
            <w:vAlign w:val="center"/>
          </w:tcPr>
          <w:p w14:paraId="1533E079" w14:textId="77777777" w:rsidR="00E579B9" w:rsidRDefault="006A1398">
            <w:pPr>
              <w:spacing w:line="240" w:lineRule="auto"/>
              <w:ind w:firstLineChars="0" w:firstLine="0"/>
              <w:jc w:val="center"/>
              <w:rPr>
                <w:rFonts w:cs="Times New Roman"/>
                <w:sz w:val="21"/>
                <w:szCs w:val="21"/>
              </w:rPr>
            </w:pPr>
            <w:r>
              <w:rPr>
                <w:rFonts w:hint="eastAsia"/>
                <w:sz w:val="21"/>
                <w:szCs w:val="21"/>
              </w:rPr>
              <w:t>0.27</w:t>
            </w:r>
          </w:p>
        </w:tc>
      </w:tr>
      <w:tr w:rsidR="00E579B9" w14:paraId="76B5F3BD" w14:textId="77777777">
        <w:trPr>
          <w:trHeight w:val="456"/>
          <w:jc w:val="center"/>
        </w:trPr>
        <w:tc>
          <w:tcPr>
            <w:tcW w:w="451" w:type="dxa"/>
            <w:vMerge/>
            <w:vAlign w:val="center"/>
          </w:tcPr>
          <w:p w14:paraId="1CD5A04E" w14:textId="77777777" w:rsidR="00E579B9" w:rsidRDefault="00E579B9">
            <w:pPr>
              <w:spacing w:line="240" w:lineRule="auto"/>
              <w:ind w:firstLineChars="0" w:firstLine="0"/>
              <w:rPr>
                <w:rFonts w:cs="Times New Roman"/>
                <w:sz w:val="21"/>
                <w:szCs w:val="21"/>
              </w:rPr>
            </w:pPr>
          </w:p>
        </w:tc>
        <w:tc>
          <w:tcPr>
            <w:tcW w:w="980" w:type="dxa"/>
            <w:vAlign w:val="center"/>
          </w:tcPr>
          <w:p w14:paraId="4A73A289"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2.20.2.2</w:t>
            </w:r>
          </w:p>
        </w:tc>
        <w:tc>
          <w:tcPr>
            <w:tcW w:w="868" w:type="dxa"/>
            <w:tcBorders>
              <w:tl2br w:val="nil"/>
              <w:tr2bl w:val="nil"/>
            </w:tcBorders>
            <w:vAlign w:val="center"/>
          </w:tcPr>
          <w:p w14:paraId="512F3637" w14:textId="77777777" w:rsidR="00E579B9" w:rsidRDefault="006A1398">
            <w:pPr>
              <w:spacing w:line="240" w:lineRule="auto"/>
              <w:ind w:firstLineChars="0" w:firstLine="0"/>
              <w:jc w:val="center"/>
              <w:rPr>
                <w:rFonts w:cs="Times New Roman"/>
                <w:sz w:val="21"/>
                <w:szCs w:val="21"/>
              </w:rPr>
            </w:pPr>
            <w:r>
              <w:rPr>
                <w:rFonts w:hint="eastAsia"/>
                <w:sz w:val="21"/>
                <w:szCs w:val="21"/>
              </w:rPr>
              <w:t>5.3</w:t>
            </w:r>
          </w:p>
        </w:tc>
        <w:tc>
          <w:tcPr>
            <w:tcW w:w="868" w:type="dxa"/>
            <w:tcBorders>
              <w:tl2br w:val="nil"/>
              <w:tr2bl w:val="nil"/>
            </w:tcBorders>
            <w:vAlign w:val="center"/>
          </w:tcPr>
          <w:p w14:paraId="1B3FAAA8" w14:textId="77777777" w:rsidR="00E579B9" w:rsidRDefault="006A1398">
            <w:pPr>
              <w:spacing w:line="240" w:lineRule="auto"/>
              <w:ind w:firstLineChars="0" w:firstLine="0"/>
              <w:jc w:val="center"/>
              <w:rPr>
                <w:rFonts w:cs="Times New Roman"/>
                <w:sz w:val="21"/>
                <w:szCs w:val="21"/>
              </w:rPr>
            </w:pPr>
            <w:r>
              <w:rPr>
                <w:rFonts w:hint="eastAsia"/>
                <w:sz w:val="21"/>
                <w:szCs w:val="21"/>
              </w:rPr>
              <w:t>11.8</w:t>
            </w:r>
          </w:p>
        </w:tc>
        <w:tc>
          <w:tcPr>
            <w:tcW w:w="868" w:type="dxa"/>
            <w:tcBorders>
              <w:tl2br w:val="nil"/>
              <w:tr2bl w:val="nil"/>
            </w:tcBorders>
            <w:vAlign w:val="center"/>
          </w:tcPr>
          <w:p w14:paraId="7482BE3A" w14:textId="77777777" w:rsidR="00E579B9" w:rsidRDefault="006A1398">
            <w:pPr>
              <w:spacing w:line="240" w:lineRule="auto"/>
              <w:ind w:firstLineChars="0" w:firstLine="0"/>
              <w:jc w:val="center"/>
              <w:rPr>
                <w:rFonts w:cs="Times New Roman"/>
                <w:sz w:val="21"/>
                <w:szCs w:val="21"/>
              </w:rPr>
            </w:pPr>
            <w:r>
              <w:rPr>
                <w:rFonts w:hint="eastAsia"/>
                <w:sz w:val="21"/>
                <w:szCs w:val="21"/>
              </w:rPr>
              <w:t>34.4</w:t>
            </w:r>
          </w:p>
        </w:tc>
        <w:tc>
          <w:tcPr>
            <w:tcW w:w="868" w:type="dxa"/>
            <w:tcBorders>
              <w:tl2br w:val="nil"/>
              <w:tr2bl w:val="nil"/>
            </w:tcBorders>
            <w:vAlign w:val="center"/>
          </w:tcPr>
          <w:p w14:paraId="56C8B70C" w14:textId="77777777" w:rsidR="00E579B9" w:rsidRDefault="006A1398">
            <w:pPr>
              <w:spacing w:line="240" w:lineRule="auto"/>
              <w:ind w:firstLineChars="0" w:firstLine="0"/>
              <w:jc w:val="center"/>
              <w:rPr>
                <w:rFonts w:cs="Times New Roman"/>
                <w:sz w:val="21"/>
                <w:szCs w:val="21"/>
              </w:rPr>
            </w:pPr>
            <w:r>
              <w:rPr>
                <w:rFonts w:hint="eastAsia"/>
                <w:sz w:val="21"/>
                <w:szCs w:val="21"/>
              </w:rPr>
              <w:t>20.7</w:t>
            </w:r>
          </w:p>
        </w:tc>
        <w:tc>
          <w:tcPr>
            <w:tcW w:w="905" w:type="dxa"/>
            <w:tcBorders>
              <w:tl2br w:val="nil"/>
              <w:tr2bl w:val="nil"/>
            </w:tcBorders>
            <w:vAlign w:val="center"/>
          </w:tcPr>
          <w:p w14:paraId="6D232A7D" w14:textId="77777777" w:rsidR="00E579B9" w:rsidRDefault="006A1398">
            <w:pPr>
              <w:spacing w:line="240" w:lineRule="auto"/>
              <w:ind w:firstLineChars="0" w:firstLine="0"/>
              <w:jc w:val="center"/>
              <w:rPr>
                <w:rFonts w:cs="Times New Roman"/>
                <w:sz w:val="21"/>
                <w:szCs w:val="21"/>
              </w:rPr>
            </w:pPr>
            <w:r>
              <w:rPr>
                <w:rFonts w:hint="eastAsia"/>
                <w:sz w:val="21"/>
                <w:szCs w:val="21"/>
              </w:rPr>
              <w:t>45</w:t>
            </w:r>
          </w:p>
        </w:tc>
        <w:tc>
          <w:tcPr>
            <w:tcW w:w="831" w:type="dxa"/>
            <w:tcBorders>
              <w:tl2br w:val="nil"/>
              <w:tr2bl w:val="nil"/>
            </w:tcBorders>
            <w:vAlign w:val="center"/>
          </w:tcPr>
          <w:p w14:paraId="7921E329" w14:textId="77777777" w:rsidR="00E579B9" w:rsidRDefault="006A1398">
            <w:pPr>
              <w:spacing w:line="240" w:lineRule="auto"/>
              <w:ind w:firstLineChars="0" w:firstLine="0"/>
              <w:jc w:val="center"/>
              <w:rPr>
                <w:rFonts w:cs="Times New Roman"/>
                <w:sz w:val="21"/>
                <w:szCs w:val="21"/>
              </w:rPr>
            </w:pPr>
            <w:r>
              <w:rPr>
                <w:rFonts w:hint="eastAsia"/>
                <w:sz w:val="21"/>
                <w:szCs w:val="21"/>
              </w:rPr>
              <w:t>236</w:t>
            </w:r>
          </w:p>
        </w:tc>
        <w:tc>
          <w:tcPr>
            <w:tcW w:w="985" w:type="dxa"/>
            <w:tcBorders>
              <w:tl2br w:val="nil"/>
              <w:tr2bl w:val="nil"/>
            </w:tcBorders>
            <w:vAlign w:val="center"/>
          </w:tcPr>
          <w:p w14:paraId="24148F83" w14:textId="77777777" w:rsidR="00E579B9" w:rsidRDefault="006A1398">
            <w:pPr>
              <w:spacing w:line="240" w:lineRule="auto"/>
              <w:ind w:firstLineChars="0" w:firstLine="0"/>
              <w:jc w:val="center"/>
              <w:rPr>
                <w:rFonts w:cs="Times New Roman"/>
                <w:sz w:val="21"/>
                <w:szCs w:val="21"/>
              </w:rPr>
            </w:pPr>
            <w:r>
              <w:rPr>
                <w:rFonts w:hint="eastAsia"/>
                <w:sz w:val="21"/>
                <w:szCs w:val="21"/>
              </w:rPr>
              <w:t>0.17</w:t>
            </w:r>
          </w:p>
        </w:tc>
        <w:tc>
          <w:tcPr>
            <w:tcW w:w="672" w:type="dxa"/>
            <w:tcBorders>
              <w:tl2br w:val="nil"/>
              <w:tr2bl w:val="nil"/>
            </w:tcBorders>
            <w:vAlign w:val="center"/>
          </w:tcPr>
          <w:p w14:paraId="43D2528E" w14:textId="77777777" w:rsidR="00E579B9" w:rsidRDefault="006A1398">
            <w:pPr>
              <w:spacing w:line="240" w:lineRule="auto"/>
              <w:ind w:firstLineChars="0" w:firstLine="0"/>
              <w:jc w:val="center"/>
              <w:rPr>
                <w:rFonts w:cs="Times New Roman"/>
                <w:sz w:val="21"/>
                <w:szCs w:val="21"/>
              </w:rPr>
            </w:pPr>
            <w:r>
              <w:rPr>
                <w:rFonts w:hint="eastAsia"/>
                <w:sz w:val="21"/>
                <w:szCs w:val="21"/>
              </w:rPr>
              <w:t>0.21</w:t>
            </w:r>
          </w:p>
        </w:tc>
      </w:tr>
      <w:tr w:rsidR="00E579B9" w14:paraId="0A5E1F3B" w14:textId="77777777">
        <w:trPr>
          <w:trHeight w:val="1131"/>
          <w:jc w:val="center"/>
        </w:trPr>
        <w:tc>
          <w:tcPr>
            <w:tcW w:w="1431" w:type="dxa"/>
            <w:gridSpan w:val="2"/>
            <w:vAlign w:val="center"/>
          </w:tcPr>
          <w:p w14:paraId="3D5497EA" w14:textId="77777777" w:rsidR="00E579B9" w:rsidRDefault="006A1398">
            <w:pPr>
              <w:spacing w:line="240" w:lineRule="auto"/>
              <w:ind w:firstLineChars="0" w:firstLine="0"/>
              <w:jc w:val="center"/>
              <w:rPr>
                <w:rFonts w:cs="Times New Roman"/>
                <w:sz w:val="21"/>
                <w:szCs w:val="21"/>
              </w:rPr>
            </w:pPr>
            <w:r>
              <w:rPr>
                <w:rFonts w:cs="Times New Roman"/>
                <w:sz w:val="21"/>
                <w:szCs w:val="21"/>
              </w:rPr>
              <w:t>《地下水质量标准》</w:t>
            </w:r>
            <w:r>
              <w:rPr>
                <w:rFonts w:cs="Times New Roman" w:hint="eastAsia"/>
                <w:sz w:val="21"/>
                <w:szCs w:val="21"/>
              </w:rPr>
              <w:t>（</w:t>
            </w:r>
            <w:r>
              <w:rPr>
                <w:rFonts w:cs="Times New Roman"/>
                <w:sz w:val="21"/>
                <w:szCs w:val="21"/>
              </w:rPr>
              <w:t>GB/T14848</w:t>
            </w:r>
            <w:r>
              <w:rPr>
                <w:rFonts w:ascii="宋体" w:hAnsi="宋体" w:cs="Times New Roman"/>
                <w:sz w:val="21"/>
                <w:szCs w:val="21"/>
              </w:rPr>
              <w:t>－</w:t>
            </w:r>
            <w:r>
              <w:rPr>
                <w:rFonts w:cs="Times New Roman"/>
                <w:sz w:val="21"/>
                <w:szCs w:val="21"/>
              </w:rPr>
              <w:t>2017</w:t>
            </w:r>
            <w:r>
              <w:rPr>
                <w:rFonts w:cs="Times New Roman" w:hint="eastAsia"/>
                <w:sz w:val="21"/>
                <w:szCs w:val="21"/>
              </w:rPr>
              <w:t>）</w:t>
            </w:r>
            <w:r>
              <w:rPr>
                <w:rFonts w:ascii="宋体" w:hAnsi="宋体" w:cs="Times New Roman" w:hint="eastAsia"/>
                <w:sz w:val="21"/>
                <w:szCs w:val="21"/>
              </w:rPr>
              <w:t>Ⅲ</w:t>
            </w:r>
            <w:r>
              <w:rPr>
                <w:rFonts w:cs="Times New Roman"/>
                <w:sz w:val="21"/>
                <w:szCs w:val="21"/>
              </w:rPr>
              <w:t>类标准</w:t>
            </w:r>
          </w:p>
        </w:tc>
        <w:tc>
          <w:tcPr>
            <w:tcW w:w="868" w:type="dxa"/>
            <w:vAlign w:val="center"/>
          </w:tcPr>
          <w:p w14:paraId="7154C864" w14:textId="77777777" w:rsidR="00E579B9" w:rsidRDefault="006A1398">
            <w:pPr>
              <w:spacing w:line="240" w:lineRule="auto"/>
              <w:ind w:firstLineChars="0" w:firstLine="0"/>
              <w:jc w:val="center"/>
              <w:rPr>
                <w:rFonts w:cs="Times New Roman"/>
                <w:sz w:val="21"/>
                <w:szCs w:val="21"/>
              </w:rPr>
            </w:pPr>
            <w:r>
              <w:rPr>
                <w:rFonts w:cs="Times New Roman"/>
                <w:sz w:val="21"/>
                <w:szCs w:val="21"/>
              </w:rPr>
              <w:t>6.5~8.5</w:t>
            </w:r>
          </w:p>
        </w:tc>
        <w:tc>
          <w:tcPr>
            <w:tcW w:w="868" w:type="dxa"/>
            <w:vAlign w:val="center"/>
          </w:tcPr>
          <w:p w14:paraId="5C98A31B"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450</w:t>
            </w:r>
          </w:p>
        </w:tc>
        <w:tc>
          <w:tcPr>
            <w:tcW w:w="868" w:type="dxa"/>
            <w:vAlign w:val="center"/>
          </w:tcPr>
          <w:p w14:paraId="66B62989" w14:textId="77777777" w:rsidR="00E579B9" w:rsidRDefault="006A1398">
            <w:pPr>
              <w:spacing w:line="240" w:lineRule="auto"/>
              <w:ind w:firstLineChars="0" w:firstLine="0"/>
              <w:jc w:val="center"/>
              <w:rPr>
                <w:rFonts w:cs="Times New Roman"/>
                <w:sz w:val="21"/>
                <w:szCs w:val="21"/>
              </w:rPr>
            </w:pPr>
            <w:r>
              <w:rPr>
                <w:rFonts w:cs="Times New Roman"/>
                <w:sz w:val="21"/>
                <w:szCs w:val="21"/>
              </w:rPr>
              <w:t>1000</w:t>
            </w:r>
          </w:p>
        </w:tc>
        <w:tc>
          <w:tcPr>
            <w:tcW w:w="868" w:type="dxa"/>
            <w:vAlign w:val="center"/>
          </w:tcPr>
          <w:p w14:paraId="756447BB"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250</w:t>
            </w:r>
          </w:p>
        </w:tc>
        <w:tc>
          <w:tcPr>
            <w:tcW w:w="905" w:type="dxa"/>
            <w:vAlign w:val="center"/>
          </w:tcPr>
          <w:p w14:paraId="2320BE68"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3.0</w:t>
            </w:r>
          </w:p>
        </w:tc>
        <w:tc>
          <w:tcPr>
            <w:tcW w:w="831" w:type="dxa"/>
            <w:vAlign w:val="center"/>
          </w:tcPr>
          <w:p w14:paraId="3A355DCB"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0.5</w:t>
            </w:r>
          </w:p>
        </w:tc>
        <w:tc>
          <w:tcPr>
            <w:tcW w:w="985" w:type="dxa"/>
            <w:vAlign w:val="center"/>
          </w:tcPr>
          <w:p w14:paraId="2C5C0F90" w14:textId="77777777" w:rsidR="00E579B9" w:rsidRDefault="006A1398">
            <w:pPr>
              <w:spacing w:line="240" w:lineRule="auto"/>
              <w:ind w:firstLineChars="0" w:firstLine="0"/>
              <w:jc w:val="center"/>
              <w:rPr>
                <w:rFonts w:cs="Times New Roman"/>
                <w:sz w:val="21"/>
                <w:szCs w:val="21"/>
              </w:rPr>
            </w:pPr>
            <w:r>
              <w:rPr>
                <w:rFonts w:cs="Times New Roman"/>
                <w:sz w:val="21"/>
                <w:szCs w:val="21"/>
              </w:rPr>
              <w:t>1.0</w:t>
            </w:r>
          </w:p>
        </w:tc>
        <w:tc>
          <w:tcPr>
            <w:tcW w:w="672" w:type="dxa"/>
            <w:vAlign w:val="center"/>
          </w:tcPr>
          <w:p w14:paraId="62CDC07B" w14:textId="77777777" w:rsidR="00E579B9" w:rsidRDefault="006A1398">
            <w:pPr>
              <w:spacing w:line="240" w:lineRule="auto"/>
              <w:ind w:firstLineChars="0" w:firstLine="0"/>
              <w:jc w:val="center"/>
              <w:rPr>
                <w:rFonts w:cs="Times New Roman"/>
                <w:sz w:val="21"/>
                <w:szCs w:val="21"/>
              </w:rPr>
            </w:pPr>
            <w:r>
              <w:rPr>
                <w:rFonts w:cs="Times New Roman" w:hint="eastAsia"/>
                <w:sz w:val="21"/>
                <w:szCs w:val="21"/>
              </w:rPr>
              <w:t>250</w:t>
            </w:r>
          </w:p>
        </w:tc>
      </w:tr>
    </w:tbl>
    <w:p w14:paraId="57E0C72A" w14:textId="77777777" w:rsidR="00E579B9" w:rsidRDefault="006A1398">
      <w:pPr>
        <w:widowControl w:val="0"/>
        <w:spacing w:line="480" w:lineRule="exact"/>
        <w:jc w:val="both"/>
        <w:rPr>
          <w:rFonts w:cs="Times New Roman"/>
          <w:szCs w:val="24"/>
        </w:rPr>
      </w:pPr>
      <w:r>
        <w:rPr>
          <w:rFonts w:ascii="宋体" w:hAnsi="宋体" w:cs="Times New Roman"/>
          <w:szCs w:val="24"/>
        </w:rPr>
        <w:t>监测数据表明，项目所在区域内地下水水质符合《地下水质量标准》</w:t>
      </w:r>
      <w:r>
        <w:rPr>
          <w:rFonts w:ascii="宋体" w:hAnsi="宋体" w:cs="Times New Roman" w:hint="eastAsia"/>
          <w:szCs w:val="24"/>
        </w:rPr>
        <w:t>（</w:t>
      </w:r>
      <w:r>
        <w:rPr>
          <w:rFonts w:cs="Times New Roman"/>
          <w:szCs w:val="24"/>
        </w:rPr>
        <w:t>GB/T14848</w:t>
      </w:r>
      <w:r>
        <w:rPr>
          <w:rFonts w:cs="Times New Roman" w:hint="eastAsia"/>
          <w:szCs w:val="24"/>
        </w:rPr>
        <w:t>-</w:t>
      </w:r>
      <w:r>
        <w:rPr>
          <w:rFonts w:cs="Times New Roman"/>
          <w:szCs w:val="24"/>
        </w:rPr>
        <w:t>2017</w:t>
      </w:r>
      <w:r>
        <w:rPr>
          <w:rFonts w:ascii="宋体" w:hAnsi="宋体" w:cs="Times New Roman" w:hint="eastAsia"/>
          <w:szCs w:val="24"/>
        </w:rPr>
        <w:t>）Ⅲ</w:t>
      </w:r>
      <w:r>
        <w:rPr>
          <w:rFonts w:ascii="宋体" w:hAnsi="宋体" w:cs="Times New Roman"/>
          <w:szCs w:val="24"/>
        </w:rPr>
        <w:t>类标准的要求，地下水水质较好。</w:t>
      </w:r>
    </w:p>
    <w:bookmarkEnd w:id="201"/>
    <w:p w14:paraId="654580F4" w14:textId="77777777" w:rsidR="00E579B9" w:rsidRDefault="006A1398">
      <w:pPr>
        <w:pStyle w:val="3"/>
        <w:ind w:firstLine="560"/>
      </w:pPr>
      <w:r>
        <w:t>4.3.4</w:t>
      </w:r>
      <w:r>
        <w:t>声环境质量现状监测与评价</w:t>
      </w:r>
      <w:bookmarkEnd w:id="206"/>
      <w:bookmarkEnd w:id="207"/>
    </w:p>
    <w:p w14:paraId="367103A8" w14:textId="77777777" w:rsidR="00E579B9" w:rsidRDefault="006A1398">
      <w:r>
        <w:t>4.3.4.1</w:t>
      </w:r>
      <w:r>
        <w:t>声环境质量现状监测</w:t>
      </w:r>
    </w:p>
    <w:p w14:paraId="28A616E7" w14:textId="77777777" w:rsidR="00E579B9" w:rsidRDefault="006A1398">
      <w:r>
        <w:rPr>
          <w:rFonts w:hint="eastAsia"/>
        </w:rPr>
        <w:t>本项目</w:t>
      </w:r>
      <w:r>
        <w:t>在评价区域设置了</w:t>
      </w:r>
      <w:r>
        <w:rPr>
          <w:rFonts w:hint="eastAsia"/>
        </w:rPr>
        <w:t>8</w:t>
      </w:r>
      <w:r>
        <w:t>个声环境现状监测点，监测点位布设、监测因子及监测频率见</w:t>
      </w:r>
      <w:r>
        <w:rPr>
          <w:rFonts w:hint="eastAsia"/>
        </w:rPr>
        <w:t>下表</w:t>
      </w:r>
      <w:r>
        <w:t>。</w:t>
      </w:r>
    </w:p>
    <w:p w14:paraId="06C971B7" w14:textId="6DCC601A" w:rsidR="00E579B9" w:rsidRDefault="006A1398">
      <w:pPr>
        <w:pStyle w:val="21"/>
      </w:pPr>
      <w:r>
        <w:rPr>
          <w:rFonts w:hint="eastAsia"/>
        </w:rPr>
        <w:t>表</w:t>
      </w:r>
      <w:r>
        <w:rPr>
          <w:rFonts w:hint="eastAsia"/>
        </w:rPr>
        <w:t>4.3-9</w:t>
      </w:r>
      <w:r>
        <w:rPr>
          <w:rFonts w:hint="eastAsia"/>
        </w:rPr>
        <w:t>声环境监测</w:t>
      </w:r>
      <w:r>
        <w:t>点布设情况一览表</w:t>
      </w:r>
    </w:p>
    <w:tbl>
      <w:tblPr>
        <w:tblW w:w="82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33"/>
        <w:gridCol w:w="1023"/>
        <w:gridCol w:w="1022"/>
        <w:gridCol w:w="1238"/>
        <w:gridCol w:w="901"/>
        <w:gridCol w:w="1024"/>
        <w:gridCol w:w="1040"/>
        <w:gridCol w:w="1415"/>
      </w:tblGrid>
      <w:tr w:rsidR="00E579B9" w14:paraId="19F5A2E3" w14:textId="77777777">
        <w:trPr>
          <w:trHeight w:val="430"/>
          <w:jc w:val="center"/>
        </w:trPr>
        <w:tc>
          <w:tcPr>
            <w:tcW w:w="633" w:type="dxa"/>
            <w:vAlign w:val="center"/>
          </w:tcPr>
          <w:p w14:paraId="791C2C21" w14:textId="77777777" w:rsidR="00E579B9" w:rsidRDefault="006A1398">
            <w:pPr>
              <w:pStyle w:val="aa"/>
            </w:pPr>
            <w:r>
              <w:t>序号</w:t>
            </w:r>
          </w:p>
        </w:tc>
        <w:tc>
          <w:tcPr>
            <w:tcW w:w="1023" w:type="dxa"/>
            <w:vAlign w:val="center"/>
          </w:tcPr>
          <w:p w14:paraId="48D5E619" w14:textId="77777777" w:rsidR="00E579B9" w:rsidRDefault="006A1398">
            <w:pPr>
              <w:pStyle w:val="aa"/>
            </w:pPr>
            <w:r>
              <w:rPr>
                <w:rFonts w:hint="eastAsia"/>
              </w:rPr>
              <w:t>位置</w:t>
            </w:r>
          </w:p>
        </w:tc>
        <w:tc>
          <w:tcPr>
            <w:tcW w:w="1022" w:type="dxa"/>
            <w:vAlign w:val="center"/>
          </w:tcPr>
          <w:p w14:paraId="50E92D84" w14:textId="77777777" w:rsidR="00E579B9" w:rsidRDefault="006A1398">
            <w:pPr>
              <w:pStyle w:val="aa"/>
            </w:pPr>
            <w:r>
              <w:t>监测点</w:t>
            </w:r>
          </w:p>
        </w:tc>
        <w:tc>
          <w:tcPr>
            <w:tcW w:w="1238" w:type="dxa"/>
            <w:vAlign w:val="center"/>
          </w:tcPr>
          <w:p w14:paraId="1C83F207" w14:textId="77777777" w:rsidR="00E579B9" w:rsidRDefault="006A1398">
            <w:pPr>
              <w:pStyle w:val="aa"/>
            </w:pPr>
            <w:r>
              <w:t>监测点位置</w:t>
            </w:r>
          </w:p>
        </w:tc>
        <w:tc>
          <w:tcPr>
            <w:tcW w:w="901" w:type="dxa"/>
            <w:vAlign w:val="center"/>
          </w:tcPr>
          <w:p w14:paraId="0CE8BE8D" w14:textId="77777777" w:rsidR="00E579B9" w:rsidRDefault="006A1398">
            <w:pPr>
              <w:pStyle w:val="aa"/>
            </w:pPr>
            <w:r>
              <w:t>功能</w:t>
            </w:r>
          </w:p>
        </w:tc>
        <w:tc>
          <w:tcPr>
            <w:tcW w:w="1024" w:type="dxa"/>
            <w:vAlign w:val="center"/>
          </w:tcPr>
          <w:p w14:paraId="57E2F00D" w14:textId="77777777" w:rsidR="00E579B9" w:rsidRDefault="006A1398">
            <w:pPr>
              <w:pStyle w:val="aa"/>
            </w:pPr>
            <w:r>
              <w:t>监测因子</w:t>
            </w:r>
          </w:p>
        </w:tc>
        <w:tc>
          <w:tcPr>
            <w:tcW w:w="1040" w:type="dxa"/>
            <w:vAlign w:val="center"/>
          </w:tcPr>
          <w:p w14:paraId="382011D8" w14:textId="77777777" w:rsidR="00E579B9" w:rsidRDefault="006A1398">
            <w:pPr>
              <w:pStyle w:val="aa"/>
            </w:pPr>
            <w:r>
              <w:t>监测频率</w:t>
            </w:r>
          </w:p>
        </w:tc>
        <w:tc>
          <w:tcPr>
            <w:tcW w:w="1415" w:type="dxa"/>
            <w:vAlign w:val="center"/>
          </w:tcPr>
          <w:p w14:paraId="41594D42" w14:textId="77777777" w:rsidR="00E579B9" w:rsidRDefault="006A1398">
            <w:pPr>
              <w:pStyle w:val="aa"/>
            </w:pPr>
            <w:r>
              <w:t>监测方法</w:t>
            </w:r>
          </w:p>
        </w:tc>
      </w:tr>
      <w:tr w:rsidR="00E579B9" w14:paraId="21E4EA3E" w14:textId="77777777">
        <w:trPr>
          <w:trHeight w:val="275"/>
          <w:jc w:val="center"/>
        </w:trPr>
        <w:tc>
          <w:tcPr>
            <w:tcW w:w="633" w:type="dxa"/>
            <w:vAlign w:val="center"/>
          </w:tcPr>
          <w:p w14:paraId="7F76A3FF" w14:textId="77777777" w:rsidR="00E579B9" w:rsidRDefault="006A1398">
            <w:pPr>
              <w:pStyle w:val="aa"/>
            </w:pPr>
            <w:r>
              <w:t>1</w:t>
            </w:r>
            <w:r>
              <w:rPr>
                <w:rFonts w:hint="eastAsia"/>
              </w:rPr>
              <w:t>#</w:t>
            </w:r>
          </w:p>
        </w:tc>
        <w:tc>
          <w:tcPr>
            <w:tcW w:w="1023" w:type="dxa"/>
            <w:vMerge w:val="restart"/>
            <w:vAlign w:val="center"/>
          </w:tcPr>
          <w:p w14:paraId="057E5D0F" w14:textId="77777777" w:rsidR="00E579B9" w:rsidRDefault="006A1398">
            <w:pPr>
              <w:pStyle w:val="aa"/>
            </w:pPr>
            <w:r>
              <w:rPr>
                <w:rFonts w:hint="eastAsia"/>
              </w:rPr>
              <w:t>矿区</w:t>
            </w:r>
          </w:p>
        </w:tc>
        <w:tc>
          <w:tcPr>
            <w:tcW w:w="1022" w:type="dxa"/>
            <w:vAlign w:val="center"/>
          </w:tcPr>
          <w:p w14:paraId="5BC4BFD2" w14:textId="77777777" w:rsidR="00E579B9" w:rsidRDefault="006A1398">
            <w:pPr>
              <w:pStyle w:val="aa"/>
            </w:pPr>
            <w:r>
              <w:t>东场界</w:t>
            </w:r>
          </w:p>
        </w:tc>
        <w:tc>
          <w:tcPr>
            <w:tcW w:w="1238" w:type="dxa"/>
            <w:vMerge w:val="restart"/>
            <w:vAlign w:val="center"/>
          </w:tcPr>
          <w:p w14:paraId="25FFBE0C" w14:textId="77777777" w:rsidR="00E579B9" w:rsidRDefault="006A1398">
            <w:pPr>
              <w:pStyle w:val="aa"/>
            </w:pPr>
            <w:r>
              <w:t>场界外</w:t>
            </w:r>
            <w:r>
              <w:t>1m</w:t>
            </w:r>
            <w:r>
              <w:t>处</w:t>
            </w:r>
          </w:p>
          <w:p w14:paraId="5F2A9545" w14:textId="77777777" w:rsidR="00E579B9" w:rsidRDefault="00E579B9">
            <w:pPr>
              <w:pStyle w:val="aa"/>
            </w:pPr>
          </w:p>
        </w:tc>
        <w:tc>
          <w:tcPr>
            <w:tcW w:w="901" w:type="dxa"/>
            <w:vMerge w:val="restart"/>
            <w:vAlign w:val="center"/>
          </w:tcPr>
          <w:p w14:paraId="7FAD59C5" w14:textId="77777777" w:rsidR="00E579B9" w:rsidRDefault="006A1398">
            <w:pPr>
              <w:pStyle w:val="aa"/>
            </w:pPr>
            <w:r>
              <w:t>场界噪声值</w:t>
            </w:r>
          </w:p>
          <w:p w14:paraId="3859D560" w14:textId="77777777" w:rsidR="00E579B9" w:rsidRDefault="00E579B9">
            <w:pPr>
              <w:pStyle w:val="aa"/>
            </w:pPr>
          </w:p>
        </w:tc>
        <w:tc>
          <w:tcPr>
            <w:tcW w:w="1024" w:type="dxa"/>
            <w:vMerge w:val="restart"/>
            <w:vAlign w:val="center"/>
          </w:tcPr>
          <w:p w14:paraId="695B929F" w14:textId="77777777" w:rsidR="00E579B9" w:rsidRDefault="006A1398">
            <w:pPr>
              <w:pStyle w:val="aa"/>
            </w:pPr>
            <w:r>
              <w:t>等效声级</w:t>
            </w:r>
          </w:p>
        </w:tc>
        <w:tc>
          <w:tcPr>
            <w:tcW w:w="1040" w:type="dxa"/>
            <w:vMerge w:val="restart"/>
            <w:vAlign w:val="center"/>
          </w:tcPr>
          <w:p w14:paraId="7914DA4A" w14:textId="77777777" w:rsidR="00E579B9" w:rsidRDefault="006A1398">
            <w:pPr>
              <w:pStyle w:val="aa"/>
            </w:pPr>
            <w:r>
              <w:t>连续监测</w:t>
            </w:r>
            <w:r>
              <w:rPr>
                <w:rFonts w:hint="eastAsia"/>
              </w:rPr>
              <w:t>2</w:t>
            </w:r>
            <w:r>
              <w:t>天，每天昼夜各</w:t>
            </w:r>
            <w:r>
              <w:t>1</w:t>
            </w:r>
            <w:r>
              <w:t>次</w:t>
            </w:r>
          </w:p>
        </w:tc>
        <w:tc>
          <w:tcPr>
            <w:tcW w:w="1415" w:type="dxa"/>
            <w:vMerge w:val="restart"/>
            <w:vAlign w:val="center"/>
          </w:tcPr>
          <w:p w14:paraId="300744BE" w14:textId="77777777" w:rsidR="00E579B9" w:rsidRDefault="006A1398">
            <w:pPr>
              <w:pStyle w:val="aa"/>
            </w:pPr>
            <w:r>
              <w:t>按</w:t>
            </w:r>
            <w:r>
              <w:t>GB3096-2008</w:t>
            </w:r>
            <w:r>
              <w:t>执行</w:t>
            </w:r>
          </w:p>
        </w:tc>
      </w:tr>
      <w:tr w:rsidR="00E579B9" w14:paraId="6C164ECA" w14:textId="77777777">
        <w:trPr>
          <w:trHeight w:val="295"/>
          <w:jc w:val="center"/>
        </w:trPr>
        <w:tc>
          <w:tcPr>
            <w:tcW w:w="633" w:type="dxa"/>
            <w:vAlign w:val="center"/>
          </w:tcPr>
          <w:p w14:paraId="65FB0F5C" w14:textId="77777777" w:rsidR="00E579B9" w:rsidRDefault="006A1398">
            <w:pPr>
              <w:pStyle w:val="aa"/>
            </w:pPr>
            <w:r>
              <w:t>2</w:t>
            </w:r>
            <w:r>
              <w:rPr>
                <w:rFonts w:hint="eastAsia"/>
              </w:rPr>
              <w:t>#</w:t>
            </w:r>
          </w:p>
        </w:tc>
        <w:tc>
          <w:tcPr>
            <w:tcW w:w="1023" w:type="dxa"/>
            <w:vMerge/>
            <w:vAlign w:val="center"/>
          </w:tcPr>
          <w:p w14:paraId="6B891728" w14:textId="77777777" w:rsidR="00E579B9" w:rsidRDefault="00E579B9">
            <w:pPr>
              <w:pStyle w:val="aa"/>
            </w:pPr>
          </w:p>
        </w:tc>
        <w:tc>
          <w:tcPr>
            <w:tcW w:w="1022" w:type="dxa"/>
            <w:vAlign w:val="center"/>
          </w:tcPr>
          <w:p w14:paraId="054A5877" w14:textId="77777777" w:rsidR="00E579B9" w:rsidRDefault="006A1398">
            <w:pPr>
              <w:pStyle w:val="aa"/>
            </w:pPr>
            <w:r>
              <w:t>南场界</w:t>
            </w:r>
          </w:p>
        </w:tc>
        <w:tc>
          <w:tcPr>
            <w:tcW w:w="1238" w:type="dxa"/>
            <w:vMerge/>
            <w:vAlign w:val="center"/>
          </w:tcPr>
          <w:p w14:paraId="10307552" w14:textId="77777777" w:rsidR="00E579B9" w:rsidRDefault="00E579B9">
            <w:pPr>
              <w:pStyle w:val="aa"/>
            </w:pPr>
          </w:p>
        </w:tc>
        <w:tc>
          <w:tcPr>
            <w:tcW w:w="901" w:type="dxa"/>
            <w:vMerge/>
            <w:vAlign w:val="center"/>
          </w:tcPr>
          <w:p w14:paraId="2E118516" w14:textId="77777777" w:rsidR="00E579B9" w:rsidRDefault="00E579B9">
            <w:pPr>
              <w:pStyle w:val="aa"/>
            </w:pPr>
          </w:p>
        </w:tc>
        <w:tc>
          <w:tcPr>
            <w:tcW w:w="1024" w:type="dxa"/>
            <w:vMerge/>
            <w:vAlign w:val="center"/>
          </w:tcPr>
          <w:p w14:paraId="712B5C9B" w14:textId="77777777" w:rsidR="00E579B9" w:rsidRDefault="00E579B9">
            <w:pPr>
              <w:pStyle w:val="aa"/>
            </w:pPr>
          </w:p>
        </w:tc>
        <w:tc>
          <w:tcPr>
            <w:tcW w:w="1040" w:type="dxa"/>
            <w:vMerge/>
            <w:vAlign w:val="center"/>
          </w:tcPr>
          <w:p w14:paraId="278C8851" w14:textId="77777777" w:rsidR="00E579B9" w:rsidRDefault="00E579B9">
            <w:pPr>
              <w:pStyle w:val="aa"/>
            </w:pPr>
          </w:p>
        </w:tc>
        <w:tc>
          <w:tcPr>
            <w:tcW w:w="1415" w:type="dxa"/>
            <w:vMerge/>
            <w:vAlign w:val="center"/>
          </w:tcPr>
          <w:p w14:paraId="55565561" w14:textId="77777777" w:rsidR="00E579B9" w:rsidRDefault="00E579B9">
            <w:pPr>
              <w:pStyle w:val="aa"/>
            </w:pPr>
          </w:p>
        </w:tc>
      </w:tr>
      <w:tr w:rsidR="00E579B9" w14:paraId="701C5758" w14:textId="77777777">
        <w:trPr>
          <w:trHeight w:val="173"/>
          <w:jc w:val="center"/>
        </w:trPr>
        <w:tc>
          <w:tcPr>
            <w:tcW w:w="633" w:type="dxa"/>
            <w:vAlign w:val="center"/>
          </w:tcPr>
          <w:p w14:paraId="2ED99272" w14:textId="77777777" w:rsidR="00E579B9" w:rsidRDefault="006A1398">
            <w:pPr>
              <w:pStyle w:val="aa"/>
            </w:pPr>
            <w:r>
              <w:t>3</w:t>
            </w:r>
            <w:r>
              <w:rPr>
                <w:rFonts w:hint="eastAsia"/>
              </w:rPr>
              <w:t>#</w:t>
            </w:r>
          </w:p>
        </w:tc>
        <w:tc>
          <w:tcPr>
            <w:tcW w:w="1023" w:type="dxa"/>
            <w:vMerge/>
            <w:vAlign w:val="center"/>
          </w:tcPr>
          <w:p w14:paraId="6BD3EB04" w14:textId="77777777" w:rsidR="00E579B9" w:rsidRDefault="00E579B9">
            <w:pPr>
              <w:pStyle w:val="aa"/>
            </w:pPr>
          </w:p>
        </w:tc>
        <w:tc>
          <w:tcPr>
            <w:tcW w:w="1022" w:type="dxa"/>
            <w:vAlign w:val="center"/>
          </w:tcPr>
          <w:p w14:paraId="3BEBDCDC" w14:textId="77777777" w:rsidR="00E579B9" w:rsidRDefault="006A1398">
            <w:pPr>
              <w:pStyle w:val="aa"/>
            </w:pPr>
            <w:r>
              <w:t>西场界</w:t>
            </w:r>
          </w:p>
        </w:tc>
        <w:tc>
          <w:tcPr>
            <w:tcW w:w="1238" w:type="dxa"/>
            <w:vMerge/>
            <w:vAlign w:val="center"/>
          </w:tcPr>
          <w:p w14:paraId="6284A6AE" w14:textId="77777777" w:rsidR="00E579B9" w:rsidRDefault="00E579B9">
            <w:pPr>
              <w:pStyle w:val="aa"/>
            </w:pPr>
          </w:p>
        </w:tc>
        <w:tc>
          <w:tcPr>
            <w:tcW w:w="901" w:type="dxa"/>
            <w:vMerge/>
            <w:vAlign w:val="center"/>
          </w:tcPr>
          <w:p w14:paraId="15FB5B59" w14:textId="77777777" w:rsidR="00E579B9" w:rsidRDefault="00E579B9">
            <w:pPr>
              <w:pStyle w:val="aa"/>
            </w:pPr>
          </w:p>
        </w:tc>
        <w:tc>
          <w:tcPr>
            <w:tcW w:w="1024" w:type="dxa"/>
            <w:vMerge/>
            <w:vAlign w:val="center"/>
          </w:tcPr>
          <w:p w14:paraId="66EC1BA7" w14:textId="77777777" w:rsidR="00E579B9" w:rsidRDefault="00E579B9">
            <w:pPr>
              <w:pStyle w:val="aa"/>
            </w:pPr>
          </w:p>
        </w:tc>
        <w:tc>
          <w:tcPr>
            <w:tcW w:w="1040" w:type="dxa"/>
            <w:vMerge/>
            <w:vAlign w:val="center"/>
          </w:tcPr>
          <w:p w14:paraId="0AEDC9F6" w14:textId="77777777" w:rsidR="00E579B9" w:rsidRDefault="00E579B9">
            <w:pPr>
              <w:pStyle w:val="aa"/>
            </w:pPr>
          </w:p>
        </w:tc>
        <w:tc>
          <w:tcPr>
            <w:tcW w:w="1415" w:type="dxa"/>
            <w:vMerge/>
            <w:vAlign w:val="center"/>
          </w:tcPr>
          <w:p w14:paraId="5F69923F" w14:textId="77777777" w:rsidR="00E579B9" w:rsidRDefault="00E579B9">
            <w:pPr>
              <w:pStyle w:val="aa"/>
            </w:pPr>
          </w:p>
        </w:tc>
      </w:tr>
      <w:tr w:rsidR="00E579B9" w14:paraId="09DCC523" w14:textId="77777777">
        <w:trPr>
          <w:trHeight w:val="454"/>
          <w:jc w:val="center"/>
        </w:trPr>
        <w:tc>
          <w:tcPr>
            <w:tcW w:w="633" w:type="dxa"/>
            <w:vAlign w:val="center"/>
          </w:tcPr>
          <w:p w14:paraId="0A4FD0B8" w14:textId="77777777" w:rsidR="00E579B9" w:rsidRDefault="006A1398">
            <w:pPr>
              <w:pStyle w:val="aa"/>
            </w:pPr>
            <w:r>
              <w:t>4</w:t>
            </w:r>
            <w:r>
              <w:rPr>
                <w:rFonts w:hint="eastAsia"/>
              </w:rPr>
              <w:t>#</w:t>
            </w:r>
          </w:p>
        </w:tc>
        <w:tc>
          <w:tcPr>
            <w:tcW w:w="1023" w:type="dxa"/>
            <w:vMerge/>
            <w:vAlign w:val="center"/>
          </w:tcPr>
          <w:p w14:paraId="3306DF2A" w14:textId="77777777" w:rsidR="00E579B9" w:rsidRDefault="00E579B9">
            <w:pPr>
              <w:pStyle w:val="aa"/>
            </w:pPr>
          </w:p>
        </w:tc>
        <w:tc>
          <w:tcPr>
            <w:tcW w:w="1022" w:type="dxa"/>
            <w:vAlign w:val="center"/>
          </w:tcPr>
          <w:p w14:paraId="29AC0A34" w14:textId="77777777" w:rsidR="00E579B9" w:rsidRDefault="006A1398">
            <w:pPr>
              <w:pStyle w:val="aa"/>
            </w:pPr>
            <w:r>
              <w:t>北场界</w:t>
            </w:r>
          </w:p>
        </w:tc>
        <w:tc>
          <w:tcPr>
            <w:tcW w:w="1238" w:type="dxa"/>
            <w:vMerge/>
            <w:vAlign w:val="center"/>
          </w:tcPr>
          <w:p w14:paraId="48102C5B" w14:textId="77777777" w:rsidR="00E579B9" w:rsidRDefault="00E579B9">
            <w:pPr>
              <w:pStyle w:val="aa"/>
            </w:pPr>
          </w:p>
        </w:tc>
        <w:tc>
          <w:tcPr>
            <w:tcW w:w="901" w:type="dxa"/>
            <w:vMerge/>
            <w:vAlign w:val="center"/>
          </w:tcPr>
          <w:p w14:paraId="2F827321" w14:textId="77777777" w:rsidR="00E579B9" w:rsidRDefault="00E579B9">
            <w:pPr>
              <w:pStyle w:val="aa"/>
            </w:pPr>
          </w:p>
        </w:tc>
        <w:tc>
          <w:tcPr>
            <w:tcW w:w="1024" w:type="dxa"/>
            <w:vMerge/>
            <w:vAlign w:val="center"/>
          </w:tcPr>
          <w:p w14:paraId="3A878B2F" w14:textId="77777777" w:rsidR="00E579B9" w:rsidRDefault="00E579B9">
            <w:pPr>
              <w:pStyle w:val="aa"/>
            </w:pPr>
          </w:p>
        </w:tc>
        <w:tc>
          <w:tcPr>
            <w:tcW w:w="1040" w:type="dxa"/>
            <w:vMerge/>
            <w:vAlign w:val="center"/>
          </w:tcPr>
          <w:p w14:paraId="7CF36DE0" w14:textId="77777777" w:rsidR="00E579B9" w:rsidRDefault="00E579B9">
            <w:pPr>
              <w:pStyle w:val="aa"/>
            </w:pPr>
          </w:p>
        </w:tc>
        <w:tc>
          <w:tcPr>
            <w:tcW w:w="1415" w:type="dxa"/>
            <w:vMerge/>
            <w:vAlign w:val="center"/>
          </w:tcPr>
          <w:p w14:paraId="21CB287B" w14:textId="77777777" w:rsidR="00E579B9" w:rsidRDefault="00E579B9">
            <w:pPr>
              <w:pStyle w:val="aa"/>
            </w:pPr>
          </w:p>
        </w:tc>
      </w:tr>
      <w:tr w:rsidR="00E579B9" w14:paraId="7EE15E46" w14:textId="77777777">
        <w:trPr>
          <w:trHeight w:val="454"/>
          <w:jc w:val="center"/>
        </w:trPr>
        <w:tc>
          <w:tcPr>
            <w:tcW w:w="633" w:type="dxa"/>
            <w:vAlign w:val="center"/>
          </w:tcPr>
          <w:p w14:paraId="75838A02" w14:textId="77777777" w:rsidR="00E579B9" w:rsidRDefault="006A1398">
            <w:pPr>
              <w:pStyle w:val="aa"/>
            </w:pPr>
            <w:r>
              <w:rPr>
                <w:rFonts w:hint="eastAsia"/>
              </w:rPr>
              <w:t>5</w:t>
            </w:r>
            <w:r>
              <w:t>#</w:t>
            </w:r>
          </w:p>
        </w:tc>
        <w:tc>
          <w:tcPr>
            <w:tcW w:w="1023" w:type="dxa"/>
            <w:vMerge w:val="restart"/>
            <w:vAlign w:val="center"/>
          </w:tcPr>
          <w:p w14:paraId="525254B4" w14:textId="77777777" w:rsidR="00E579B9" w:rsidRDefault="006A1398">
            <w:pPr>
              <w:pStyle w:val="aa"/>
            </w:pPr>
            <w:r>
              <w:rPr>
                <w:rFonts w:hint="eastAsia"/>
              </w:rPr>
              <w:t>破碎</w:t>
            </w:r>
            <w:r>
              <w:t>加工区</w:t>
            </w:r>
          </w:p>
        </w:tc>
        <w:tc>
          <w:tcPr>
            <w:tcW w:w="1022" w:type="dxa"/>
            <w:vAlign w:val="center"/>
          </w:tcPr>
          <w:p w14:paraId="3B885F79" w14:textId="77777777" w:rsidR="00E579B9" w:rsidRDefault="006A1398">
            <w:pPr>
              <w:pStyle w:val="aa"/>
            </w:pPr>
            <w:r>
              <w:t>东场界</w:t>
            </w:r>
          </w:p>
        </w:tc>
        <w:tc>
          <w:tcPr>
            <w:tcW w:w="1238" w:type="dxa"/>
            <w:vMerge/>
            <w:vAlign w:val="center"/>
          </w:tcPr>
          <w:p w14:paraId="79C375E0" w14:textId="77777777" w:rsidR="00E579B9" w:rsidRDefault="00E579B9">
            <w:pPr>
              <w:pStyle w:val="aa"/>
            </w:pPr>
          </w:p>
        </w:tc>
        <w:tc>
          <w:tcPr>
            <w:tcW w:w="901" w:type="dxa"/>
            <w:vMerge/>
            <w:vAlign w:val="center"/>
          </w:tcPr>
          <w:p w14:paraId="5A8E192B" w14:textId="77777777" w:rsidR="00E579B9" w:rsidRDefault="00E579B9">
            <w:pPr>
              <w:pStyle w:val="aa"/>
            </w:pPr>
          </w:p>
        </w:tc>
        <w:tc>
          <w:tcPr>
            <w:tcW w:w="1024" w:type="dxa"/>
            <w:vMerge/>
            <w:vAlign w:val="center"/>
          </w:tcPr>
          <w:p w14:paraId="18687E22" w14:textId="77777777" w:rsidR="00E579B9" w:rsidRDefault="00E579B9">
            <w:pPr>
              <w:pStyle w:val="aa"/>
            </w:pPr>
          </w:p>
        </w:tc>
        <w:tc>
          <w:tcPr>
            <w:tcW w:w="1040" w:type="dxa"/>
            <w:vMerge/>
            <w:vAlign w:val="center"/>
          </w:tcPr>
          <w:p w14:paraId="7BBBAD53" w14:textId="77777777" w:rsidR="00E579B9" w:rsidRDefault="00E579B9">
            <w:pPr>
              <w:pStyle w:val="aa"/>
            </w:pPr>
          </w:p>
        </w:tc>
        <w:tc>
          <w:tcPr>
            <w:tcW w:w="1415" w:type="dxa"/>
            <w:vMerge/>
            <w:vAlign w:val="center"/>
          </w:tcPr>
          <w:p w14:paraId="69F53439" w14:textId="77777777" w:rsidR="00E579B9" w:rsidRDefault="00E579B9">
            <w:pPr>
              <w:pStyle w:val="aa"/>
            </w:pPr>
          </w:p>
        </w:tc>
      </w:tr>
      <w:tr w:rsidR="00E579B9" w14:paraId="373382E8" w14:textId="77777777">
        <w:trPr>
          <w:trHeight w:val="454"/>
          <w:jc w:val="center"/>
        </w:trPr>
        <w:tc>
          <w:tcPr>
            <w:tcW w:w="633" w:type="dxa"/>
            <w:vAlign w:val="center"/>
          </w:tcPr>
          <w:p w14:paraId="26EA8F07" w14:textId="77777777" w:rsidR="00E579B9" w:rsidRDefault="006A1398">
            <w:pPr>
              <w:pStyle w:val="aa"/>
            </w:pPr>
            <w:r>
              <w:rPr>
                <w:rFonts w:hint="eastAsia"/>
              </w:rPr>
              <w:t>6</w:t>
            </w:r>
            <w:r>
              <w:t>#</w:t>
            </w:r>
          </w:p>
        </w:tc>
        <w:tc>
          <w:tcPr>
            <w:tcW w:w="1023" w:type="dxa"/>
            <w:vMerge/>
            <w:vAlign w:val="center"/>
          </w:tcPr>
          <w:p w14:paraId="0F7DD317" w14:textId="77777777" w:rsidR="00E579B9" w:rsidRDefault="00E579B9">
            <w:pPr>
              <w:pStyle w:val="aa"/>
            </w:pPr>
          </w:p>
        </w:tc>
        <w:tc>
          <w:tcPr>
            <w:tcW w:w="1022" w:type="dxa"/>
            <w:vAlign w:val="center"/>
          </w:tcPr>
          <w:p w14:paraId="6917E122" w14:textId="77777777" w:rsidR="00E579B9" w:rsidRDefault="006A1398">
            <w:pPr>
              <w:pStyle w:val="aa"/>
            </w:pPr>
            <w:r>
              <w:t>南场界</w:t>
            </w:r>
          </w:p>
        </w:tc>
        <w:tc>
          <w:tcPr>
            <w:tcW w:w="1238" w:type="dxa"/>
            <w:vMerge/>
            <w:vAlign w:val="center"/>
          </w:tcPr>
          <w:p w14:paraId="5424D601" w14:textId="77777777" w:rsidR="00E579B9" w:rsidRDefault="00E579B9">
            <w:pPr>
              <w:pStyle w:val="aa"/>
            </w:pPr>
          </w:p>
        </w:tc>
        <w:tc>
          <w:tcPr>
            <w:tcW w:w="901" w:type="dxa"/>
            <w:vMerge/>
            <w:vAlign w:val="center"/>
          </w:tcPr>
          <w:p w14:paraId="2432B97C" w14:textId="77777777" w:rsidR="00E579B9" w:rsidRDefault="00E579B9">
            <w:pPr>
              <w:pStyle w:val="aa"/>
            </w:pPr>
          </w:p>
        </w:tc>
        <w:tc>
          <w:tcPr>
            <w:tcW w:w="1024" w:type="dxa"/>
            <w:vMerge/>
            <w:vAlign w:val="center"/>
          </w:tcPr>
          <w:p w14:paraId="49028AB6" w14:textId="77777777" w:rsidR="00E579B9" w:rsidRDefault="00E579B9">
            <w:pPr>
              <w:pStyle w:val="aa"/>
            </w:pPr>
          </w:p>
        </w:tc>
        <w:tc>
          <w:tcPr>
            <w:tcW w:w="1040" w:type="dxa"/>
            <w:vMerge/>
            <w:vAlign w:val="center"/>
          </w:tcPr>
          <w:p w14:paraId="01903898" w14:textId="77777777" w:rsidR="00E579B9" w:rsidRDefault="00E579B9">
            <w:pPr>
              <w:pStyle w:val="aa"/>
            </w:pPr>
          </w:p>
        </w:tc>
        <w:tc>
          <w:tcPr>
            <w:tcW w:w="1415" w:type="dxa"/>
            <w:vMerge/>
            <w:vAlign w:val="center"/>
          </w:tcPr>
          <w:p w14:paraId="14D7D5D8" w14:textId="77777777" w:rsidR="00E579B9" w:rsidRDefault="00E579B9">
            <w:pPr>
              <w:pStyle w:val="aa"/>
            </w:pPr>
          </w:p>
        </w:tc>
      </w:tr>
      <w:tr w:rsidR="00E579B9" w14:paraId="0D7FE689" w14:textId="77777777">
        <w:trPr>
          <w:trHeight w:val="454"/>
          <w:jc w:val="center"/>
        </w:trPr>
        <w:tc>
          <w:tcPr>
            <w:tcW w:w="633" w:type="dxa"/>
            <w:vAlign w:val="center"/>
          </w:tcPr>
          <w:p w14:paraId="4E31CF8A" w14:textId="77777777" w:rsidR="00E579B9" w:rsidRDefault="006A1398">
            <w:pPr>
              <w:pStyle w:val="aa"/>
            </w:pPr>
            <w:r>
              <w:rPr>
                <w:rFonts w:hint="eastAsia"/>
              </w:rPr>
              <w:lastRenderedPageBreak/>
              <w:t>7</w:t>
            </w:r>
            <w:r>
              <w:t>#</w:t>
            </w:r>
          </w:p>
        </w:tc>
        <w:tc>
          <w:tcPr>
            <w:tcW w:w="1023" w:type="dxa"/>
            <w:vMerge/>
            <w:vAlign w:val="center"/>
          </w:tcPr>
          <w:p w14:paraId="67F3CDC7" w14:textId="77777777" w:rsidR="00E579B9" w:rsidRDefault="00E579B9">
            <w:pPr>
              <w:pStyle w:val="aa"/>
            </w:pPr>
          </w:p>
        </w:tc>
        <w:tc>
          <w:tcPr>
            <w:tcW w:w="1022" w:type="dxa"/>
            <w:vAlign w:val="center"/>
          </w:tcPr>
          <w:p w14:paraId="0F2A33AC" w14:textId="77777777" w:rsidR="00E579B9" w:rsidRDefault="006A1398">
            <w:pPr>
              <w:pStyle w:val="aa"/>
            </w:pPr>
            <w:r>
              <w:t>西场界</w:t>
            </w:r>
          </w:p>
        </w:tc>
        <w:tc>
          <w:tcPr>
            <w:tcW w:w="1238" w:type="dxa"/>
            <w:vMerge/>
            <w:vAlign w:val="center"/>
          </w:tcPr>
          <w:p w14:paraId="610D01EF" w14:textId="77777777" w:rsidR="00E579B9" w:rsidRDefault="00E579B9">
            <w:pPr>
              <w:pStyle w:val="aa"/>
            </w:pPr>
          </w:p>
        </w:tc>
        <w:tc>
          <w:tcPr>
            <w:tcW w:w="901" w:type="dxa"/>
            <w:vMerge/>
            <w:vAlign w:val="center"/>
          </w:tcPr>
          <w:p w14:paraId="4B100D5C" w14:textId="77777777" w:rsidR="00E579B9" w:rsidRDefault="00E579B9">
            <w:pPr>
              <w:pStyle w:val="aa"/>
            </w:pPr>
          </w:p>
        </w:tc>
        <w:tc>
          <w:tcPr>
            <w:tcW w:w="1024" w:type="dxa"/>
            <w:vMerge/>
            <w:vAlign w:val="center"/>
          </w:tcPr>
          <w:p w14:paraId="41DD4C9A" w14:textId="77777777" w:rsidR="00E579B9" w:rsidRDefault="00E579B9">
            <w:pPr>
              <w:pStyle w:val="aa"/>
            </w:pPr>
          </w:p>
        </w:tc>
        <w:tc>
          <w:tcPr>
            <w:tcW w:w="1040" w:type="dxa"/>
            <w:vMerge/>
            <w:vAlign w:val="center"/>
          </w:tcPr>
          <w:p w14:paraId="61D0830A" w14:textId="77777777" w:rsidR="00E579B9" w:rsidRDefault="00E579B9">
            <w:pPr>
              <w:pStyle w:val="aa"/>
            </w:pPr>
          </w:p>
        </w:tc>
        <w:tc>
          <w:tcPr>
            <w:tcW w:w="1415" w:type="dxa"/>
            <w:vMerge/>
            <w:vAlign w:val="center"/>
          </w:tcPr>
          <w:p w14:paraId="17400155" w14:textId="77777777" w:rsidR="00E579B9" w:rsidRDefault="00E579B9">
            <w:pPr>
              <w:pStyle w:val="aa"/>
            </w:pPr>
          </w:p>
        </w:tc>
      </w:tr>
      <w:tr w:rsidR="00E579B9" w14:paraId="4D2DC200" w14:textId="77777777">
        <w:trPr>
          <w:trHeight w:val="454"/>
          <w:jc w:val="center"/>
        </w:trPr>
        <w:tc>
          <w:tcPr>
            <w:tcW w:w="633" w:type="dxa"/>
            <w:vAlign w:val="center"/>
          </w:tcPr>
          <w:p w14:paraId="7EBBC246" w14:textId="77777777" w:rsidR="00E579B9" w:rsidRDefault="006A1398">
            <w:pPr>
              <w:pStyle w:val="aa"/>
            </w:pPr>
            <w:r>
              <w:rPr>
                <w:rFonts w:hint="eastAsia"/>
              </w:rPr>
              <w:t>8#</w:t>
            </w:r>
          </w:p>
        </w:tc>
        <w:tc>
          <w:tcPr>
            <w:tcW w:w="1023" w:type="dxa"/>
            <w:vMerge/>
            <w:vAlign w:val="center"/>
          </w:tcPr>
          <w:p w14:paraId="0418F397" w14:textId="77777777" w:rsidR="00E579B9" w:rsidRDefault="00E579B9">
            <w:pPr>
              <w:pStyle w:val="aa"/>
            </w:pPr>
          </w:p>
        </w:tc>
        <w:tc>
          <w:tcPr>
            <w:tcW w:w="1022" w:type="dxa"/>
            <w:vAlign w:val="center"/>
          </w:tcPr>
          <w:p w14:paraId="4C459A95" w14:textId="77777777" w:rsidR="00E579B9" w:rsidRDefault="006A1398">
            <w:pPr>
              <w:pStyle w:val="aa"/>
            </w:pPr>
            <w:r>
              <w:rPr>
                <w:rFonts w:hint="eastAsia"/>
              </w:rPr>
              <w:t>北场界</w:t>
            </w:r>
          </w:p>
        </w:tc>
        <w:tc>
          <w:tcPr>
            <w:tcW w:w="1238" w:type="dxa"/>
            <w:vMerge/>
            <w:vAlign w:val="center"/>
          </w:tcPr>
          <w:p w14:paraId="25481ED9" w14:textId="77777777" w:rsidR="00E579B9" w:rsidRDefault="00E579B9">
            <w:pPr>
              <w:pStyle w:val="aa"/>
            </w:pPr>
          </w:p>
        </w:tc>
        <w:tc>
          <w:tcPr>
            <w:tcW w:w="901" w:type="dxa"/>
            <w:vMerge/>
            <w:vAlign w:val="center"/>
          </w:tcPr>
          <w:p w14:paraId="5AD420B4" w14:textId="77777777" w:rsidR="00E579B9" w:rsidRDefault="00E579B9">
            <w:pPr>
              <w:pStyle w:val="aa"/>
            </w:pPr>
          </w:p>
        </w:tc>
        <w:tc>
          <w:tcPr>
            <w:tcW w:w="1024" w:type="dxa"/>
            <w:vMerge/>
            <w:vAlign w:val="center"/>
          </w:tcPr>
          <w:p w14:paraId="16F78A3C" w14:textId="77777777" w:rsidR="00E579B9" w:rsidRDefault="00E579B9">
            <w:pPr>
              <w:pStyle w:val="aa"/>
            </w:pPr>
          </w:p>
        </w:tc>
        <w:tc>
          <w:tcPr>
            <w:tcW w:w="1040" w:type="dxa"/>
            <w:vMerge/>
            <w:vAlign w:val="center"/>
          </w:tcPr>
          <w:p w14:paraId="317EE867" w14:textId="77777777" w:rsidR="00E579B9" w:rsidRDefault="00E579B9">
            <w:pPr>
              <w:pStyle w:val="aa"/>
            </w:pPr>
          </w:p>
        </w:tc>
        <w:tc>
          <w:tcPr>
            <w:tcW w:w="1415" w:type="dxa"/>
            <w:vMerge/>
            <w:vAlign w:val="center"/>
          </w:tcPr>
          <w:p w14:paraId="6CA691A1" w14:textId="77777777" w:rsidR="00E579B9" w:rsidRDefault="00E579B9">
            <w:pPr>
              <w:pStyle w:val="aa"/>
            </w:pPr>
          </w:p>
        </w:tc>
      </w:tr>
    </w:tbl>
    <w:p w14:paraId="6F786538" w14:textId="77777777" w:rsidR="00E579B9" w:rsidRDefault="006A1398">
      <w:r>
        <w:t>4.3.4.2</w:t>
      </w:r>
      <w:r>
        <w:t>声环境质量现状评价</w:t>
      </w:r>
    </w:p>
    <w:p w14:paraId="78D012C5" w14:textId="77777777" w:rsidR="00E579B9" w:rsidRDefault="006A1398">
      <w:r>
        <w:t>噪声监测数据统计结果见表</w:t>
      </w:r>
      <w:r>
        <w:t>4.3-</w:t>
      </w:r>
      <w:r>
        <w:rPr>
          <w:rFonts w:hint="eastAsia"/>
        </w:rPr>
        <w:t>10</w:t>
      </w:r>
      <w:r>
        <w:t>。</w:t>
      </w:r>
    </w:p>
    <w:p w14:paraId="616D1277" w14:textId="77777777" w:rsidR="00E579B9" w:rsidRDefault="006A1398">
      <w:pPr>
        <w:pStyle w:val="21"/>
      </w:pPr>
      <w:r>
        <w:t>表</w:t>
      </w:r>
      <w:r>
        <w:t>4.3-</w:t>
      </w:r>
      <w:r>
        <w:rPr>
          <w:rFonts w:hint="eastAsia"/>
        </w:rPr>
        <w:t>10</w:t>
      </w:r>
      <w:r>
        <w:t>声环境现状监测与评价结果一览表</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14"/>
        <w:gridCol w:w="1741"/>
        <w:gridCol w:w="1843"/>
        <w:gridCol w:w="1843"/>
        <w:gridCol w:w="1843"/>
      </w:tblGrid>
      <w:tr w:rsidR="00E579B9" w14:paraId="50C10B17" w14:textId="77777777" w:rsidTr="00D8577A">
        <w:trPr>
          <w:trHeight w:val="480"/>
          <w:jc w:val="center"/>
        </w:trPr>
        <w:tc>
          <w:tcPr>
            <w:tcW w:w="1514" w:type="dxa"/>
            <w:vMerge w:val="restart"/>
            <w:shd w:val="clear" w:color="000000" w:fill="FFFFFF"/>
            <w:tcMar>
              <w:left w:w="108" w:type="dxa"/>
              <w:right w:w="108" w:type="dxa"/>
            </w:tcMar>
            <w:vAlign w:val="center"/>
          </w:tcPr>
          <w:p w14:paraId="306A45A9" w14:textId="77777777" w:rsidR="00E579B9" w:rsidRDefault="006A1398" w:rsidP="00D8577A">
            <w:pPr>
              <w:pStyle w:val="aa"/>
            </w:pPr>
            <w:r>
              <w:t>检测点位</w:t>
            </w:r>
          </w:p>
        </w:tc>
        <w:tc>
          <w:tcPr>
            <w:tcW w:w="3584" w:type="dxa"/>
            <w:gridSpan w:val="2"/>
            <w:shd w:val="clear" w:color="000000" w:fill="FFFFFF"/>
            <w:tcMar>
              <w:left w:w="108" w:type="dxa"/>
              <w:right w:w="108" w:type="dxa"/>
            </w:tcMar>
            <w:vAlign w:val="center"/>
          </w:tcPr>
          <w:p w14:paraId="77FF237B" w14:textId="77777777" w:rsidR="00E579B9" w:rsidRDefault="006A1398" w:rsidP="00D8577A">
            <w:pPr>
              <w:pStyle w:val="aa"/>
            </w:pPr>
            <w:r>
              <w:t>昼间</w:t>
            </w:r>
          </w:p>
        </w:tc>
        <w:tc>
          <w:tcPr>
            <w:tcW w:w="3686" w:type="dxa"/>
            <w:gridSpan w:val="2"/>
            <w:shd w:val="clear" w:color="000000" w:fill="FFFFFF"/>
            <w:tcMar>
              <w:left w:w="108" w:type="dxa"/>
              <w:right w:w="108" w:type="dxa"/>
            </w:tcMar>
            <w:vAlign w:val="center"/>
          </w:tcPr>
          <w:p w14:paraId="120123A4" w14:textId="77777777" w:rsidR="00E579B9" w:rsidRDefault="006A1398" w:rsidP="00D8577A">
            <w:pPr>
              <w:pStyle w:val="aa"/>
            </w:pPr>
            <w:r>
              <w:rPr>
                <w:rFonts w:hint="eastAsia"/>
              </w:rPr>
              <w:t>夜间</w:t>
            </w:r>
          </w:p>
        </w:tc>
      </w:tr>
      <w:tr w:rsidR="00E579B9" w14:paraId="07078625" w14:textId="77777777" w:rsidTr="00D8577A">
        <w:trPr>
          <w:trHeight w:val="548"/>
          <w:jc w:val="center"/>
        </w:trPr>
        <w:tc>
          <w:tcPr>
            <w:tcW w:w="1514" w:type="dxa"/>
            <w:vMerge/>
            <w:shd w:val="clear" w:color="000000" w:fill="FFFFFF"/>
            <w:tcMar>
              <w:left w:w="108" w:type="dxa"/>
              <w:right w:w="108" w:type="dxa"/>
            </w:tcMar>
            <w:vAlign w:val="center"/>
          </w:tcPr>
          <w:p w14:paraId="18D35A42" w14:textId="77777777" w:rsidR="00E579B9" w:rsidRDefault="00E579B9" w:rsidP="00D8577A">
            <w:pPr>
              <w:pStyle w:val="aa"/>
            </w:pPr>
          </w:p>
        </w:tc>
        <w:tc>
          <w:tcPr>
            <w:tcW w:w="1741" w:type="dxa"/>
            <w:shd w:val="clear" w:color="000000" w:fill="FFFFFF"/>
            <w:tcMar>
              <w:left w:w="108" w:type="dxa"/>
              <w:right w:w="108" w:type="dxa"/>
            </w:tcMar>
            <w:vAlign w:val="center"/>
          </w:tcPr>
          <w:p w14:paraId="7F3A54D6" w14:textId="77777777" w:rsidR="00E579B9" w:rsidRDefault="006A1398" w:rsidP="00D8577A">
            <w:pPr>
              <w:pStyle w:val="aa"/>
            </w:pPr>
            <w:r>
              <w:rPr>
                <w:rFonts w:hint="eastAsia"/>
              </w:rPr>
              <w:t>2020</w:t>
            </w:r>
            <w:r>
              <w:rPr>
                <w:rFonts w:hint="eastAsia"/>
              </w:rPr>
              <w:t>年</w:t>
            </w:r>
            <w:r>
              <w:rPr>
                <w:rFonts w:hint="eastAsia"/>
              </w:rPr>
              <w:t>2</w:t>
            </w:r>
            <w:r>
              <w:rPr>
                <w:rFonts w:hint="eastAsia"/>
              </w:rPr>
              <w:t>月</w:t>
            </w:r>
            <w:r>
              <w:rPr>
                <w:rFonts w:hint="eastAsia"/>
              </w:rPr>
              <w:t>1</w:t>
            </w:r>
            <w:r>
              <w:rPr>
                <w:rFonts w:hint="eastAsia"/>
              </w:rPr>
              <w:t>日</w:t>
            </w:r>
          </w:p>
        </w:tc>
        <w:tc>
          <w:tcPr>
            <w:tcW w:w="1843" w:type="dxa"/>
            <w:shd w:val="clear" w:color="000000" w:fill="FFFFFF"/>
            <w:tcMar>
              <w:left w:w="108" w:type="dxa"/>
              <w:right w:w="108" w:type="dxa"/>
            </w:tcMar>
            <w:vAlign w:val="center"/>
          </w:tcPr>
          <w:p w14:paraId="7BD5A527" w14:textId="77777777" w:rsidR="00E579B9" w:rsidRDefault="006A1398" w:rsidP="00D8577A">
            <w:pPr>
              <w:pStyle w:val="aa"/>
            </w:pPr>
            <w:r>
              <w:rPr>
                <w:rFonts w:hint="eastAsia"/>
              </w:rPr>
              <w:t>2020</w:t>
            </w:r>
            <w:r>
              <w:rPr>
                <w:rFonts w:hint="eastAsia"/>
              </w:rPr>
              <w:t>年</w:t>
            </w:r>
            <w:r>
              <w:rPr>
                <w:rFonts w:hint="eastAsia"/>
              </w:rPr>
              <w:t>2</w:t>
            </w:r>
            <w:r>
              <w:rPr>
                <w:rFonts w:hint="eastAsia"/>
              </w:rPr>
              <w:t>月</w:t>
            </w:r>
            <w:r>
              <w:rPr>
                <w:rFonts w:hint="eastAsia"/>
              </w:rPr>
              <w:t>2</w:t>
            </w:r>
            <w:r>
              <w:rPr>
                <w:rFonts w:hint="eastAsia"/>
              </w:rPr>
              <w:t>日</w:t>
            </w:r>
          </w:p>
        </w:tc>
        <w:tc>
          <w:tcPr>
            <w:tcW w:w="1843" w:type="dxa"/>
            <w:shd w:val="clear" w:color="000000" w:fill="FFFFFF"/>
            <w:tcMar>
              <w:left w:w="108" w:type="dxa"/>
              <w:right w:w="108" w:type="dxa"/>
            </w:tcMar>
            <w:vAlign w:val="center"/>
          </w:tcPr>
          <w:p w14:paraId="4E2DBC7B" w14:textId="77777777" w:rsidR="00E579B9" w:rsidRDefault="006A1398" w:rsidP="00D8577A">
            <w:pPr>
              <w:pStyle w:val="aa"/>
            </w:pPr>
            <w:r>
              <w:rPr>
                <w:rFonts w:hint="eastAsia"/>
              </w:rPr>
              <w:t>2020</w:t>
            </w:r>
            <w:r>
              <w:rPr>
                <w:rFonts w:hint="eastAsia"/>
              </w:rPr>
              <w:t>年</w:t>
            </w:r>
            <w:r>
              <w:rPr>
                <w:rFonts w:hint="eastAsia"/>
              </w:rPr>
              <w:t>2</w:t>
            </w:r>
            <w:r>
              <w:rPr>
                <w:rFonts w:hint="eastAsia"/>
              </w:rPr>
              <w:t>月</w:t>
            </w:r>
            <w:r>
              <w:rPr>
                <w:rFonts w:hint="eastAsia"/>
              </w:rPr>
              <w:t>1</w:t>
            </w:r>
            <w:r>
              <w:rPr>
                <w:rFonts w:hint="eastAsia"/>
              </w:rPr>
              <w:t>日</w:t>
            </w:r>
          </w:p>
        </w:tc>
        <w:tc>
          <w:tcPr>
            <w:tcW w:w="1843" w:type="dxa"/>
            <w:shd w:val="clear" w:color="000000" w:fill="FFFFFF"/>
            <w:tcMar>
              <w:left w:w="108" w:type="dxa"/>
              <w:right w:w="108" w:type="dxa"/>
            </w:tcMar>
            <w:vAlign w:val="center"/>
          </w:tcPr>
          <w:p w14:paraId="4BA4A981" w14:textId="77777777" w:rsidR="00E579B9" w:rsidRDefault="006A1398" w:rsidP="00D8577A">
            <w:pPr>
              <w:pStyle w:val="aa"/>
            </w:pPr>
            <w:r>
              <w:rPr>
                <w:rFonts w:hint="eastAsia"/>
              </w:rPr>
              <w:t>2020</w:t>
            </w:r>
            <w:r>
              <w:rPr>
                <w:rFonts w:hint="eastAsia"/>
              </w:rPr>
              <w:t>年</w:t>
            </w:r>
            <w:r>
              <w:rPr>
                <w:rFonts w:hint="eastAsia"/>
              </w:rPr>
              <w:t>2</w:t>
            </w:r>
            <w:r>
              <w:rPr>
                <w:rFonts w:hint="eastAsia"/>
              </w:rPr>
              <w:t>月</w:t>
            </w:r>
            <w:r>
              <w:rPr>
                <w:rFonts w:hint="eastAsia"/>
              </w:rPr>
              <w:t>2</w:t>
            </w:r>
            <w:r>
              <w:rPr>
                <w:rFonts w:hint="eastAsia"/>
              </w:rPr>
              <w:t>日</w:t>
            </w:r>
          </w:p>
        </w:tc>
      </w:tr>
      <w:tr w:rsidR="00E579B9" w14:paraId="2A6AD8DE" w14:textId="77777777" w:rsidTr="00D8577A">
        <w:trPr>
          <w:trHeight w:val="585"/>
          <w:jc w:val="center"/>
        </w:trPr>
        <w:tc>
          <w:tcPr>
            <w:tcW w:w="1514" w:type="dxa"/>
            <w:shd w:val="clear" w:color="000000" w:fill="FFFFFF"/>
            <w:tcMar>
              <w:left w:w="108" w:type="dxa"/>
              <w:right w:w="108" w:type="dxa"/>
            </w:tcMar>
            <w:vAlign w:val="center"/>
          </w:tcPr>
          <w:p w14:paraId="46B1E978" w14:textId="77777777" w:rsidR="00E579B9" w:rsidRDefault="006A1398" w:rsidP="00D8577A">
            <w:pPr>
              <w:pStyle w:val="aa"/>
            </w:pPr>
            <w:r>
              <w:rPr>
                <w:rFonts w:hint="eastAsia"/>
                <w:color w:val="000000"/>
              </w:rPr>
              <w:t>矿区</w:t>
            </w:r>
            <w:r>
              <w:t>东厂界</w:t>
            </w:r>
          </w:p>
        </w:tc>
        <w:tc>
          <w:tcPr>
            <w:tcW w:w="1741" w:type="dxa"/>
            <w:shd w:val="clear" w:color="000000" w:fill="FFFFFF"/>
            <w:tcMar>
              <w:left w:w="108" w:type="dxa"/>
              <w:right w:w="108" w:type="dxa"/>
            </w:tcMar>
            <w:vAlign w:val="center"/>
          </w:tcPr>
          <w:p w14:paraId="32568AFE" w14:textId="77777777" w:rsidR="00E579B9" w:rsidRDefault="006A1398" w:rsidP="00D8577A">
            <w:pPr>
              <w:pStyle w:val="aa"/>
              <w:rPr>
                <w:rFonts w:eastAsiaTheme="minorEastAsia"/>
              </w:rPr>
            </w:pPr>
            <w:r>
              <w:rPr>
                <w:rFonts w:hint="eastAsia"/>
              </w:rPr>
              <w:t>53.2</w:t>
            </w:r>
          </w:p>
        </w:tc>
        <w:tc>
          <w:tcPr>
            <w:tcW w:w="1843" w:type="dxa"/>
            <w:shd w:val="clear" w:color="000000" w:fill="FFFFFF"/>
            <w:tcMar>
              <w:left w:w="108" w:type="dxa"/>
              <w:right w:w="108" w:type="dxa"/>
            </w:tcMar>
            <w:vAlign w:val="center"/>
          </w:tcPr>
          <w:p w14:paraId="3D1F096A" w14:textId="77777777" w:rsidR="00E579B9" w:rsidRDefault="006A1398" w:rsidP="00D8577A">
            <w:pPr>
              <w:pStyle w:val="aa"/>
              <w:rPr>
                <w:rFonts w:eastAsiaTheme="minorEastAsia"/>
              </w:rPr>
            </w:pPr>
            <w:r>
              <w:rPr>
                <w:rFonts w:hint="eastAsia"/>
              </w:rPr>
              <w:t>53.1</w:t>
            </w:r>
          </w:p>
        </w:tc>
        <w:tc>
          <w:tcPr>
            <w:tcW w:w="1843" w:type="dxa"/>
            <w:shd w:val="clear" w:color="000000" w:fill="FFFFFF"/>
            <w:tcMar>
              <w:left w:w="108" w:type="dxa"/>
              <w:right w:w="108" w:type="dxa"/>
            </w:tcMar>
            <w:vAlign w:val="center"/>
          </w:tcPr>
          <w:p w14:paraId="6AB90ADC" w14:textId="77777777" w:rsidR="00E579B9" w:rsidRDefault="006A1398" w:rsidP="00D8577A">
            <w:pPr>
              <w:pStyle w:val="aa"/>
              <w:rPr>
                <w:rFonts w:eastAsiaTheme="minorEastAsia"/>
              </w:rPr>
            </w:pPr>
            <w:r>
              <w:rPr>
                <w:rFonts w:hint="eastAsia"/>
              </w:rPr>
              <w:t>41.4</w:t>
            </w:r>
          </w:p>
        </w:tc>
        <w:tc>
          <w:tcPr>
            <w:tcW w:w="1843" w:type="dxa"/>
            <w:shd w:val="clear" w:color="000000" w:fill="FFFFFF"/>
            <w:tcMar>
              <w:left w:w="108" w:type="dxa"/>
              <w:right w:w="108" w:type="dxa"/>
            </w:tcMar>
            <w:vAlign w:val="center"/>
          </w:tcPr>
          <w:p w14:paraId="57E29494" w14:textId="77777777" w:rsidR="00E579B9" w:rsidRDefault="006A1398" w:rsidP="00D8577A">
            <w:pPr>
              <w:pStyle w:val="aa"/>
              <w:rPr>
                <w:rFonts w:eastAsiaTheme="minorEastAsia"/>
              </w:rPr>
            </w:pPr>
            <w:r>
              <w:rPr>
                <w:rFonts w:hint="eastAsia"/>
              </w:rPr>
              <w:t>42.5</w:t>
            </w:r>
          </w:p>
        </w:tc>
      </w:tr>
      <w:tr w:rsidR="00E579B9" w14:paraId="7A8EB5B8" w14:textId="77777777" w:rsidTr="00D8577A">
        <w:trPr>
          <w:trHeight w:val="595"/>
          <w:jc w:val="center"/>
        </w:trPr>
        <w:tc>
          <w:tcPr>
            <w:tcW w:w="1514" w:type="dxa"/>
            <w:shd w:val="clear" w:color="000000" w:fill="FFFFFF"/>
            <w:tcMar>
              <w:left w:w="108" w:type="dxa"/>
              <w:right w:w="108" w:type="dxa"/>
            </w:tcMar>
            <w:vAlign w:val="center"/>
          </w:tcPr>
          <w:p w14:paraId="600E9417" w14:textId="77777777" w:rsidR="00E579B9" w:rsidRDefault="006A1398" w:rsidP="00D8577A">
            <w:pPr>
              <w:pStyle w:val="aa"/>
            </w:pPr>
            <w:r>
              <w:rPr>
                <w:rFonts w:hint="eastAsia"/>
                <w:color w:val="000000"/>
              </w:rPr>
              <w:t>矿区</w:t>
            </w:r>
            <w:r>
              <w:t>南厂界</w:t>
            </w:r>
          </w:p>
        </w:tc>
        <w:tc>
          <w:tcPr>
            <w:tcW w:w="1741" w:type="dxa"/>
            <w:shd w:val="clear" w:color="000000" w:fill="FFFFFF"/>
            <w:tcMar>
              <w:left w:w="108" w:type="dxa"/>
              <w:right w:w="108" w:type="dxa"/>
            </w:tcMar>
            <w:vAlign w:val="center"/>
          </w:tcPr>
          <w:p w14:paraId="2A540F39" w14:textId="77777777" w:rsidR="00E579B9" w:rsidRDefault="006A1398" w:rsidP="00D8577A">
            <w:pPr>
              <w:pStyle w:val="aa"/>
              <w:rPr>
                <w:rFonts w:eastAsiaTheme="minorEastAsia"/>
              </w:rPr>
            </w:pPr>
            <w:r>
              <w:rPr>
                <w:rFonts w:hint="eastAsia"/>
              </w:rPr>
              <w:t>52.1</w:t>
            </w:r>
          </w:p>
        </w:tc>
        <w:tc>
          <w:tcPr>
            <w:tcW w:w="1843" w:type="dxa"/>
            <w:shd w:val="clear" w:color="000000" w:fill="FFFFFF"/>
            <w:tcMar>
              <w:left w:w="108" w:type="dxa"/>
              <w:right w:w="108" w:type="dxa"/>
            </w:tcMar>
            <w:vAlign w:val="center"/>
          </w:tcPr>
          <w:p w14:paraId="75D8C184" w14:textId="77777777" w:rsidR="00E579B9" w:rsidRDefault="006A1398" w:rsidP="00D8577A">
            <w:pPr>
              <w:pStyle w:val="aa"/>
              <w:rPr>
                <w:rFonts w:eastAsiaTheme="minorEastAsia"/>
              </w:rPr>
            </w:pPr>
            <w:r>
              <w:rPr>
                <w:rFonts w:hint="eastAsia"/>
              </w:rPr>
              <w:t>52.3</w:t>
            </w:r>
          </w:p>
        </w:tc>
        <w:tc>
          <w:tcPr>
            <w:tcW w:w="1843" w:type="dxa"/>
            <w:shd w:val="clear" w:color="000000" w:fill="FFFFFF"/>
            <w:tcMar>
              <w:left w:w="108" w:type="dxa"/>
              <w:right w:w="108" w:type="dxa"/>
            </w:tcMar>
            <w:vAlign w:val="center"/>
          </w:tcPr>
          <w:p w14:paraId="1784CD8E" w14:textId="77777777" w:rsidR="00E579B9" w:rsidRDefault="006A1398" w:rsidP="00D8577A">
            <w:pPr>
              <w:pStyle w:val="aa"/>
              <w:rPr>
                <w:rFonts w:eastAsiaTheme="minorEastAsia"/>
              </w:rPr>
            </w:pPr>
            <w:r>
              <w:rPr>
                <w:rFonts w:hint="eastAsia"/>
              </w:rPr>
              <w:t>42.1</w:t>
            </w:r>
          </w:p>
        </w:tc>
        <w:tc>
          <w:tcPr>
            <w:tcW w:w="1843" w:type="dxa"/>
            <w:shd w:val="clear" w:color="000000" w:fill="FFFFFF"/>
            <w:tcMar>
              <w:left w:w="108" w:type="dxa"/>
              <w:right w:w="108" w:type="dxa"/>
            </w:tcMar>
            <w:vAlign w:val="center"/>
          </w:tcPr>
          <w:p w14:paraId="5CCE89F0" w14:textId="77777777" w:rsidR="00E579B9" w:rsidRDefault="006A1398" w:rsidP="00D8577A">
            <w:pPr>
              <w:pStyle w:val="aa"/>
              <w:rPr>
                <w:rFonts w:eastAsiaTheme="minorEastAsia"/>
              </w:rPr>
            </w:pPr>
            <w:r>
              <w:rPr>
                <w:rFonts w:hint="eastAsia"/>
              </w:rPr>
              <w:t>42.3</w:t>
            </w:r>
          </w:p>
        </w:tc>
      </w:tr>
      <w:tr w:rsidR="00E579B9" w14:paraId="6932B7A2" w14:textId="77777777" w:rsidTr="00D8577A">
        <w:trPr>
          <w:trHeight w:val="635"/>
          <w:jc w:val="center"/>
        </w:trPr>
        <w:tc>
          <w:tcPr>
            <w:tcW w:w="1514" w:type="dxa"/>
            <w:shd w:val="clear" w:color="000000" w:fill="FFFFFF"/>
            <w:tcMar>
              <w:left w:w="108" w:type="dxa"/>
              <w:right w:w="108" w:type="dxa"/>
            </w:tcMar>
            <w:vAlign w:val="center"/>
          </w:tcPr>
          <w:p w14:paraId="4FDE4582" w14:textId="77777777" w:rsidR="00E579B9" w:rsidRDefault="006A1398" w:rsidP="00D8577A">
            <w:pPr>
              <w:pStyle w:val="aa"/>
            </w:pPr>
            <w:r>
              <w:rPr>
                <w:rFonts w:hint="eastAsia"/>
                <w:color w:val="000000"/>
              </w:rPr>
              <w:t>矿区</w:t>
            </w:r>
            <w:r>
              <w:t>西厂界</w:t>
            </w:r>
          </w:p>
        </w:tc>
        <w:tc>
          <w:tcPr>
            <w:tcW w:w="1741" w:type="dxa"/>
            <w:shd w:val="clear" w:color="000000" w:fill="FFFFFF"/>
            <w:tcMar>
              <w:left w:w="108" w:type="dxa"/>
              <w:right w:w="108" w:type="dxa"/>
            </w:tcMar>
            <w:vAlign w:val="center"/>
          </w:tcPr>
          <w:p w14:paraId="1D1D7B33" w14:textId="77777777" w:rsidR="00E579B9" w:rsidRDefault="006A1398" w:rsidP="00D8577A">
            <w:pPr>
              <w:pStyle w:val="aa"/>
              <w:rPr>
                <w:rFonts w:eastAsiaTheme="minorEastAsia"/>
              </w:rPr>
            </w:pPr>
            <w:r>
              <w:rPr>
                <w:rFonts w:hint="eastAsia"/>
              </w:rPr>
              <w:t>51.5</w:t>
            </w:r>
          </w:p>
        </w:tc>
        <w:tc>
          <w:tcPr>
            <w:tcW w:w="1843" w:type="dxa"/>
            <w:shd w:val="clear" w:color="000000" w:fill="FFFFFF"/>
            <w:tcMar>
              <w:left w:w="108" w:type="dxa"/>
              <w:right w:w="108" w:type="dxa"/>
            </w:tcMar>
            <w:vAlign w:val="center"/>
          </w:tcPr>
          <w:p w14:paraId="0F0C0762" w14:textId="77777777" w:rsidR="00E579B9" w:rsidRDefault="006A1398" w:rsidP="00D8577A">
            <w:pPr>
              <w:pStyle w:val="aa"/>
            </w:pPr>
            <w:r>
              <w:rPr>
                <w:rFonts w:hint="eastAsia"/>
              </w:rPr>
              <w:t>52.2</w:t>
            </w:r>
          </w:p>
        </w:tc>
        <w:tc>
          <w:tcPr>
            <w:tcW w:w="1843" w:type="dxa"/>
            <w:shd w:val="clear" w:color="000000" w:fill="FFFFFF"/>
            <w:tcMar>
              <w:left w:w="108" w:type="dxa"/>
              <w:right w:w="108" w:type="dxa"/>
            </w:tcMar>
            <w:vAlign w:val="center"/>
          </w:tcPr>
          <w:p w14:paraId="5B83E263" w14:textId="77777777" w:rsidR="00E579B9" w:rsidRDefault="006A1398" w:rsidP="00D8577A">
            <w:pPr>
              <w:pStyle w:val="aa"/>
              <w:rPr>
                <w:rFonts w:eastAsiaTheme="minorEastAsia"/>
              </w:rPr>
            </w:pPr>
            <w:r>
              <w:rPr>
                <w:rFonts w:hint="eastAsia"/>
              </w:rPr>
              <w:t>42.3</w:t>
            </w:r>
          </w:p>
        </w:tc>
        <w:tc>
          <w:tcPr>
            <w:tcW w:w="1843" w:type="dxa"/>
            <w:shd w:val="clear" w:color="000000" w:fill="FFFFFF"/>
            <w:tcMar>
              <w:left w:w="108" w:type="dxa"/>
              <w:right w:w="108" w:type="dxa"/>
            </w:tcMar>
            <w:vAlign w:val="center"/>
          </w:tcPr>
          <w:p w14:paraId="6D90DB1C" w14:textId="77777777" w:rsidR="00E579B9" w:rsidRDefault="006A1398" w:rsidP="00D8577A">
            <w:pPr>
              <w:pStyle w:val="aa"/>
              <w:rPr>
                <w:rFonts w:eastAsiaTheme="minorEastAsia"/>
              </w:rPr>
            </w:pPr>
            <w:r>
              <w:rPr>
                <w:rFonts w:hint="eastAsia"/>
              </w:rPr>
              <w:t>41.8</w:t>
            </w:r>
          </w:p>
        </w:tc>
      </w:tr>
      <w:tr w:rsidR="00E579B9" w14:paraId="6DA29985" w14:textId="77777777" w:rsidTr="00D8577A">
        <w:trPr>
          <w:trHeight w:val="590"/>
          <w:jc w:val="center"/>
        </w:trPr>
        <w:tc>
          <w:tcPr>
            <w:tcW w:w="1514" w:type="dxa"/>
            <w:shd w:val="clear" w:color="000000" w:fill="FFFFFF"/>
            <w:tcMar>
              <w:left w:w="108" w:type="dxa"/>
              <w:right w:w="108" w:type="dxa"/>
            </w:tcMar>
            <w:vAlign w:val="center"/>
          </w:tcPr>
          <w:p w14:paraId="59BBA26F" w14:textId="77777777" w:rsidR="00E579B9" w:rsidRDefault="006A1398" w:rsidP="00D8577A">
            <w:pPr>
              <w:pStyle w:val="aa"/>
            </w:pPr>
            <w:r>
              <w:rPr>
                <w:rFonts w:hint="eastAsia"/>
                <w:color w:val="000000"/>
              </w:rPr>
              <w:t>矿区</w:t>
            </w:r>
            <w:r>
              <w:t>北厂界</w:t>
            </w:r>
          </w:p>
        </w:tc>
        <w:tc>
          <w:tcPr>
            <w:tcW w:w="1741" w:type="dxa"/>
            <w:shd w:val="clear" w:color="000000" w:fill="FFFFFF"/>
            <w:tcMar>
              <w:left w:w="108" w:type="dxa"/>
              <w:right w:w="108" w:type="dxa"/>
            </w:tcMar>
            <w:vAlign w:val="center"/>
          </w:tcPr>
          <w:p w14:paraId="0E535B56" w14:textId="77777777" w:rsidR="00E579B9" w:rsidRDefault="006A1398" w:rsidP="00D8577A">
            <w:pPr>
              <w:pStyle w:val="aa"/>
              <w:rPr>
                <w:rFonts w:eastAsiaTheme="minorEastAsia"/>
              </w:rPr>
            </w:pPr>
            <w:r>
              <w:rPr>
                <w:rFonts w:hint="eastAsia"/>
              </w:rPr>
              <w:t>52.4</w:t>
            </w:r>
          </w:p>
        </w:tc>
        <w:tc>
          <w:tcPr>
            <w:tcW w:w="1843" w:type="dxa"/>
            <w:shd w:val="clear" w:color="000000" w:fill="FFFFFF"/>
            <w:tcMar>
              <w:left w:w="108" w:type="dxa"/>
              <w:right w:w="108" w:type="dxa"/>
            </w:tcMar>
            <w:vAlign w:val="center"/>
          </w:tcPr>
          <w:p w14:paraId="2EE3B202" w14:textId="77777777" w:rsidR="00E579B9" w:rsidRDefault="006A1398" w:rsidP="00D8577A">
            <w:pPr>
              <w:pStyle w:val="aa"/>
              <w:rPr>
                <w:rFonts w:eastAsiaTheme="minorEastAsia"/>
              </w:rPr>
            </w:pPr>
            <w:r>
              <w:rPr>
                <w:rFonts w:hint="eastAsia"/>
              </w:rPr>
              <w:t>51.9</w:t>
            </w:r>
          </w:p>
        </w:tc>
        <w:tc>
          <w:tcPr>
            <w:tcW w:w="1843" w:type="dxa"/>
            <w:shd w:val="clear" w:color="000000" w:fill="FFFFFF"/>
            <w:tcMar>
              <w:left w:w="108" w:type="dxa"/>
              <w:right w:w="108" w:type="dxa"/>
            </w:tcMar>
            <w:vAlign w:val="center"/>
          </w:tcPr>
          <w:p w14:paraId="7030C04E" w14:textId="77777777" w:rsidR="00E579B9" w:rsidRDefault="006A1398" w:rsidP="00D8577A">
            <w:pPr>
              <w:pStyle w:val="aa"/>
              <w:rPr>
                <w:rFonts w:eastAsiaTheme="minorEastAsia"/>
              </w:rPr>
            </w:pPr>
            <w:r>
              <w:rPr>
                <w:rFonts w:hint="eastAsia"/>
              </w:rPr>
              <w:t>41.9</w:t>
            </w:r>
          </w:p>
        </w:tc>
        <w:tc>
          <w:tcPr>
            <w:tcW w:w="1843" w:type="dxa"/>
            <w:shd w:val="clear" w:color="000000" w:fill="FFFFFF"/>
            <w:tcMar>
              <w:left w:w="108" w:type="dxa"/>
              <w:right w:w="108" w:type="dxa"/>
            </w:tcMar>
            <w:vAlign w:val="center"/>
          </w:tcPr>
          <w:p w14:paraId="194E586A" w14:textId="77777777" w:rsidR="00E579B9" w:rsidRDefault="006A1398" w:rsidP="00D8577A">
            <w:pPr>
              <w:pStyle w:val="aa"/>
              <w:rPr>
                <w:rFonts w:eastAsiaTheme="minorEastAsia"/>
              </w:rPr>
            </w:pPr>
            <w:r>
              <w:rPr>
                <w:rFonts w:hint="eastAsia"/>
              </w:rPr>
              <w:t>41.7</w:t>
            </w:r>
          </w:p>
        </w:tc>
      </w:tr>
      <w:tr w:rsidR="00E579B9" w14:paraId="12773DA5" w14:textId="77777777" w:rsidTr="00D8577A">
        <w:trPr>
          <w:trHeight w:val="590"/>
          <w:jc w:val="center"/>
        </w:trPr>
        <w:tc>
          <w:tcPr>
            <w:tcW w:w="1514" w:type="dxa"/>
            <w:shd w:val="clear" w:color="000000" w:fill="FFFFFF"/>
            <w:tcMar>
              <w:left w:w="108" w:type="dxa"/>
              <w:right w:w="108" w:type="dxa"/>
            </w:tcMar>
            <w:vAlign w:val="center"/>
          </w:tcPr>
          <w:p w14:paraId="11E87A4E" w14:textId="77777777" w:rsidR="00E579B9" w:rsidRDefault="006A1398" w:rsidP="00D8577A">
            <w:pPr>
              <w:pStyle w:val="aa"/>
              <w:rPr>
                <w:color w:val="000000"/>
              </w:rPr>
            </w:pPr>
            <w:r>
              <w:rPr>
                <w:rFonts w:hint="eastAsia"/>
                <w:color w:val="000000"/>
              </w:rPr>
              <w:t>破碎</w:t>
            </w:r>
            <w:r>
              <w:rPr>
                <w:color w:val="000000"/>
              </w:rPr>
              <w:t>加工区</w:t>
            </w:r>
            <w:r>
              <w:t>东厂界</w:t>
            </w:r>
          </w:p>
        </w:tc>
        <w:tc>
          <w:tcPr>
            <w:tcW w:w="1741" w:type="dxa"/>
            <w:shd w:val="clear" w:color="000000" w:fill="FFFFFF"/>
            <w:tcMar>
              <w:left w:w="108" w:type="dxa"/>
              <w:right w:w="108" w:type="dxa"/>
            </w:tcMar>
            <w:vAlign w:val="center"/>
          </w:tcPr>
          <w:p w14:paraId="1EA8C6E6" w14:textId="77777777" w:rsidR="00E579B9" w:rsidRDefault="006A1398" w:rsidP="00D8577A">
            <w:pPr>
              <w:pStyle w:val="aa"/>
            </w:pPr>
            <w:r>
              <w:rPr>
                <w:rFonts w:hint="eastAsia"/>
              </w:rPr>
              <w:t>51.3</w:t>
            </w:r>
          </w:p>
        </w:tc>
        <w:tc>
          <w:tcPr>
            <w:tcW w:w="1843" w:type="dxa"/>
            <w:shd w:val="clear" w:color="000000" w:fill="FFFFFF"/>
            <w:tcMar>
              <w:left w:w="108" w:type="dxa"/>
              <w:right w:w="108" w:type="dxa"/>
            </w:tcMar>
            <w:vAlign w:val="center"/>
          </w:tcPr>
          <w:p w14:paraId="4BE320BF" w14:textId="77777777" w:rsidR="00E579B9" w:rsidRDefault="006A1398" w:rsidP="00D8577A">
            <w:pPr>
              <w:pStyle w:val="aa"/>
            </w:pPr>
            <w:r>
              <w:rPr>
                <w:rFonts w:hint="eastAsia"/>
              </w:rPr>
              <w:t>53.2</w:t>
            </w:r>
          </w:p>
        </w:tc>
        <w:tc>
          <w:tcPr>
            <w:tcW w:w="1843" w:type="dxa"/>
            <w:shd w:val="clear" w:color="000000" w:fill="FFFFFF"/>
            <w:tcMar>
              <w:left w:w="108" w:type="dxa"/>
              <w:right w:w="108" w:type="dxa"/>
            </w:tcMar>
            <w:vAlign w:val="center"/>
          </w:tcPr>
          <w:p w14:paraId="636C2C41" w14:textId="77777777" w:rsidR="00E579B9" w:rsidRDefault="006A1398" w:rsidP="00D8577A">
            <w:pPr>
              <w:pStyle w:val="aa"/>
            </w:pPr>
            <w:r>
              <w:rPr>
                <w:rFonts w:hint="eastAsia"/>
              </w:rPr>
              <w:t>42.5</w:t>
            </w:r>
          </w:p>
        </w:tc>
        <w:tc>
          <w:tcPr>
            <w:tcW w:w="1843" w:type="dxa"/>
            <w:shd w:val="clear" w:color="000000" w:fill="FFFFFF"/>
            <w:tcMar>
              <w:left w:w="108" w:type="dxa"/>
              <w:right w:w="108" w:type="dxa"/>
            </w:tcMar>
            <w:vAlign w:val="center"/>
          </w:tcPr>
          <w:p w14:paraId="47EAB6E5" w14:textId="77777777" w:rsidR="00E579B9" w:rsidRDefault="006A1398" w:rsidP="00D8577A">
            <w:pPr>
              <w:pStyle w:val="aa"/>
            </w:pPr>
            <w:r>
              <w:rPr>
                <w:rFonts w:hint="eastAsia"/>
              </w:rPr>
              <w:t>42.4</w:t>
            </w:r>
          </w:p>
        </w:tc>
      </w:tr>
      <w:tr w:rsidR="00E579B9" w14:paraId="21A8726C" w14:textId="77777777" w:rsidTr="00D8577A">
        <w:trPr>
          <w:trHeight w:val="590"/>
          <w:jc w:val="center"/>
        </w:trPr>
        <w:tc>
          <w:tcPr>
            <w:tcW w:w="1514" w:type="dxa"/>
            <w:shd w:val="clear" w:color="000000" w:fill="FFFFFF"/>
            <w:tcMar>
              <w:left w:w="108" w:type="dxa"/>
              <w:right w:w="108" w:type="dxa"/>
            </w:tcMar>
            <w:vAlign w:val="center"/>
          </w:tcPr>
          <w:p w14:paraId="03849D3D" w14:textId="77777777" w:rsidR="00E579B9" w:rsidRDefault="006A1398" w:rsidP="00D8577A">
            <w:pPr>
              <w:pStyle w:val="aa"/>
              <w:rPr>
                <w:color w:val="000000"/>
              </w:rPr>
            </w:pPr>
            <w:r>
              <w:rPr>
                <w:rFonts w:hint="eastAsia"/>
                <w:color w:val="000000"/>
              </w:rPr>
              <w:t>破碎</w:t>
            </w:r>
            <w:r>
              <w:rPr>
                <w:color w:val="000000"/>
              </w:rPr>
              <w:t>加工区</w:t>
            </w:r>
            <w:r>
              <w:rPr>
                <w:rFonts w:hint="eastAsia"/>
                <w:color w:val="000000"/>
              </w:rPr>
              <w:t>南</w:t>
            </w:r>
            <w:r>
              <w:t>厂界</w:t>
            </w:r>
          </w:p>
        </w:tc>
        <w:tc>
          <w:tcPr>
            <w:tcW w:w="1741" w:type="dxa"/>
            <w:shd w:val="clear" w:color="000000" w:fill="FFFFFF"/>
            <w:tcMar>
              <w:left w:w="108" w:type="dxa"/>
              <w:right w:w="108" w:type="dxa"/>
            </w:tcMar>
            <w:vAlign w:val="center"/>
          </w:tcPr>
          <w:p w14:paraId="1190ECC7" w14:textId="77777777" w:rsidR="00E579B9" w:rsidRDefault="006A1398" w:rsidP="00D8577A">
            <w:pPr>
              <w:pStyle w:val="aa"/>
            </w:pPr>
            <w:r>
              <w:rPr>
                <w:rFonts w:hint="eastAsia"/>
              </w:rPr>
              <w:t>52.2</w:t>
            </w:r>
          </w:p>
        </w:tc>
        <w:tc>
          <w:tcPr>
            <w:tcW w:w="1843" w:type="dxa"/>
            <w:shd w:val="clear" w:color="000000" w:fill="FFFFFF"/>
            <w:tcMar>
              <w:left w:w="108" w:type="dxa"/>
              <w:right w:w="108" w:type="dxa"/>
            </w:tcMar>
            <w:vAlign w:val="center"/>
          </w:tcPr>
          <w:p w14:paraId="7FD849EF" w14:textId="77777777" w:rsidR="00E579B9" w:rsidRDefault="006A1398" w:rsidP="00D8577A">
            <w:pPr>
              <w:pStyle w:val="aa"/>
            </w:pPr>
            <w:r>
              <w:rPr>
                <w:rFonts w:hint="eastAsia"/>
              </w:rPr>
              <w:t>51.7</w:t>
            </w:r>
          </w:p>
        </w:tc>
        <w:tc>
          <w:tcPr>
            <w:tcW w:w="1843" w:type="dxa"/>
            <w:shd w:val="clear" w:color="000000" w:fill="FFFFFF"/>
            <w:tcMar>
              <w:left w:w="108" w:type="dxa"/>
              <w:right w:w="108" w:type="dxa"/>
            </w:tcMar>
            <w:vAlign w:val="center"/>
          </w:tcPr>
          <w:p w14:paraId="27994625" w14:textId="77777777" w:rsidR="00E579B9" w:rsidRDefault="006A1398" w:rsidP="00D8577A">
            <w:pPr>
              <w:pStyle w:val="aa"/>
            </w:pPr>
            <w:r>
              <w:rPr>
                <w:rFonts w:hint="eastAsia"/>
              </w:rPr>
              <w:t>43.1</w:t>
            </w:r>
          </w:p>
        </w:tc>
        <w:tc>
          <w:tcPr>
            <w:tcW w:w="1843" w:type="dxa"/>
            <w:shd w:val="clear" w:color="000000" w:fill="FFFFFF"/>
            <w:tcMar>
              <w:left w:w="108" w:type="dxa"/>
              <w:right w:w="108" w:type="dxa"/>
            </w:tcMar>
            <w:vAlign w:val="center"/>
          </w:tcPr>
          <w:p w14:paraId="3E24B7B5" w14:textId="77777777" w:rsidR="00E579B9" w:rsidRDefault="006A1398" w:rsidP="00D8577A">
            <w:pPr>
              <w:pStyle w:val="aa"/>
            </w:pPr>
            <w:r>
              <w:rPr>
                <w:rFonts w:hint="eastAsia"/>
              </w:rPr>
              <w:t>42.6</w:t>
            </w:r>
          </w:p>
        </w:tc>
      </w:tr>
      <w:tr w:rsidR="00E579B9" w14:paraId="15A5E65B" w14:textId="77777777" w:rsidTr="00D8577A">
        <w:trPr>
          <w:trHeight w:val="590"/>
          <w:jc w:val="center"/>
        </w:trPr>
        <w:tc>
          <w:tcPr>
            <w:tcW w:w="1514" w:type="dxa"/>
            <w:shd w:val="clear" w:color="000000" w:fill="FFFFFF"/>
            <w:tcMar>
              <w:left w:w="108" w:type="dxa"/>
              <w:right w:w="108" w:type="dxa"/>
            </w:tcMar>
            <w:vAlign w:val="center"/>
          </w:tcPr>
          <w:p w14:paraId="563A60A4" w14:textId="77777777" w:rsidR="00E579B9" w:rsidRDefault="006A1398" w:rsidP="00D8577A">
            <w:pPr>
              <w:pStyle w:val="aa"/>
              <w:rPr>
                <w:color w:val="000000"/>
              </w:rPr>
            </w:pPr>
            <w:r>
              <w:rPr>
                <w:rFonts w:hint="eastAsia"/>
                <w:color w:val="000000"/>
              </w:rPr>
              <w:t>破碎</w:t>
            </w:r>
            <w:r>
              <w:rPr>
                <w:color w:val="000000"/>
              </w:rPr>
              <w:t>加工区</w:t>
            </w:r>
            <w:r>
              <w:rPr>
                <w:rFonts w:hint="eastAsia"/>
                <w:color w:val="000000"/>
              </w:rPr>
              <w:t>西</w:t>
            </w:r>
            <w:r>
              <w:t>厂界</w:t>
            </w:r>
          </w:p>
        </w:tc>
        <w:tc>
          <w:tcPr>
            <w:tcW w:w="1741" w:type="dxa"/>
            <w:shd w:val="clear" w:color="000000" w:fill="FFFFFF"/>
            <w:tcMar>
              <w:left w:w="108" w:type="dxa"/>
              <w:right w:w="108" w:type="dxa"/>
            </w:tcMar>
            <w:vAlign w:val="center"/>
          </w:tcPr>
          <w:p w14:paraId="189A5164" w14:textId="77777777" w:rsidR="00E579B9" w:rsidRDefault="006A1398" w:rsidP="00D8577A">
            <w:pPr>
              <w:pStyle w:val="aa"/>
            </w:pPr>
            <w:r>
              <w:rPr>
                <w:rFonts w:hint="eastAsia"/>
              </w:rPr>
              <w:t>52.5</w:t>
            </w:r>
          </w:p>
        </w:tc>
        <w:tc>
          <w:tcPr>
            <w:tcW w:w="1843" w:type="dxa"/>
            <w:shd w:val="clear" w:color="000000" w:fill="FFFFFF"/>
            <w:tcMar>
              <w:left w:w="108" w:type="dxa"/>
              <w:right w:w="108" w:type="dxa"/>
            </w:tcMar>
            <w:vAlign w:val="center"/>
          </w:tcPr>
          <w:p w14:paraId="73312CB0" w14:textId="77777777" w:rsidR="00E579B9" w:rsidRDefault="006A1398" w:rsidP="00D8577A">
            <w:pPr>
              <w:pStyle w:val="aa"/>
            </w:pPr>
            <w:r>
              <w:rPr>
                <w:rFonts w:hint="eastAsia"/>
              </w:rPr>
              <w:t>52.6</w:t>
            </w:r>
          </w:p>
        </w:tc>
        <w:tc>
          <w:tcPr>
            <w:tcW w:w="1843" w:type="dxa"/>
            <w:shd w:val="clear" w:color="000000" w:fill="FFFFFF"/>
            <w:tcMar>
              <w:left w:w="108" w:type="dxa"/>
              <w:right w:w="108" w:type="dxa"/>
            </w:tcMar>
            <w:vAlign w:val="center"/>
          </w:tcPr>
          <w:p w14:paraId="408C4117" w14:textId="77777777" w:rsidR="00E579B9" w:rsidRDefault="006A1398" w:rsidP="00D8577A">
            <w:pPr>
              <w:pStyle w:val="aa"/>
            </w:pPr>
            <w:r>
              <w:rPr>
                <w:rFonts w:hint="eastAsia"/>
              </w:rPr>
              <w:t>41.8</w:t>
            </w:r>
          </w:p>
        </w:tc>
        <w:tc>
          <w:tcPr>
            <w:tcW w:w="1843" w:type="dxa"/>
            <w:shd w:val="clear" w:color="000000" w:fill="FFFFFF"/>
            <w:tcMar>
              <w:left w:w="108" w:type="dxa"/>
              <w:right w:w="108" w:type="dxa"/>
            </w:tcMar>
            <w:vAlign w:val="center"/>
          </w:tcPr>
          <w:p w14:paraId="5FA9F196" w14:textId="77777777" w:rsidR="00E579B9" w:rsidRDefault="006A1398" w:rsidP="00D8577A">
            <w:pPr>
              <w:pStyle w:val="aa"/>
            </w:pPr>
            <w:r>
              <w:rPr>
                <w:rFonts w:hint="eastAsia"/>
              </w:rPr>
              <w:t>43.0</w:t>
            </w:r>
          </w:p>
        </w:tc>
      </w:tr>
      <w:tr w:rsidR="00E579B9" w14:paraId="01FBADA9" w14:textId="77777777" w:rsidTr="00D8577A">
        <w:trPr>
          <w:trHeight w:val="590"/>
          <w:jc w:val="center"/>
        </w:trPr>
        <w:tc>
          <w:tcPr>
            <w:tcW w:w="1514" w:type="dxa"/>
            <w:shd w:val="clear" w:color="000000" w:fill="FFFFFF"/>
            <w:tcMar>
              <w:left w:w="108" w:type="dxa"/>
              <w:right w:w="108" w:type="dxa"/>
            </w:tcMar>
            <w:vAlign w:val="center"/>
          </w:tcPr>
          <w:p w14:paraId="1882E2E3" w14:textId="77777777" w:rsidR="00E579B9" w:rsidRDefault="006A1398" w:rsidP="00D8577A">
            <w:pPr>
              <w:pStyle w:val="aa"/>
              <w:rPr>
                <w:color w:val="000000"/>
              </w:rPr>
            </w:pPr>
            <w:r>
              <w:rPr>
                <w:rFonts w:hint="eastAsia"/>
                <w:color w:val="000000"/>
              </w:rPr>
              <w:t>破碎</w:t>
            </w:r>
            <w:r>
              <w:rPr>
                <w:color w:val="000000"/>
              </w:rPr>
              <w:t>加工区</w:t>
            </w:r>
            <w:r>
              <w:rPr>
                <w:rFonts w:hint="eastAsia"/>
                <w:color w:val="000000"/>
              </w:rPr>
              <w:t>北</w:t>
            </w:r>
            <w:r>
              <w:t>厂界</w:t>
            </w:r>
          </w:p>
        </w:tc>
        <w:tc>
          <w:tcPr>
            <w:tcW w:w="1741" w:type="dxa"/>
            <w:shd w:val="clear" w:color="000000" w:fill="FFFFFF"/>
            <w:tcMar>
              <w:left w:w="108" w:type="dxa"/>
              <w:right w:w="108" w:type="dxa"/>
            </w:tcMar>
            <w:vAlign w:val="center"/>
          </w:tcPr>
          <w:p w14:paraId="7046F049" w14:textId="77777777" w:rsidR="00E579B9" w:rsidRDefault="006A1398" w:rsidP="00D8577A">
            <w:pPr>
              <w:pStyle w:val="aa"/>
            </w:pPr>
            <w:r>
              <w:rPr>
                <w:rFonts w:hint="eastAsia"/>
              </w:rPr>
              <w:t>53.4</w:t>
            </w:r>
          </w:p>
        </w:tc>
        <w:tc>
          <w:tcPr>
            <w:tcW w:w="1843" w:type="dxa"/>
            <w:shd w:val="clear" w:color="000000" w:fill="FFFFFF"/>
            <w:tcMar>
              <w:left w:w="108" w:type="dxa"/>
              <w:right w:w="108" w:type="dxa"/>
            </w:tcMar>
            <w:vAlign w:val="center"/>
          </w:tcPr>
          <w:p w14:paraId="6C7D07D8" w14:textId="77777777" w:rsidR="00E579B9" w:rsidRDefault="006A1398" w:rsidP="00D8577A">
            <w:pPr>
              <w:pStyle w:val="aa"/>
            </w:pPr>
            <w:r>
              <w:rPr>
                <w:rFonts w:hint="eastAsia"/>
              </w:rPr>
              <w:t>52.1</w:t>
            </w:r>
          </w:p>
        </w:tc>
        <w:tc>
          <w:tcPr>
            <w:tcW w:w="1843" w:type="dxa"/>
            <w:shd w:val="clear" w:color="000000" w:fill="FFFFFF"/>
            <w:tcMar>
              <w:left w:w="108" w:type="dxa"/>
              <w:right w:w="108" w:type="dxa"/>
            </w:tcMar>
            <w:vAlign w:val="center"/>
          </w:tcPr>
          <w:p w14:paraId="13A2D5E5" w14:textId="77777777" w:rsidR="00E579B9" w:rsidRDefault="006A1398" w:rsidP="00D8577A">
            <w:pPr>
              <w:pStyle w:val="aa"/>
            </w:pPr>
            <w:r>
              <w:rPr>
                <w:rFonts w:hint="eastAsia"/>
              </w:rPr>
              <w:t>42.4</w:t>
            </w:r>
          </w:p>
        </w:tc>
        <w:tc>
          <w:tcPr>
            <w:tcW w:w="1843" w:type="dxa"/>
            <w:shd w:val="clear" w:color="000000" w:fill="FFFFFF"/>
            <w:tcMar>
              <w:left w:w="108" w:type="dxa"/>
              <w:right w:w="108" w:type="dxa"/>
            </w:tcMar>
            <w:vAlign w:val="center"/>
          </w:tcPr>
          <w:p w14:paraId="68F45F5F" w14:textId="77777777" w:rsidR="00E579B9" w:rsidRDefault="006A1398" w:rsidP="00D8577A">
            <w:pPr>
              <w:pStyle w:val="aa"/>
            </w:pPr>
            <w:r>
              <w:rPr>
                <w:rFonts w:hint="eastAsia"/>
              </w:rPr>
              <w:t>41.9</w:t>
            </w:r>
          </w:p>
        </w:tc>
      </w:tr>
      <w:tr w:rsidR="00E579B9" w14:paraId="6D3BBA24" w14:textId="77777777" w:rsidTr="00D8577A">
        <w:trPr>
          <w:trHeight w:val="590"/>
          <w:jc w:val="center"/>
        </w:trPr>
        <w:tc>
          <w:tcPr>
            <w:tcW w:w="1514" w:type="dxa"/>
            <w:shd w:val="clear" w:color="000000" w:fill="FFFFFF"/>
            <w:tcMar>
              <w:left w:w="108" w:type="dxa"/>
              <w:right w:w="108" w:type="dxa"/>
            </w:tcMar>
            <w:vAlign w:val="center"/>
          </w:tcPr>
          <w:p w14:paraId="2F41E052" w14:textId="77777777" w:rsidR="00E579B9" w:rsidRDefault="006A1398" w:rsidP="00D8577A">
            <w:pPr>
              <w:pStyle w:val="aa"/>
              <w:rPr>
                <w:color w:val="000000"/>
              </w:rPr>
            </w:pPr>
            <w:r>
              <w:rPr>
                <w:rFonts w:hint="eastAsia"/>
                <w:color w:val="000000"/>
              </w:rPr>
              <w:t>标准值</w:t>
            </w:r>
          </w:p>
        </w:tc>
        <w:tc>
          <w:tcPr>
            <w:tcW w:w="1741" w:type="dxa"/>
            <w:shd w:val="clear" w:color="000000" w:fill="FFFFFF"/>
            <w:tcMar>
              <w:left w:w="108" w:type="dxa"/>
              <w:right w:w="108" w:type="dxa"/>
            </w:tcMar>
            <w:vAlign w:val="center"/>
          </w:tcPr>
          <w:p w14:paraId="0D477EEA" w14:textId="77777777" w:rsidR="00E579B9" w:rsidRDefault="006A1398" w:rsidP="00D8577A">
            <w:pPr>
              <w:pStyle w:val="aa"/>
            </w:pPr>
            <w:r>
              <w:rPr>
                <w:rFonts w:hint="eastAsia"/>
              </w:rPr>
              <w:t>60</w:t>
            </w:r>
          </w:p>
        </w:tc>
        <w:tc>
          <w:tcPr>
            <w:tcW w:w="1843" w:type="dxa"/>
            <w:shd w:val="clear" w:color="000000" w:fill="FFFFFF"/>
            <w:tcMar>
              <w:left w:w="108" w:type="dxa"/>
              <w:right w:w="108" w:type="dxa"/>
            </w:tcMar>
            <w:vAlign w:val="center"/>
          </w:tcPr>
          <w:p w14:paraId="0ADC8850" w14:textId="77777777" w:rsidR="00E579B9" w:rsidRDefault="006A1398" w:rsidP="00D8577A">
            <w:pPr>
              <w:pStyle w:val="aa"/>
            </w:pPr>
            <w:r>
              <w:rPr>
                <w:rFonts w:hint="eastAsia"/>
              </w:rPr>
              <w:t>60</w:t>
            </w:r>
          </w:p>
        </w:tc>
        <w:tc>
          <w:tcPr>
            <w:tcW w:w="1843" w:type="dxa"/>
            <w:shd w:val="clear" w:color="000000" w:fill="FFFFFF"/>
            <w:tcMar>
              <w:left w:w="108" w:type="dxa"/>
              <w:right w:w="108" w:type="dxa"/>
            </w:tcMar>
            <w:vAlign w:val="center"/>
          </w:tcPr>
          <w:p w14:paraId="49662C78" w14:textId="77777777" w:rsidR="00E579B9" w:rsidRDefault="006A1398" w:rsidP="00D8577A">
            <w:pPr>
              <w:pStyle w:val="aa"/>
            </w:pPr>
            <w:r>
              <w:rPr>
                <w:rFonts w:hint="eastAsia"/>
              </w:rPr>
              <w:t>50</w:t>
            </w:r>
          </w:p>
        </w:tc>
        <w:tc>
          <w:tcPr>
            <w:tcW w:w="1843" w:type="dxa"/>
            <w:shd w:val="clear" w:color="000000" w:fill="FFFFFF"/>
            <w:tcMar>
              <w:left w:w="108" w:type="dxa"/>
              <w:right w:w="108" w:type="dxa"/>
            </w:tcMar>
            <w:vAlign w:val="center"/>
          </w:tcPr>
          <w:p w14:paraId="6FC4D567" w14:textId="77777777" w:rsidR="00E579B9" w:rsidRDefault="006A1398" w:rsidP="00D8577A">
            <w:pPr>
              <w:pStyle w:val="aa"/>
            </w:pPr>
            <w:r>
              <w:rPr>
                <w:rFonts w:hint="eastAsia"/>
              </w:rPr>
              <w:t>50</w:t>
            </w:r>
          </w:p>
        </w:tc>
      </w:tr>
      <w:tr w:rsidR="00E579B9" w14:paraId="197C83B7" w14:textId="77777777" w:rsidTr="00D8577A">
        <w:trPr>
          <w:trHeight w:val="590"/>
          <w:jc w:val="center"/>
        </w:trPr>
        <w:tc>
          <w:tcPr>
            <w:tcW w:w="1514" w:type="dxa"/>
            <w:shd w:val="clear" w:color="000000" w:fill="FFFFFF"/>
            <w:tcMar>
              <w:left w:w="108" w:type="dxa"/>
              <w:right w:w="108" w:type="dxa"/>
            </w:tcMar>
            <w:vAlign w:val="center"/>
          </w:tcPr>
          <w:p w14:paraId="2760DC4F" w14:textId="77777777" w:rsidR="00E579B9" w:rsidRDefault="006A1398" w:rsidP="00D8577A">
            <w:pPr>
              <w:pStyle w:val="aa"/>
              <w:rPr>
                <w:color w:val="000000"/>
              </w:rPr>
            </w:pPr>
            <w:r>
              <w:rPr>
                <w:rFonts w:hint="eastAsia"/>
                <w:color w:val="000000"/>
              </w:rPr>
              <w:t>是否达标</w:t>
            </w:r>
          </w:p>
        </w:tc>
        <w:tc>
          <w:tcPr>
            <w:tcW w:w="1741" w:type="dxa"/>
            <w:shd w:val="clear" w:color="000000" w:fill="FFFFFF"/>
            <w:tcMar>
              <w:left w:w="108" w:type="dxa"/>
              <w:right w:w="108" w:type="dxa"/>
            </w:tcMar>
            <w:vAlign w:val="center"/>
          </w:tcPr>
          <w:p w14:paraId="49F08576" w14:textId="77777777" w:rsidR="00E579B9" w:rsidRDefault="006A1398" w:rsidP="00D8577A">
            <w:pPr>
              <w:pStyle w:val="aa"/>
            </w:pPr>
            <w:r>
              <w:rPr>
                <w:rFonts w:hint="eastAsia"/>
              </w:rPr>
              <w:t>达标</w:t>
            </w:r>
          </w:p>
        </w:tc>
        <w:tc>
          <w:tcPr>
            <w:tcW w:w="1843" w:type="dxa"/>
            <w:shd w:val="clear" w:color="000000" w:fill="FFFFFF"/>
            <w:tcMar>
              <w:left w:w="108" w:type="dxa"/>
              <w:right w:w="108" w:type="dxa"/>
            </w:tcMar>
            <w:vAlign w:val="center"/>
          </w:tcPr>
          <w:p w14:paraId="2B3CD3A3" w14:textId="77777777" w:rsidR="00E579B9" w:rsidRDefault="006A1398" w:rsidP="00D8577A">
            <w:pPr>
              <w:pStyle w:val="aa"/>
            </w:pPr>
            <w:r>
              <w:rPr>
                <w:rFonts w:hint="eastAsia"/>
              </w:rPr>
              <w:t>达标</w:t>
            </w:r>
          </w:p>
        </w:tc>
        <w:tc>
          <w:tcPr>
            <w:tcW w:w="1843" w:type="dxa"/>
            <w:shd w:val="clear" w:color="000000" w:fill="FFFFFF"/>
            <w:tcMar>
              <w:left w:w="108" w:type="dxa"/>
              <w:right w:w="108" w:type="dxa"/>
            </w:tcMar>
            <w:vAlign w:val="center"/>
          </w:tcPr>
          <w:p w14:paraId="578FF0E6" w14:textId="77777777" w:rsidR="00E579B9" w:rsidRDefault="006A1398" w:rsidP="00D8577A">
            <w:pPr>
              <w:pStyle w:val="aa"/>
            </w:pPr>
            <w:r>
              <w:rPr>
                <w:rFonts w:hint="eastAsia"/>
              </w:rPr>
              <w:t>达标</w:t>
            </w:r>
          </w:p>
        </w:tc>
        <w:tc>
          <w:tcPr>
            <w:tcW w:w="1843" w:type="dxa"/>
            <w:shd w:val="clear" w:color="000000" w:fill="FFFFFF"/>
            <w:tcMar>
              <w:left w:w="108" w:type="dxa"/>
              <w:right w:w="108" w:type="dxa"/>
            </w:tcMar>
            <w:vAlign w:val="center"/>
          </w:tcPr>
          <w:p w14:paraId="48199BD8" w14:textId="77777777" w:rsidR="00E579B9" w:rsidRDefault="006A1398" w:rsidP="00D8577A">
            <w:pPr>
              <w:pStyle w:val="aa"/>
            </w:pPr>
            <w:r>
              <w:rPr>
                <w:rFonts w:hint="eastAsia"/>
              </w:rPr>
              <w:t>达标</w:t>
            </w:r>
          </w:p>
        </w:tc>
      </w:tr>
    </w:tbl>
    <w:p w14:paraId="58D5B994" w14:textId="77777777" w:rsidR="00E579B9" w:rsidRDefault="006A1398">
      <w:r>
        <w:t>根据监测统计结果，本项目评价区域各监测点位监测结果满足《声环境质量标准》（</w:t>
      </w:r>
      <w:r>
        <w:t>GB3096-2008</w:t>
      </w:r>
      <w:r>
        <w:t>）中</w:t>
      </w:r>
      <w:r>
        <w:t>2</w:t>
      </w:r>
      <w:r>
        <w:t>类标准（昼间</w:t>
      </w:r>
      <w:r>
        <w:t>60dB</w:t>
      </w:r>
      <w:r>
        <w:t>（</w:t>
      </w:r>
      <w:r>
        <w:t>A</w:t>
      </w:r>
      <w:r>
        <w:t>）和夜间</w:t>
      </w:r>
      <w:r>
        <w:t>50dB</w:t>
      </w:r>
      <w:r>
        <w:t>（</w:t>
      </w:r>
      <w:r>
        <w:t>A</w:t>
      </w:r>
      <w:r>
        <w:t>））限值。</w:t>
      </w:r>
    </w:p>
    <w:p w14:paraId="1A3D4227" w14:textId="77777777" w:rsidR="00E579B9" w:rsidRDefault="006A1398">
      <w:pPr>
        <w:pStyle w:val="3"/>
        <w:ind w:firstLine="560"/>
      </w:pPr>
      <w:bookmarkStart w:id="208" w:name="_Toc531939357"/>
      <w:bookmarkStart w:id="209" w:name="_Toc531939568"/>
      <w:r>
        <w:t>4.3.5</w:t>
      </w:r>
      <w:r>
        <w:t>土壤环境质量现状监测与评价</w:t>
      </w:r>
    </w:p>
    <w:p w14:paraId="3B1F8E69" w14:textId="77777777" w:rsidR="00E579B9" w:rsidRDefault="006A1398">
      <w:pPr>
        <w:rPr>
          <w:rFonts w:ascii="宋体" w:hAnsi="宋体"/>
        </w:rPr>
      </w:pPr>
      <w:r>
        <w:t>4.3.5.1</w:t>
      </w:r>
      <w:r>
        <w:rPr>
          <w:rFonts w:ascii="宋体" w:hAnsi="宋体"/>
        </w:rPr>
        <w:t>监测点位</w:t>
      </w:r>
    </w:p>
    <w:p w14:paraId="44A72D7B" w14:textId="77777777" w:rsidR="00E579B9" w:rsidRDefault="006A1398">
      <w:pPr>
        <w:widowControl w:val="0"/>
        <w:spacing w:line="480" w:lineRule="exact"/>
        <w:jc w:val="both"/>
        <w:rPr>
          <w:rFonts w:cs="Times New Roman"/>
          <w:szCs w:val="24"/>
        </w:rPr>
      </w:pPr>
      <w:r>
        <w:rPr>
          <w:rFonts w:ascii="宋体" w:hAnsi="宋体" w:cs="Times New Roman"/>
          <w:szCs w:val="24"/>
        </w:rPr>
        <w:t>根据本工程特点，土壤现状监测因子确定为：</w:t>
      </w:r>
      <w:r>
        <w:rPr>
          <w:rFonts w:cs="Times New Roman"/>
          <w:szCs w:val="24"/>
        </w:rPr>
        <w:t>pH</w:t>
      </w:r>
      <w:r>
        <w:rPr>
          <w:rFonts w:ascii="宋体" w:hAnsi="宋体" w:cs="Times New Roman" w:hint="eastAsia"/>
          <w:szCs w:val="24"/>
        </w:rPr>
        <w:t>及《土壤环境质量建设用地土壤污染风险管控标准（试行）》（</w:t>
      </w:r>
      <w:r>
        <w:rPr>
          <w:rFonts w:cs="Times New Roman" w:hint="eastAsia"/>
          <w:szCs w:val="24"/>
        </w:rPr>
        <w:t>GB36600-2018</w:t>
      </w:r>
      <w:r>
        <w:rPr>
          <w:rFonts w:ascii="宋体" w:hAnsi="宋体" w:cs="Times New Roman" w:hint="eastAsia"/>
          <w:szCs w:val="24"/>
        </w:rPr>
        <w:t>）中</w:t>
      </w:r>
      <w:r>
        <w:rPr>
          <w:rFonts w:cs="Times New Roman" w:hint="eastAsia"/>
          <w:szCs w:val="24"/>
        </w:rPr>
        <w:t>45</w:t>
      </w:r>
      <w:r>
        <w:rPr>
          <w:rFonts w:ascii="宋体" w:hAnsi="宋体" w:cs="Times New Roman" w:hint="eastAsia"/>
          <w:szCs w:val="24"/>
        </w:rPr>
        <w:t>项基本因子</w:t>
      </w:r>
      <w:r>
        <w:rPr>
          <w:rFonts w:ascii="宋体" w:hAnsi="宋体" w:cs="Times New Roman"/>
          <w:szCs w:val="24"/>
        </w:rPr>
        <w:t>。</w:t>
      </w:r>
      <w:r>
        <w:rPr>
          <w:rFonts w:ascii="宋体" w:hAnsi="宋体" w:cs="Times New Roman" w:hint="eastAsia"/>
          <w:szCs w:val="24"/>
        </w:rPr>
        <w:t>根据</w:t>
      </w:r>
      <w:r>
        <w:rPr>
          <w:rFonts w:ascii="宋体" w:hAnsi="宋体" w:cs="Times New Roman" w:hint="eastAsia"/>
          <w:szCs w:val="24"/>
        </w:rPr>
        <w:lastRenderedPageBreak/>
        <w:t>场址周围环境特点及敏感点分布情况，本次监测在场区内设3个土壤监测点，取表层土壤进行监测。</w:t>
      </w:r>
    </w:p>
    <w:p w14:paraId="5C88B1A1" w14:textId="3058E5A0" w:rsidR="00E579B9" w:rsidRDefault="006A1398">
      <w:pPr>
        <w:widowControl w:val="0"/>
        <w:spacing w:line="480" w:lineRule="exact"/>
        <w:ind w:firstLine="504"/>
        <w:jc w:val="both"/>
        <w:rPr>
          <w:rFonts w:eastAsia="黑体" w:cs="Times New Roman"/>
          <w:spacing w:val="6"/>
          <w:szCs w:val="24"/>
        </w:rPr>
      </w:pPr>
      <w:r>
        <w:rPr>
          <w:rFonts w:ascii="黑体" w:eastAsia="黑体" w:hAnsi="黑体" w:cs="Times New Roman"/>
          <w:spacing w:val="6"/>
          <w:szCs w:val="24"/>
        </w:rPr>
        <w:t>表</w:t>
      </w:r>
      <w:r>
        <w:rPr>
          <w:rFonts w:eastAsia="黑体" w:cs="Times New Roman"/>
          <w:spacing w:val="6"/>
          <w:szCs w:val="24"/>
        </w:rPr>
        <w:t>4.3-1</w:t>
      </w:r>
      <w:r>
        <w:rPr>
          <w:rFonts w:eastAsia="黑体" w:cs="Times New Roman" w:hint="eastAsia"/>
          <w:spacing w:val="6"/>
          <w:szCs w:val="24"/>
        </w:rPr>
        <w:t>1</w:t>
      </w:r>
      <w:r>
        <w:rPr>
          <w:rFonts w:ascii="黑体" w:eastAsia="黑体" w:hAnsi="黑体" w:cs="Times New Roman"/>
          <w:spacing w:val="6"/>
          <w:szCs w:val="24"/>
        </w:rPr>
        <w:t>土壤环境现状监测布点</w:t>
      </w:r>
    </w:p>
    <w:tbl>
      <w:tblPr>
        <w:tblW w:w="8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2253"/>
        <w:gridCol w:w="3685"/>
        <w:gridCol w:w="1293"/>
      </w:tblGrid>
      <w:tr w:rsidR="00E579B9" w14:paraId="7EE08F3D" w14:textId="77777777">
        <w:trPr>
          <w:trHeight w:val="647"/>
          <w:jc w:val="center"/>
        </w:trPr>
        <w:tc>
          <w:tcPr>
            <w:tcW w:w="942" w:type="dxa"/>
            <w:tcBorders>
              <w:top w:val="single" w:sz="4" w:space="0" w:color="auto"/>
              <w:left w:val="single" w:sz="4" w:space="0" w:color="auto"/>
              <w:bottom w:val="single" w:sz="4" w:space="0" w:color="auto"/>
              <w:right w:val="single" w:sz="4" w:space="0" w:color="auto"/>
            </w:tcBorders>
            <w:vAlign w:val="center"/>
          </w:tcPr>
          <w:p w14:paraId="0313678D" w14:textId="77777777" w:rsidR="00E579B9" w:rsidRDefault="006A1398">
            <w:pPr>
              <w:widowControl w:val="0"/>
              <w:spacing w:line="240" w:lineRule="auto"/>
              <w:ind w:firstLineChars="0" w:firstLine="0"/>
              <w:jc w:val="center"/>
              <w:rPr>
                <w:rFonts w:cs="Times New Roman"/>
                <w:sz w:val="21"/>
                <w:szCs w:val="21"/>
              </w:rPr>
            </w:pPr>
            <w:r>
              <w:rPr>
                <w:rFonts w:cs="Times New Roman"/>
                <w:sz w:val="21"/>
                <w:szCs w:val="21"/>
              </w:rPr>
              <w:t>监测点编号</w:t>
            </w:r>
          </w:p>
        </w:tc>
        <w:tc>
          <w:tcPr>
            <w:tcW w:w="2253" w:type="dxa"/>
            <w:tcBorders>
              <w:top w:val="single" w:sz="4" w:space="0" w:color="auto"/>
              <w:left w:val="nil"/>
              <w:bottom w:val="single" w:sz="4" w:space="0" w:color="auto"/>
              <w:right w:val="single" w:sz="4" w:space="0" w:color="auto"/>
            </w:tcBorders>
            <w:vAlign w:val="center"/>
          </w:tcPr>
          <w:p w14:paraId="1A783B94" w14:textId="77777777" w:rsidR="00E579B9" w:rsidRDefault="006A1398">
            <w:pPr>
              <w:widowControl w:val="0"/>
              <w:spacing w:line="240" w:lineRule="auto"/>
              <w:ind w:firstLineChars="0" w:firstLine="0"/>
              <w:jc w:val="center"/>
              <w:rPr>
                <w:rFonts w:cs="Times New Roman"/>
                <w:sz w:val="21"/>
                <w:szCs w:val="21"/>
              </w:rPr>
            </w:pPr>
            <w:r>
              <w:rPr>
                <w:rFonts w:cs="Times New Roman"/>
                <w:sz w:val="21"/>
                <w:szCs w:val="21"/>
              </w:rPr>
              <w:t>监测点名称</w:t>
            </w:r>
          </w:p>
        </w:tc>
        <w:tc>
          <w:tcPr>
            <w:tcW w:w="3685" w:type="dxa"/>
            <w:tcBorders>
              <w:top w:val="single" w:sz="4" w:space="0" w:color="auto"/>
              <w:left w:val="nil"/>
              <w:bottom w:val="single" w:sz="4" w:space="0" w:color="auto"/>
              <w:right w:val="single" w:sz="4" w:space="0" w:color="auto"/>
            </w:tcBorders>
            <w:vAlign w:val="center"/>
          </w:tcPr>
          <w:p w14:paraId="11926ED1" w14:textId="77777777" w:rsidR="00E579B9" w:rsidRDefault="006A1398">
            <w:pPr>
              <w:widowControl w:val="0"/>
              <w:spacing w:line="240" w:lineRule="auto"/>
              <w:ind w:firstLineChars="0" w:firstLine="0"/>
              <w:jc w:val="center"/>
              <w:rPr>
                <w:rFonts w:cs="Times New Roman"/>
                <w:sz w:val="21"/>
                <w:szCs w:val="21"/>
              </w:rPr>
            </w:pPr>
            <w:r>
              <w:rPr>
                <w:rFonts w:cs="Times New Roman"/>
                <w:sz w:val="21"/>
                <w:szCs w:val="21"/>
              </w:rPr>
              <w:t>监测因子</w:t>
            </w:r>
          </w:p>
        </w:tc>
        <w:tc>
          <w:tcPr>
            <w:tcW w:w="1293" w:type="dxa"/>
            <w:tcBorders>
              <w:top w:val="single" w:sz="4" w:space="0" w:color="auto"/>
              <w:left w:val="nil"/>
              <w:bottom w:val="single" w:sz="4" w:space="0" w:color="auto"/>
              <w:right w:val="single" w:sz="4" w:space="0" w:color="auto"/>
            </w:tcBorders>
            <w:vAlign w:val="center"/>
          </w:tcPr>
          <w:p w14:paraId="39B20E6F" w14:textId="77777777" w:rsidR="00E579B9" w:rsidRDefault="006A1398">
            <w:pPr>
              <w:widowControl w:val="0"/>
              <w:spacing w:line="240" w:lineRule="auto"/>
              <w:ind w:firstLineChars="0" w:firstLine="0"/>
              <w:jc w:val="center"/>
              <w:rPr>
                <w:rFonts w:cs="Times New Roman"/>
                <w:sz w:val="21"/>
                <w:szCs w:val="21"/>
              </w:rPr>
            </w:pPr>
            <w:r>
              <w:rPr>
                <w:rFonts w:cs="Times New Roman"/>
                <w:sz w:val="21"/>
                <w:szCs w:val="21"/>
              </w:rPr>
              <w:t>取样要求</w:t>
            </w:r>
          </w:p>
        </w:tc>
      </w:tr>
      <w:tr w:rsidR="00E579B9" w14:paraId="3CDE3CBD" w14:textId="77777777">
        <w:trPr>
          <w:trHeight w:val="1185"/>
          <w:jc w:val="center"/>
        </w:trPr>
        <w:tc>
          <w:tcPr>
            <w:tcW w:w="942" w:type="dxa"/>
            <w:tcBorders>
              <w:top w:val="single" w:sz="4" w:space="0" w:color="auto"/>
              <w:left w:val="single" w:sz="4" w:space="0" w:color="auto"/>
              <w:bottom w:val="single" w:sz="4" w:space="0" w:color="auto"/>
              <w:right w:val="single" w:sz="4" w:space="0" w:color="auto"/>
            </w:tcBorders>
            <w:vAlign w:val="center"/>
          </w:tcPr>
          <w:p w14:paraId="07E40BFA" w14:textId="77777777" w:rsidR="00E579B9" w:rsidRDefault="006A1398">
            <w:pPr>
              <w:widowControl w:val="0"/>
              <w:spacing w:line="240" w:lineRule="auto"/>
              <w:ind w:firstLineChars="0" w:firstLine="0"/>
              <w:jc w:val="center"/>
              <w:rPr>
                <w:rFonts w:ascii="宋体" w:hAnsi="宋体" w:cs="Times New Roman"/>
                <w:sz w:val="21"/>
                <w:szCs w:val="21"/>
              </w:rPr>
            </w:pPr>
            <w:r>
              <w:rPr>
                <w:rFonts w:ascii="宋体" w:hAnsi="宋体" w:cs="Times New Roman" w:hint="eastAsia"/>
                <w:sz w:val="21"/>
                <w:szCs w:val="21"/>
              </w:rPr>
              <w:t>1#</w:t>
            </w:r>
          </w:p>
        </w:tc>
        <w:tc>
          <w:tcPr>
            <w:tcW w:w="2253" w:type="dxa"/>
            <w:tcBorders>
              <w:top w:val="single" w:sz="4" w:space="0" w:color="auto"/>
              <w:left w:val="nil"/>
              <w:bottom w:val="single" w:sz="4" w:space="0" w:color="auto"/>
              <w:right w:val="single" w:sz="4" w:space="0" w:color="auto"/>
            </w:tcBorders>
            <w:vAlign w:val="center"/>
          </w:tcPr>
          <w:p w14:paraId="52AC3030" w14:textId="77777777" w:rsidR="00E579B9" w:rsidRDefault="006A1398">
            <w:pPr>
              <w:widowControl w:val="0"/>
              <w:spacing w:line="240" w:lineRule="auto"/>
              <w:ind w:firstLineChars="0" w:firstLine="0"/>
              <w:jc w:val="center"/>
              <w:rPr>
                <w:rFonts w:ascii="宋体" w:hAnsi="宋体" w:cs="Times New Roman"/>
                <w:sz w:val="21"/>
                <w:szCs w:val="21"/>
              </w:rPr>
            </w:pPr>
            <w:r>
              <w:rPr>
                <w:rFonts w:ascii="宋体" w:hAnsi="宋体" w:cs="Times New Roman" w:hint="eastAsia"/>
                <w:sz w:val="21"/>
                <w:szCs w:val="21"/>
              </w:rPr>
              <w:t>采场东</w:t>
            </w:r>
            <w:r>
              <w:rPr>
                <w:rFonts w:cs="Times New Roman"/>
                <w:sz w:val="21"/>
                <w:szCs w:val="21"/>
              </w:rPr>
              <w:t>北侧</w:t>
            </w:r>
          </w:p>
        </w:tc>
        <w:tc>
          <w:tcPr>
            <w:tcW w:w="3685" w:type="dxa"/>
            <w:vMerge w:val="restart"/>
            <w:tcBorders>
              <w:top w:val="nil"/>
              <w:left w:val="nil"/>
              <w:bottom w:val="single" w:sz="4" w:space="0" w:color="auto"/>
              <w:right w:val="single" w:sz="4" w:space="0" w:color="auto"/>
            </w:tcBorders>
            <w:vAlign w:val="center"/>
          </w:tcPr>
          <w:p w14:paraId="32C18E62" w14:textId="77777777" w:rsidR="00E579B9" w:rsidRDefault="006A1398">
            <w:pPr>
              <w:widowControl w:val="0"/>
              <w:snapToGrid w:val="0"/>
              <w:spacing w:line="240" w:lineRule="atLeast"/>
              <w:ind w:firstLineChars="0" w:firstLine="0"/>
              <w:jc w:val="center"/>
              <w:rPr>
                <w:rFonts w:ascii="宋体" w:hAnsi="宋体" w:cs="Times New Roman"/>
                <w:szCs w:val="24"/>
              </w:rPr>
            </w:pPr>
            <w:r>
              <w:rPr>
                <w:rFonts w:ascii="宋体" w:hAnsi="宋体" w:cs="Times New Roman" w:hint="eastAsia"/>
                <w:sz w:val="21"/>
                <w:szCs w:val="21"/>
              </w:rPr>
              <w:t>PH、砷、镉、铬（六价）、铜、铅、汞、镍、四氯化碳、氯仿、氯甲烷、</w:t>
            </w:r>
            <w:r>
              <w:rPr>
                <w:rFonts w:cs="Times New Roman"/>
                <w:sz w:val="21"/>
                <w:szCs w:val="21"/>
              </w:rPr>
              <w:t>1,1-</w:t>
            </w:r>
            <w:r>
              <w:rPr>
                <w:rFonts w:ascii="宋体" w:hAnsi="宋体" w:cs="Times New Roman" w:hint="eastAsia"/>
                <w:sz w:val="21"/>
                <w:szCs w:val="21"/>
              </w:rPr>
              <w:t>二氯乙烷、</w:t>
            </w:r>
            <w:r>
              <w:rPr>
                <w:rFonts w:cs="Times New Roman"/>
                <w:sz w:val="21"/>
                <w:szCs w:val="21"/>
              </w:rPr>
              <w:t>1,2-</w:t>
            </w:r>
            <w:r>
              <w:rPr>
                <w:rFonts w:ascii="宋体" w:hAnsi="宋体" w:cs="Times New Roman" w:hint="eastAsia"/>
                <w:sz w:val="21"/>
                <w:szCs w:val="21"/>
              </w:rPr>
              <w:t>二氯乙烷、</w:t>
            </w:r>
            <w:r>
              <w:rPr>
                <w:rFonts w:cs="Times New Roman"/>
                <w:sz w:val="21"/>
                <w:szCs w:val="21"/>
              </w:rPr>
              <w:t>1,1-</w:t>
            </w:r>
            <w:r>
              <w:rPr>
                <w:rFonts w:ascii="宋体" w:hAnsi="宋体" w:cs="Times New Roman" w:hint="eastAsia"/>
                <w:sz w:val="21"/>
                <w:szCs w:val="21"/>
              </w:rPr>
              <w:t>二氯乙烯、顺</w:t>
            </w:r>
            <w:r>
              <w:rPr>
                <w:rFonts w:cs="Times New Roman"/>
                <w:sz w:val="21"/>
                <w:szCs w:val="21"/>
              </w:rPr>
              <w:t>-1,2-</w:t>
            </w:r>
            <w:r>
              <w:rPr>
                <w:rFonts w:ascii="宋体" w:hAnsi="宋体" w:cs="Times New Roman" w:hint="eastAsia"/>
                <w:sz w:val="21"/>
                <w:szCs w:val="21"/>
              </w:rPr>
              <w:t>二氯乙烯、反</w:t>
            </w:r>
            <w:r>
              <w:rPr>
                <w:rFonts w:cs="Times New Roman"/>
                <w:sz w:val="21"/>
                <w:szCs w:val="21"/>
              </w:rPr>
              <w:t>-1,2-</w:t>
            </w:r>
            <w:r>
              <w:rPr>
                <w:rFonts w:ascii="宋体" w:hAnsi="宋体" w:cs="Times New Roman" w:hint="eastAsia"/>
                <w:sz w:val="21"/>
                <w:szCs w:val="21"/>
              </w:rPr>
              <w:t>二氯乙烯、二氯甲烷、</w:t>
            </w:r>
            <w:r>
              <w:rPr>
                <w:rFonts w:cs="Times New Roman"/>
                <w:sz w:val="21"/>
                <w:szCs w:val="21"/>
              </w:rPr>
              <w:t>1,2-</w:t>
            </w:r>
            <w:r>
              <w:rPr>
                <w:rFonts w:ascii="宋体" w:hAnsi="宋体" w:cs="Times New Roman" w:hint="eastAsia"/>
                <w:sz w:val="21"/>
                <w:szCs w:val="21"/>
              </w:rPr>
              <w:t>二氯丙烷、</w:t>
            </w:r>
            <w:r>
              <w:rPr>
                <w:rFonts w:cs="Times New Roman"/>
                <w:sz w:val="21"/>
                <w:szCs w:val="21"/>
              </w:rPr>
              <w:t>1,1,1,2-</w:t>
            </w:r>
            <w:r>
              <w:rPr>
                <w:rFonts w:ascii="宋体" w:hAnsi="宋体" w:cs="Times New Roman" w:hint="eastAsia"/>
                <w:sz w:val="21"/>
                <w:szCs w:val="21"/>
              </w:rPr>
              <w:t>四氯乙烷、</w:t>
            </w:r>
            <w:r>
              <w:rPr>
                <w:rFonts w:cs="Times New Roman"/>
                <w:sz w:val="21"/>
                <w:szCs w:val="21"/>
              </w:rPr>
              <w:t>1,1,2,2-</w:t>
            </w:r>
            <w:r>
              <w:rPr>
                <w:rFonts w:ascii="宋体" w:hAnsi="宋体" w:cs="Times New Roman" w:hint="eastAsia"/>
                <w:sz w:val="21"/>
                <w:szCs w:val="21"/>
              </w:rPr>
              <w:t>四氯乙烷、四氯乙烯、</w:t>
            </w:r>
            <w:r>
              <w:rPr>
                <w:rFonts w:cs="Times New Roman"/>
                <w:sz w:val="21"/>
                <w:szCs w:val="21"/>
              </w:rPr>
              <w:t>1,1,1-</w:t>
            </w:r>
            <w:r>
              <w:rPr>
                <w:rFonts w:ascii="宋体" w:hAnsi="宋体" w:cs="Times New Roman" w:hint="eastAsia"/>
                <w:sz w:val="21"/>
                <w:szCs w:val="21"/>
              </w:rPr>
              <w:t>三氯乙烷、</w:t>
            </w:r>
            <w:r>
              <w:rPr>
                <w:rFonts w:cs="Times New Roman"/>
                <w:sz w:val="21"/>
                <w:szCs w:val="21"/>
              </w:rPr>
              <w:t>1,1,2-</w:t>
            </w:r>
            <w:r>
              <w:rPr>
                <w:rFonts w:ascii="宋体" w:hAnsi="宋体" w:cs="Times New Roman" w:hint="eastAsia"/>
                <w:sz w:val="21"/>
                <w:szCs w:val="21"/>
              </w:rPr>
              <w:t>三氯乙烷、三氯乙烯、</w:t>
            </w:r>
            <w:r>
              <w:rPr>
                <w:rFonts w:cs="Times New Roman"/>
                <w:sz w:val="21"/>
                <w:szCs w:val="21"/>
              </w:rPr>
              <w:t>1,2,3-</w:t>
            </w:r>
            <w:r>
              <w:rPr>
                <w:rFonts w:ascii="宋体" w:hAnsi="宋体" w:cs="Times New Roman" w:hint="eastAsia"/>
                <w:sz w:val="21"/>
                <w:szCs w:val="21"/>
              </w:rPr>
              <w:t>三氯丙烷、氯乙烯、苯、氯苯、</w:t>
            </w:r>
            <w:r>
              <w:rPr>
                <w:rFonts w:cs="Times New Roman"/>
                <w:sz w:val="21"/>
                <w:szCs w:val="21"/>
              </w:rPr>
              <w:t>1,2-</w:t>
            </w:r>
            <w:r>
              <w:rPr>
                <w:rFonts w:ascii="宋体" w:hAnsi="宋体" w:cs="Times New Roman" w:hint="eastAsia"/>
                <w:sz w:val="21"/>
                <w:szCs w:val="21"/>
              </w:rPr>
              <w:t>二氯苯、</w:t>
            </w:r>
            <w:r>
              <w:rPr>
                <w:rFonts w:cs="Times New Roman"/>
                <w:sz w:val="21"/>
                <w:szCs w:val="21"/>
              </w:rPr>
              <w:t>1,4-</w:t>
            </w:r>
            <w:r>
              <w:rPr>
                <w:rFonts w:ascii="宋体" w:hAnsi="宋体" w:cs="Times New Roman" w:hint="eastAsia"/>
                <w:sz w:val="21"/>
                <w:szCs w:val="21"/>
              </w:rPr>
              <w:t>二氯苯、乙苯、苯乙烯、甲苯、间二甲苯</w:t>
            </w:r>
            <w:r>
              <w:rPr>
                <w:rFonts w:cs="Times New Roman"/>
                <w:sz w:val="21"/>
                <w:szCs w:val="21"/>
              </w:rPr>
              <w:t>+</w:t>
            </w:r>
            <w:r>
              <w:rPr>
                <w:rFonts w:ascii="宋体" w:hAnsi="宋体" w:cs="Times New Roman" w:hint="eastAsia"/>
                <w:sz w:val="21"/>
                <w:szCs w:val="21"/>
              </w:rPr>
              <w:t>对二甲苯、邻二甲苯、硝基苯、苯胺、</w:t>
            </w:r>
            <w:r>
              <w:rPr>
                <w:rFonts w:cs="Times New Roman"/>
                <w:sz w:val="21"/>
                <w:szCs w:val="21"/>
              </w:rPr>
              <w:t>2-</w:t>
            </w:r>
            <w:r>
              <w:rPr>
                <w:rFonts w:ascii="宋体" w:hAnsi="宋体" w:cs="Times New Roman" w:hint="eastAsia"/>
                <w:sz w:val="21"/>
                <w:szCs w:val="21"/>
              </w:rPr>
              <w:t>氯酚、苯并</w:t>
            </w:r>
            <w:r>
              <w:rPr>
                <w:rFonts w:cs="Times New Roman"/>
                <w:sz w:val="21"/>
                <w:szCs w:val="21"/>
              </w:rPr>
              <w:t>[a]</w:t>
            </w:r>
            <w:proofErr w:type="gramStart"/>
            <w:r>
              <w:rPr>
                <w:rFonts w:ascii="宋体" w:hAnsi="宋体" w:cs="Times New Roman" w:hint="eastAsia"/>
                <w:sz w:val="21"/>
                <w:szCs w:val="21"/>
              </w:rPr>
              <w:t>蒽</w:t>
            </w:r>
            <w:proofErr w:type="gramEnd"/>
            <w:r>
              <w:rPr>
                <w:rFonts w:ascii="宋体" w:hAnsi="宋体" w:cs="Times New Roman" w:hint="eastAsia"/>
                <w:sz w:val="21"/>
                <w:szCs w:val="21"/>
              </w:rPr>
              <w:t>、苯并</w:t>
            </w:r>
            <w:r>
              <w:rPr>
                <w:rFonts w:cs="Times New Roman"/>
                <w:sz w:val="21"/>
                <w:szCs w:val="21"/>
              </w:rPr>
              <w:t>[a]</w:t>
            </w:r>
            <w:proofErr w:type="gramStart"/>
            <w:r>
              <w:rPr>
                <w:rFonts w:ascii="宋体" w:hAnsi="宋体" w:cs="Times New Roman" w:hint="eastAsia"/>
                <w:sz w:val="21"/>
                <w:szCs w:val="21"/>
              </w:rPr>
              <w:t>芘</w:t>
            </w:r>
            <w:proofErr w:type="gramEnd"/>
            <w:r>
              <w:rPr>
                <w:rFonts w:ascii="宋体" w:hAnsi="宋体" w:cs="Times New Roman" w:hint="eastAsia"/>
                <w:sz w:val="21"/>
                <w:szCs w:val="21"/>
              </w:rPr>
              <w:t>、、苯并</w:t>
            </w:r>
            <w:r>
              <w:rPr>
                <w:rFonts w:cs="Times New Roman"/>
                <w:sz w:val="21"/>
                <w:szCs w:val="21"/>
              </w:rPr>
              <w:t>[b]</w:t>
            </w:r>
            <w:proofErr w:type="gramStart"/>
            <w:r>
              <w:rPr>
                <w:rFonts w:ascii="宋体" w:hAnsi="宋体" w:cs="Times New Roman" w:hint="eastAsia"/>
                <w:sz w:val="21"/>
                <w:szCs w:val="21"/>
              </w:rPr>
              <w:t>荧蒽</w:t>
            </w:r>
            <w:proofErr w:type="gramEnd"/>
            <w:r>
              <w:rPr>
                <w:rFonts w:ascii="宋体" w:hAnsi="宋体" w:cs="Times New Roman" w:hint="eastAsia"/>
                <w:sz w:val="21"/>
                <w:szCs w:val="21"/>
              </w:rPr>
              <w:t>、苯并</w:t>
            </w:r>
            <w:r>
              <w:rPr>
                <w:rFonts w:cs="Times New Roman"/>
                <w:sz w:val="21"/>
                <w:szCs w:val="21"/>
              </w:rPr>
              <w:t>[k]</w:t>
            </w:r>
            <w:proofErr w:type="gramStart"/>
            <w:r>
              <w:rPr>
                <w:rFonts w:ascii="宋体" w:hAnsi="宋体" w:cs="Times New Roman" w:hint="eastAsia"/>
                <w:sz w:val="21"/>
                <w:szCs w:val="21"/>
              </w:rPr>
              <w:t>荧蒽</w:t>
            </w:r>
            <w:proofErr w:type="gramEnd"/>
            <w:r>
              <w:rPr>
                <w:rFonts w:ascii="宋体" w:hAnsi="宋体" w:cs="Times New Roman" w:hint="eastAsia"/>
                <w:sz w:val="21"/>
                <w:szCs w:val="21"/>
              </w:rPr>
              <w:t>、</w:t>
            </w:r>
            <w:r>
              <w:rPr>
                <w:rFonts w:ascii="微软雅黑" w:eastAsia="微软雅黑" w:hAnsi="微软雅黑" w:cs="Times New Roman" w:hint="eastAsia"/>
                <w:sz w:val="21"/>
                <w:szCs w:val="21"/>
              </w:rPr>
              <w:t>䓛</w:t>
            </w:r>
            <w:r>
              <w:rPr>
                <w:rFonts w:ascii="宋体" w:hAnsi="宋体" w:cs="Times New Roman" w:hint="eastAsia"/>
                <w:sz w:val="21"/>
                <w:szCs w:val="21"/>
              </w:rPr>
              <w:t>、二苯并</w:t>
            </w:r>
            <w:r>
              <w:rPr>
                <w:rFonts w:cs="Times New Roman"/>
                <w:sz w:val="21"/>
                <w:szCs w:val="21"/>
              </w:rPr>
              <w:t>[a</w:t>
            </w:r>
            <w:r>
              <w:rPr>
                <w:rFonts w:ascii="宋体" w:hAnsi="宋体" w:cs="Times New Roman" w:hint="eastAsia"/>
                <w:sz w:val="21"/>
                <w:szCs w:val="21"/>
              </w:rPr>
              <w:t>、</w:t>
            </w:r>
            <w:r>
              <w:rPr>
                <w:rFonts w:cs="Times New Roman"/>
                <w:sz w:val="21"/>
                <w:szCs w:val="21"/>
              </w:rPr>
              <w:t>h]</w:t>
            </w:r>
            <w:proofErr w:type="gramStart"/>
            <w:r>
              <w:rPr>
                <w:rFonts w:ascii="宋体" w:hAnsi="宋体" w:cs="Times New Roman" w:hint="eastAsia"/>
                <w:sz w:val="21"/>
                <w:szCs w:val="21"/>
              </w:rPr>
              <w:t>蒽</w:t>
            </w:r>
            <w:proofErr w:type="gramEnd"/>
            <w:r>
              <w:rPr>
                <w:rFonts w:ascii="宋体" w:hAnsi="宋体" w:cs="Times New Roman" w:hint="eastAsia"/>
                <w:sz w:val="21"/>
                <w:szCs w:val="21"/>
              </w:rPr>
              <w:t>、</w:t>
            </w:r>
            <w:proofErr w:type="gramStart"/>
            <w:r>
              <w:rPr>
                <w:rFonts w:ascii="宋体" w:hAnsi="宋体" w:cs="Times New Roman" w:hint="eastAsia"/>
                <w:sz w:val="21"/>
                <w:szCs w:val="21"/>
              </w:rPr>
              <w:t>茚</w:t>
            </w:r>
            <w:proofErr w:type="gramEnd"/>
            <w:r>
              <w:rPr>
                <w:rFonts w:ascii="宋体" w:hAnsi="宋体" w:cs="Times New Roman" w:hint="eastAsia"/>
                <w:sz w:val="21"/>
                <w:szCs w:val="21"/>
              </w:rPr>
              <w:t>并</w:t>
            </w:r>
            <w:r>
              <w:rPr>
                <w:rFonts w:cs="Times New Roman"/>
                <w:sz w:val="21"/>
                <w:szCs w:val="21"/>
              </w:rPr>
              <w:t>[1,2,3-cd]</w:t>
            </w:r>
            <w:proofErr w:type="gramStart"/>
            <w:r>
              <w:rPr>
                <w:rFonts w:ascii="宋体" w:hAnsi="宋体" w:cs="Times New Roman" w:hint="eastAsia"/>
                <w:sz w:val="21"/>
                <w:szCs w:val="21"/>
              </w:rPr>
              <w:t>芘</w:t>
            </w:r>
            <w:proofErr w:type="gramEnd"/>
            <w:r>
              <w:rPr>
                <w:rFonts w:ascii="宋体" w:hAnsi="宋体" w:cs="Times New Roman" w:hint="eastAsia"/>
                <w:sz w:val="21"/>
                <w:szCs w:val="21"/>
              </w:rPr>
              <w:t>、</w:t>
            </w:r>
            <w:proofErr w:type="gramStart"/>
            <w:r>
              <w:rPr>
                <w:rFonts w:ascii="宋体" w:hAnsi="宋体" w:cs="Times New Roman" w:hint="eastAsia"/>
                <w:sz w:val="21"/>
                <w:szCs w:val="21"/>
              </w:rPr>
              <w:t>萘</w:t>
            </w:r>
            <w:proofErr w:type="gramEnd"/>
            <w:r>
              <w:rPr>
                <w:rFonts w:ascii="宋体" w:hAnsi="宋体" w:cs="Times New Roman" w:hint="eastAsia"/>
                <w:sz w:val="21"/>
                <w:szCs w:val="21"/>
              </w:rPr>
              <w:t>共4</w:t>
            </w:r>
            <w:r>
              <w:rPr>
                <w:rFonts w:cs="Times New Roman"/>
                <w:sz w:val="21"/>
                <w:szCs w:val="21"/>
              </w:rPr>
              <w:t>6</w:t>
            </w:r>
            <w:r>
              <w:rPr>
                <w:rFonts w:ascii="宋体" w:hAnsi="宋体" w:cs="Times New Roman" w:hint="eastAsia"/>
                <w:sz w:val="21"/>
                <w:szCs w:val="21"/>
              </w:rPr>
              <w:t>项</w:t>
            </w:r>
          </w:p>
        </w:tc>
        <w:tc>
          <w:tcPr>
            <w:tcW w:w="1293" w:type="dxa"/>
            <w:vMerge w:val="restart"/>
            <w:tcBorders>
              <w:top w:val="nil"/>
              <w:left w:val="nil"/>
              <w:bottom w:val="single" w:sz="4" w:space="0" w:color="auto"/>
              <w:right w:val="single" w:sz="4" w:space="0" w:color="auto"/>
            </w:tcBorders>
            <w:vAlign w:val="center"/>
          </w:tcPr>
          <w:p w14:paraId="4680237D" w14:textId="77777777" w:rsidR="00E579B9" w:rsidRDefault="006A1398">
            <w:pPr>
              <w:widowControl w:val="0"/>
              <w:spacing w:line="240" w:lineRule="auto"/>
              <w:ind w:firstLineChars="0" w:firstLine="0"/>
              <w:jc w:val="center"/>
              <w:rPr>
                <w:rFonts w:ascii="宋体" w:hAnsi="宋体" w:cs="Times New Roman"/>
                <w:sz w:val="21"/>
                <w:szCs w:val="21"/>
              </w:rPr>
            </w:pPr>
            <w:r>
              <w:rPr>
                <w:rFonts w:ascii="宋体" w:hAnsi="宋体" w:cs="Times New Roman" w:hint="eastAsia"/>
                <w:sz w:val="21"/>
                <w:szCs w:val="21"/>
              </w:rPr>
              <w:t>表层</w:t>
            </w:r>
          </w:p>
        </w:tc>
      </w:tr>
      <w:tr w:rsidR="00E579B9" w14:paraId="7FF7729E" w14:textId="77777777">
        <w:trPr>
          <w:trHeight w:val="1602"/>
          <w:jc w:val="center"/>
        </w:trPr>
        <w:tc>
          <w:tcPr>
            <w:tcW w:w="942" w:type="dxa"/>
            <w:tcBorders>
              <w:top w:val="single" w:sz="4" w:space="0" w:color="auto"/>
              <w:left w:val="single" w:sz="4" w:space="0" w:color="auto"/>
              <w:bottom w:val="single" w:sz="4" w:space="0" w:color="auto"/>
              <w:right w:val="single" w:sz="4" w:space="0" w:color="auto"/>
            </w:tcBorders>
            <w:vAlign w:val="center"/>
          </w:tcPr>
          <w:p w14:paraId="34CCFFB1" w14:textId="77777777" w:rsidR="00E579B9" w:rsidRDefault="006A1398">
            <w:pPr>
              <w:widowControl w:val="0"/>
              <w:spacing w:line="240" w:lineRule="auto"/>
              <w:ind w:firstLineChars="0" w:firstLine="0"/>
              <w:jc w:val="center"/>
              <w:rPr>
                <w:rFonts w:ascii="宋体" w:hAnsi="宋体" w:cs="Times New Roman"/>
                <w:sz w:val="21"/>
                <w:szCs w:val="21"/>
              </w:rPr>
            </w:pPr>
            <w:r>
              <w:rPr>
                <w:rFonts w:ascii="宋体" w:hAnsi="宋体" w:cs="Times New Roman" w:hint="eastAsia"/>
                <w:sz w:val="21"/>
                <w:szCs w:val="21"/>
              </w:rPr>
              <w:t>2#</w:t>
            </w:r>
          </w:p>
        </w:tc>
        <w:tc>
          <w:tcPr>
            <w:tcW w:w="2253" w:type="dxa"/>
            <w:tcBorders>
              <w:top w:val="single" w:sz="4" w:space="0" w:color="auto"/>
              <w:left w:val="nil"/>
              <w:bottom w:val="single" w:sz="4" w:space="0" w:color="auto"/>
              <w:right w:val="single" w:sz="4" w:space="0" w:color="auto"/>
            </w:tcBorders>
            <w:vAlign w:val="center"/>
          </w:tcPr>
          <w:p w14:paraId="377A0BC2" w14:textId="77777777" w:rsidR="00E579B9" w:rsidRDefault="006A1398">
            <w:pPr>
              <w:widowControl w:val="0"/>
              <w:spacing w:line="240" w:lineRule="auto"/>
              <w:ind w:firstLineChars="0" w:firstLine="0"/>
              <w:jc w:val="center"/>
              <w:rPr>
                <w:rFonts w:ascii="宋体" w:hAnsi="宋体" w:cs="Times New Roman"/>
                <w:sz w:val="21"/>
                <w:szCs w:val="21"/>
              </w:rPr>
            </w:pPr>
            <w:r>
              <w:rPr>
                <w:rFonts w:ascii="宋体" w:hAnsi="宋体" w:cs="Times New Roman" w:hint="eastAsia"/>
                <w:sz w:val="21"/>
                <w:szCs w:val="21"/>
              </w:rPr>
              <w:t>采场</w:t>
            </w:r>
            <w:r>
              <w:rPr>
                <w:rFonts w:cs="Times New Roman"/>
                <w:sz w:val="21"/>
                <w:szCs w:val="21"/>
              </w:rPr>
              <w:t>中部</w:t>
            </w:r>
          </w:p>
        </w:tc>
        <w:tc>
          <w:tcPr>
            <w:tcW w:w="3685" w:type="dxa"/>
            <w:vMerge/>
            <w:tcBorders>
              <w:top w:val="nil"/>
              <w:left w:val="nil"/>
              <w:bottom w:val="single" w:sz="4" w:space="0" w:color="auto"/>
              <w:right w:val="single" w:sz="4" w:space="0" w:color="auto"/>
            </w:tcBorders>
            <w:vAlign w:val="center"/>
          </w:tcPr>
          <w:p w14:paraId="6021DEE0" w14:textId="77777777" w:rsidR="00E579B9" w:rsidRDefault="00E579B9">
            <w:pPr>
              <w:spacing w:line="240" w:lineRule="auto"/>
              <w:ind w:firstLineChars="0" w:firstLine="0"/>
              <w:rPr>
                <w:rFonts w:ascii="宋体" w:hAnsi="宋体" w:cs="Times New Roman"/>
                <w:szCs w:val="24"/>
              </w:rPr>
            </w:pPr>
          </w:p>
        </w:tc>
        <w:tc>
          <w:tcPr>
            <w:tcW w:w="1293" w:type="dxa"/>
            <w:vMerge/>
            <w:tcBorders>
              <w:top w:val="nil"/>
              <w:left w:val="nil"/>
              <w:bottom w:val="single" w:sz="4" w:space="0" w:color="auto"/>
              <w:right w:val="single" w:sz="4" w:space="0" w:color="auto"/>
            </w:tcBorders>
            <w:vAlign w:val="center"/>
          </w:tcPr>
          <w:p w14:paraId="0E702992" w14:textId="77777777" w:rsidR="00E579B9" w:rsidRDefault="00E579B9">
            <w:pPr>
              <w:spacing w:line="240" w:lineRule="auto"/>
              <w:ind w:firstLineChars="0" w:firstLine="0"/>
              <w:rPr>
                <w:rFonts w:ascii="宋体" w:hAnsi="宋体" w:cs="Times New Roman"/>
                <w:sz w:val="21"/>
                <w:szCs w:val="21"/>
              </w:rPr>
            </w:pPr>
          </w:p>
        </w:tc>
      </w:tr>
      <w:tr w:rsidR="00E579B9" w14:paraId="3044F939" w14:textId="77777777">
        <w:trPr>
          <w:trHeight w:val="423"/>
          <w:jc w:val="center"/>
        </w:trPr>
        <w:tc>
          <w:tcPr>
            <w:tcW w:w="942" w:type="dxa"/>
            <w:tcBorders>
              <w:top w:val="single" w:sz="4" w:space="0" w:color="auto"/>
              <w:left w:val="single" w:sz="4" w:space="0" w:color="auto"/>
              <w:bottom w:val="single" w:sz="4" w:space="0" w:color="auto"/>
              <w:right w:val="single" w:sz="4" w:space="0" w:color="auto"/>
            </w:tcBorders>
            <w:vAlign w:val="center"/>
          </w:tcPr>
          <w:p w14:paraId="52F51A86" w14:textId="77777777" w:rsidR="00E579B9" w:rsidRDefault="006A1398">
            <w:pPr>
              <w:widowControl w:val="0"/>
              <w:spacing w:line="240" w:lineRule="auto"/>
              <w:ind w:firstLineChars="0" w:firstLine="0"/>
              <w:jc w:val="center"/>
              <w:rPr>
                <w:rFonts w:ascii="宋体" w:hAnsi="宋体" w:cs="Times New Roman"/>
                <w:sz w:val="21"/>
                <w:szCs w:val="21"/>
              </w:rPr>
            </w:pPr>
            <w:r>
              <w:rPr>
                <w:rFonts w:ascii="宋体" w:hAnsi="宋体" w:cs="Times New Roman" w:hint="eastAsia"/>
                <w:sz w:val="21"/>
                <w:szCs w:val="21"/>
              </w:rPr>
              <w:t>3#</w:t>
            </w:r>
          </w:p>
        </w:tc>
        <w:tc>
          <w:tcPr>
            <w:tcW w:w="2253" w:type="dxa"/>
            <w:tcBorders>
              <w:top w:val="single" w:sz="4" w:space="0" w:color="auto"/>
              <w:left w:val="nil"/>
              <w:bottom w:val="single" w:sz="4" w:space="0" w:color="auto"/>
              <w:right w:val="single" w:sz="4" w:space="0" w:color="auto"/>
            </w:tcBorders>
            <w:vAlign w:val="center"/>
          </w:tcPr>
          <w:p w14:paraId="20075BBA" w14:textId="77777777" w:rsidR="00E579B9" w:rsidRDefault="006A1398">
            <w:pPr>
              <w:widowControl w:val="0"/>
              <w:spacing w:line="240" w:lineRule="auto"/>
              <w:ind w:firstLineChars="0" w:firstLine="0"/>
              <w:jc w:val="center"/>
              <w:rPr>
                <w:rFonts w:ascii="宋体" w:hAnsi="宋体" w:cs="Times New Roman"/>
                <w:sz w:val="21"/>
                <w:szCs w:val="21"/>
              </w:rPr>
            </w:pPr>
            <w:r>
              <w:rPr>
                <w:rFonts w:ascii="宋体" w:hAnsi="宋体" w:cs="Times New Roman" w:hint="eastAsia"/>
                <w:sz w:val="21"/>
                <w:szCs w:val="21"/>
              </w:rPr>
              <w:t>采场</w:t>
            </w:r>
            <w:r>
              <w:rPr>
                <w:rFonts w:cs="Times New Roman"/>
                <w:sz w:val="21"/>
                <w:szCs w:val="21"/>
              </w:rPr>
              <w:t>西南侧</w:t>
            </w:r>
          </w:p>
        </w:tc>
        <w:tc>
          <w:tcPr>
            <w:tcW w:w="3685" w:type="dxa"/>
            <w:vMerge/>
            <w:tcBorders>
              <w:top w:val="nil"/>
              <w:left w:val="nil"/>
              <w:bottom w:val="single" w:sz="4" w:space="0" w:color="auto"/>
              <w:right w:val="single" w:sz="4" w:space="0" w:color="auto"/>
            </w:tcBorders>
            <w:vAlign w:val="center"/>
          </w:tcPr>
          <w:p w14:paraId="5556A844" w14:textId="77777777" w:rsidR="00E579B9" w:rsidRDefault="00E579B9">
            <w:pPr>
              <w:spacing w:line="240" w:lineRule="auto"/>
              <w:ind w:firstLineChars="0" w:firstLine="0"/>
              <w:rPr>
                <w:rFonts w:ascii="宋体" w:hAnsi="宋体" w:cs="Times New Roman"/>
                <w:szCs w:val="24"/>
              </w:rPr>
            </w:pPr>
          </w:p>
        </w:tc>
        <w:tc>
          <w:tcPr>
            <w:tcW w:w="1293" w:type="dxa"/>
            <w:vMerge/>
            <w:tcBorders>
              <w:top w:val="nil"/>
              <w:left w:val="nil"/>
              <w:bottom w:val="single" w:sz="4" w:space="0" w:color="auto"/>
              <w:right w:val="single" w:sz="4" w:space="0" w:color="auto"/>
            </w:tcBorders>
            <w:vAlign w:val="center"/>
          </w:tcPr>
          <w:p w14:paraId="78820D4B" w14:textId="77777777" w:rsidR="00E579B9" w:rsidRDefault="00E579B9">
            <w:pPr>
              <w:spacing w:line="240" w:lineRule="auto"/>
              <w:ind w:firstLineChars="0" w:firstLine="0"/>
              <w:rPr>
                <w:rFonts w:ascii="宋体" w:hAnsi="宋体" w:cs="Times New Roman"/>
                <w:sz w:val="21"/>
                <w:szCs w:val="21"/>
              </w:rPr>
            </w:pPr>
          </w:p>
        </w:tc>
      </w:tr>
    </w:tbl>
    <w:p w14:paraId="6119C6AA" w14:textId="77777777" w:rsidR="00E579B9" w:rsidRDefault="006A1398">
      <w:r>
        <w:t>4.3.5.2</w:t>
      </w:r>
      <w:r>
        <w:rPr>
          <w:rFonts w:ascii="宋体" w:hAnsi="宋体"/>
        </w:rPr>
        <w:t>监测方法</w:t>
      </w:r>
    </w:p>
    <w:p w14:paraId="34E7421F" w14:textId="77777777" w:rsidR="00E579B9" w:rsidRDefault="006A1398">
      <w:pPr>
        <w:ind w:firstLine="488"/>
        <w:rPr>
          <w:spacing w:val="2"/>
        </w:rPr>
      </w:pPr>
      <w:r>
        <w:rPr>
          <w:rFonts w:ascii="宋体" w:hAnsi="宋体"/>
          <w:spacing w:val="2"/>
        </w:rPr>
        <w:t>按</w:t>
      </w:r>
      <w:r>
        <w:rPr>
          <w:rFonts w:ascii="宋体" w:hAnsi="宋体" w:hint="eastAsia"/>
          <w:spacing w:val="2"/>
        </w:rPr>
        <w:t>《土壤环境质量建设用地土壤污染风险管控标准（试行）》（</w:t>
      </w:r>
      <w:r>
        <w:rPr>
          <w:rFonts w:hint="eastAsia"/>
          <w:spacing w:val="2"/>
        </w:rPr>
        <w:t>GB36600-2018</w:t>
      </w:r>
      <w:r>
        <w:rPr>
          <w:rFonts w:ascii="宋体" w:hAnsi="宋体" w:hint="eastAsia"/>
          <w:spacing w:val="2"/>
        </w:rPr>
        <w:t>）要求</w:t>
      </w:r>
      <w:r>
        <w:rPr>
          <w:rFonts w:ascii="宋体" w:hAnsi="宋体"/>
          <w:spacing w:val="2"/>
        </w:rPr>
        <w:t>进行。土壤监测因子及监测方法见表</w:t>
      </w:r>
      <w:r>
        <w:rPr>
          <w:rFonts w:hint="eastAsia"/>
          <w:spacing w:val="2"/>
        </w:rPr>
        <w:t>4.3-12</w:t>
      </w:r>
      <w:r>
        <w:rPr>
          <w:rFonts w:ascii="宋体" w:hAnsi="宋体"/>
          <w:spacing w:val="2"/>
        </w:rPr>
        <w:t>。</w:t>
      </w:r>
    </w:p>
    <w:p w14:paraId="26E07B5A" w14:textId="49BFF5A9" w:rsidR="00E579B9" w:rsidRDefault="006A1398">
      <w:pPr>
        <w:pStyle w:val="21"/>
      </w:pPr>
      <w:r>
        <w:t>表</w:t>
      </w:r>
      <w:r>
        <w:t>4.3-</w:t>
      </w:r>
      <w:r>
        <w:rPr>
          <w:rFonts w:hint="eastAsia"/>
        </w:rPr>
        <w:t>12</w:t>
      </w:r>
      <w:r>
        <w:t>土壤监测因子及监测方法一览表</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2069"/>
        <w:gridCol w:w="2693"/>
        <w:gridCol w:w="1984"/>
        <w:gridCol w:w="1416"/>
      </w:tblGrid>
      <w:tr w:rsidR="00E579B9" w14:paraId="6914806B"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0CE8E83E"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序号</w:t>
            </w:r>
          </w:p>
        </w:tc>
        <w:tc>
          <w:tcPr>
            <w:tcW w:w="2069" w:type="dxa"/>
            <w:tcBorders>
              <w:top w:val="single" w:sz="4" w:space="0" w:color="auto"/>
              <w:left w:val="nil"/>
              <w:bottom w:val="single" w:sz="4" w:space="0" w:color="auto"/>
              <w:right w:val="single" w:sz="4" w:space="0" w:color="auto"/>
            </w:tcBorders>
            <w:vAlign w:val="center"/>
          </w:tcPr>
          <w:p w14:paraId="5E223D02"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检测因子</w:t>
            </w:r>
          </w:p>
        </w:tc>
        <w:tc>
          <w:tcPr>
            <w:tcW w:w="2693" w:type="dxa"/>
            <w:tcBorders>
              <w:top w:val="single" w:sz="4" w:space="0" w:color="auto"/>
              <w:left w:val="nil"/>
              <w:bottom w:val="single" w:sz="4" w:space="0" w:color="auto"/>
              <w:right w:val="single" w:sz="4" w:space="0" w:color="auto"/>
            </w:tcBorders>
            <w:vAlign w:val="center"/>
          </w:tcPr>
          <w:p w14:paraId="628B4F30"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检测分析方法</w:t>
            </w:r>
          </w:p>
        </w:tc>
        <w:tc>
          <w:tcPr>
            <w:tcW w:w="1984" w:type="dxa"/>
            <w:tcBorders>
              <w:top w:val="single" w:sz="4" w:space="0" w:color="auto"/>
              <w:left w:val="nil"/>
              <w:bottom w:val="single" w:sz="4" w:space="0" w:color="auto"/>
              <w:right w:val="single" w:sz="4" w:space="0" w:color="auto"/>
            </w:tcBorders>
            <w:vAlign w:val="center"/>
          </w:tcPr>
          <w:p w14:paraId="1569DFF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方法标准来源</w:t>
            </w:r>
          </w:p>
        </w:tc>
        <w:tc>
          <w:tcPr>
            <w:tcW w:w="1416" w:type="dxa"/>
            <w:tcBorders>
              <w:top w:val="single" w:sz="4" w:space="0" w:color="auto"/>
              <w:left w:val="nil"/>
              <w:bottom w:val="single" w:sz="4" w:space="0" w:color="auto"/>
              <w:right w:val="single" w:sz="4" w:space="0" w:color="auto"/>
            </w:tcBorders>
            <w:vAlign w:val="center"/>
          </w:tcPr>
          <w:p w14:paraId="19C3014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检出限</w:t>
            </w:r>
          </w:p>
        </w:tc>
      </w:tr>
      <w:tr w:rsidR="00E579B9" w14:paraId="3115280C"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528F663B"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w:t>
            </w:r>
          </w:p>
        </w:tc>
        <w:tc>
          <w:tcPr>
            <w:tcW w:w="2069" w:type="dxa"/>
            <w:tcBorders>
              <w:top w:val="single" w:sz="4" w:space="0" w:color="auto"/>
              <w:left w:val="nil"/>
              <w:bottom w:val="single" w:sz="4" w:space="0" w:color="auto"/>
              <w:right w:val="single" w:sz="4" w:space="0" w:color="auto"/>
            </w:tcBorders>
            <w:vAlign w:val="center"/>
          </w:tcPr>
          <w:p w14:paraId="6251CBB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pH</w:t>
            </w:r>
          </w:p>
        </w:tc>
        <w:tc>
          <w:tcPr>
            <w:tcW w:w="2693" w:type="dxa"/>
            <w:tcBorders>
              <w:top w:val="single" w:sz="4" w:space="0" w:color="auto"/>
              <w:left w:val="nil"/>
              <w:bottom w:val="single" w:sz="4" w:space="0" w:color="auto"/>
              <w:right w:val="single" w:sz="4" w:space="0" w:color="auto"/>
            </w:tcBorders>
            <w:vAlign w:val="center"/>
          </w:tcPr>
          <w:p w14:paraId="7700DCA1"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土壤</w:t>
            </w:r>
            <w:r>
              <w:rPr>
                <w:rFonts w:cs="Times New Roman"/>
                <w:sz w:val="21"/>
                <w:szCs w:val="21"/>
              </w:rPr>
              <w:t>pH</w:t>
            </w:r>
            <w:r>
              <w:rPr>
                <w:rFonts w:ascii="宋体" w:hAnsi="宋体" w:cs="Times New Roman"/>
                <w:sz w:val="21"/>
                <w:szCs w:val="21"/>
              </w:rPr>
              <w:t>值的测定电位法</w:t>
            </w:r>
          </w:p>
        </w:tc>
        <w:tc>
          <w:tcPr>
            <w:tcW w:w="1984" w:type="dxa"/>
            <w:tcBorders>
              <w:top w:val="single" w:sz="4" w:space="0" w:color="auto"/>
              <w:left w:val="nil"/>
              <w:bottom w:val="single" w:sz="4" w:space="0" w:color="auto"/>
              <w:right w:val="single" w:sz="4" w:space="0" w:color="auto"/>
            </w:tcBorders>
            <w:vAlign w:val="center"/>
          </w:tcPr>
          <w:p w14:paraId="771D12A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HJ962-2018</w:t>
            </w:r>
          </w:p>
        </w:tc>
        <w:tc>
          <w:tcPr>
            <w:tcW w:w="1416" w:type="dxa"/>
            <w:tcBorders>
              <w:top w:val="single" w:sz="4" w:space="0" w:color="auto"/>
              <w:left w:val="nil"/>
              <w:bottom w:val="single" w:sz="4" w:space="0" w:color="auto"/>
              <w:right w:val="single" w:sz="4" w:space="0" w:color="auto"/>
            </w:tcBorders>
            <w:vAlign w:val="center"/>
          </w:tcPr>
          <w:p w14:paraId="3162A9B4"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w:t>
            </w:r>
          </w:p>
        </w:tc>
      </w:tr>
      <w:tr w:rsidR="00E579B9" w14:paraId="15BA54A6"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13AE1D0B"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w:t>
            </w:r>
          </w:p>
        </w:tc>
        <w:tc>
          <w:tcPr>
            <w:tcW w:w="2069" w:type="dxa"/>
            <w:tcBorders>
              <w:top w:val="single" w:sz="4" w:space="0" w:color="auto"/>
              <w:left w:val="nil"/>
              <w:bottom w:val="single" w:sz="4" w:space="0" w:color="auto"/>
              <w:right w:val="single" w:sz="4" w:space="0" w:color="auto"/>
            </w:tcBorders>
            <w:vAlign w:val="center"/>
          </w:tcPr>
          <w:p w14:paraId="199CE9D1"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汞</w:t>
            </w:r>
          </w:p>
        </w:tc>
        <w:tc>
          <w:tcPr>
            <w:tcW w:w="2693" w:type="dxa"/>
            <w:vMerge w:val="restart"/>
            <w:tcBorders>
              <w:top w:val="nil"/>
              <w:left w:val="nil"/>
              <w:bottom w:val="single" w:sz="4" w:space="0" w:color="auto"/>
              <w:right w:val="single" w:sz="4" w:space="0" w:color="auto"/>
            </w:tcBorders>
            <w:vAlign w:val="center"/>
          </w:tcPr>
          <w:p w14:paraId="33C2C0F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土壤和沉积物汞、砷、硒、铋、锑的测定微波消解</w:t>
            </w:r>
            <w:r>
              <w:rPr>
                <w:rFonts w:cs="Times New Roman"/>
                <w:sz w:val="21"/>
                <w:szCs w:val="21"/>
              </w:rPr>
              <w:t>/</w:t>
            </w:r>
            <w:r>
              <w:rPr>
                <w:rFonts w:ascii="宋体" w:hAnsi="宋体" w:cs="Times New Roman"/>
                <w:sz w:val="21"/>
                <w:szCs w:val="21"/>
              </w:rPr>
              <w:t>原子荧光法</w:t>
            </w:r>
          </w:p>
        </w:tc>
        <w:tc>
          <w:tcPr>
            <w:tcW w:w="1984" w:type="dxa"/>
            <w:vMerge w:val="restart"/>
            <w:tcBorders>
              <w:top w:val="nil"/>
              <w:left w:val="nil"/>
              <w:bottom w:val="single" w:sz="4" w:space="0" w:color="auto"/>
              <w:right w:val="single" w:sz="4" w:space="0" w:color="auto"/>
            </w:tcBorders>
            <w:vAlign w:val="center"/>
          </w:tcPr>
          <w:p w14:paraId="51713C29"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HJ680-2013</w:t>
            </w:r>
          </w:p>
        </w:tc>
        <w:tc>
          <w:tcPr>
            <w:tcW w:w="1416" w:type="dxa"/>
            <w:tcBorders>
              <w:top w:val="single" w:sz="4" w:space="0" w:color="auto"/>
              <w:left w:val="nil"/>
              <w:bottom w:val="single" w:sz="4" w:space="0" w:color="auto"/>
              <w:right w:val="single" w:sz="4" w:space="0" w:color="auto"/>
            </w:tcBorders>
            <w:vAlign w:val="center"/>
          </w:tcPr>
          <w:p w14:paraId="001DE3D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0.002mg/kg</w:t>
            </w:r>
          </w:p>
        </w:tc>
      </w:tr>
      <w:tr w:rsidR="00E579B9" w14:paraId="19418120"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284E17DC"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w:t>
            </w:r>
          </w:p>
        </w:tc>
        <w:tc>
          <w:tcPr>
            <w:tcW w:w="2069" w:type="dxa"/>
            <w:tcBorders>
              <w:top w:val="single" w:sz="4" w:space="0" w:color="auto"/>
              <w:left w:val="nil"/>
              <w:bottom w:val="single" w:sz="4" w:space="0" w:color="auto"/>
              <w:right w:val="single" w:sz="4" w:space="0" w:color="auto"/>
            </w:tcBorders>
            <w:vAlign w:val="center"/>
          </w:tcPr>
          <w:p w14:paraId="56F61391"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砷</w:t>
            </w:r>
          </w:p>
        </w:tc>
        <w:tc>
          <w:tcPr>
            <w:tcW w:w="2693" w:type="dxa"/>
            <w:vMerge/>
            <w:tcBorders>
              <w:top w:val="nil"/>
              <w:left w:val="nil"/>
              <w:bottom w:val="single" w:sz="4" w:space="0" w:color="auto"/>
              <w:right w:val="single" w:sz="4" w:space="0" w:color="auto"/>
            </w:tcBorders>
            <w:vAlign w:val="center"/>
          </w:tcPr>
          <w:p w14:paraId="39597A04"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38AACB36"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0B42B5B4"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0.01mg/kg</w:t>
            </w:r>
          </w:p>
        </w:tc>
      </w:tr>
      <w:tr w:rsidR="00E579B9" w14:paraId="7426DB48"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01036E16"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4</w:t>
            </w:r>
          </w:p>
        </w:tc>
        <w:tc>
          <w:tcPr>
            <w:tcW w:w="2069" w:type="dxa"/>
            <w:tcBorders>
              <w:top w:val="single" w:sz="4" w:space="0" w:color="auto"/>
              <w:left w:val="nil"/>
              <w:bottom w:val="single" w:sz="4" w:space="0" w:color="auto"/>
              <w:right w:val="single" w:sz="4" w:space="0" w:color="auto"/>
            </w:tcBorders>
            <w:vAlign w:val="center"/>
          </w:tcPr>
          <w:p w14:paraId="7BA30413"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六价铬</w:t>
            </w:r>
          </w:p>
        </w:tc>
        <w:tc>
          <w:tcPr>
            <w:tcW w:w="2693" w:type="dxa"/>
            <w:tcBorders>
              <w:top w:val="single" w:sz="4" w:space="0" w:color="auto"/>
              <w:left w:val="nil"/>
              <w:bottom w:val="single" w:sz="4" w:space="0" w:color="auto"/>
              <w:right w:val="single" w:sz="4" w:space="0" w:color="auto"/>
            </w:tcBorders>
            <w:vAlign w:val="center"/>
          </w:tcPr>
          <w:p w14:paraId="37E0550D" w14:textId="77777777" w:rsidR="00E579B9" w:rsidRDefault="006A1398">
            <w:pPr>
              <w:widowControl w:val="0"/>
              <w:snapToGrid w:val="0"/>
              <w:spacing w:line="240" w:lineRule="auto"/>
              <w:ind w:firstLineChars="0" w:firstLine="0"/>
              <w:jc w:val="center"/>
              <w:rPr>
                <w:rFonts w:cs="Times New Roman"/>
                <w:sz w:val="21"/>
                <w:szCs w:val="21"/>
              </w:rPr>
            </w:pPr>
            <w:r>
              <w:rPr>
                <w:rFonts w:ascii="宋体" w:hAnsi="宋体" w:cs="Times New Roman" w:hint="eastAsia"/>
                <w:sz w:val="21"/>
                <w:szCs w:val="21"/>
              </w:rPr>
              <w:t>土壤六价铬碱性消解/比色法</w:t>
            </w:r>
          </w:p>
        </w:tc>
        <w:tc>
          <w:tcPr>
            <w:tcW w:w="1984" w:type="dxa"/>
            <w:tcBorders>
              <w:top w:val="single" w:sz="4" w:space="0" w:color="auto"/>
              <w:left w:val="nil"/>
              <w:bottom w:val="single" w:sz="4" w:space="0" w:color="auto"/>
              <w:right w:val="single" w:sz="4" w:space="0" w:color="auto"/>
            </w:tcBorders>
            <w:vAlign w:val="center"/>
          </w:tcPr>
          <w:p w14:paraId="342B9463"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USEPA060A-1996</w:t>
            </w:r>
          </w:p>
          <w:p w14:paraId="06E86A71"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USEPA196A-1992</w:t>
            </w:r>
          </w:p>
        </w:tc>
        <w:tc>
          <w:tcPr>
            <w:tcW w:w="1416" w:type="dxa"/>
            <w:tcBorders>
              <w:top w:val="single" w:sz="4" w:space="0" w:color="auto"/>
              <w:left w:val="nil"/>
              <w:bottom w:val="single" w:sz="4" w:space="0" w:color="auto"/>
              <w:right w:val="single" w:sz="4" w:space="0" w:color="auto"/>
            </w:tcBorders>
            <w:vAlign w:val="center"/>
          </w:tcPr>
          <w:p w14:paraId="1D4827AD"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2mg/kg</w:t>
            </w:r>
          </w:p>
        </w:tc>
      </w:tr>
      <w:tr w:rsidR="00E579B9" w14:paraId="3DD40B9F"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11B7454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5</w:t>
            </w:r>
          </w:p>
        </w:tc>
        <w:tc>
          <w:tcPr>
            <w:tcW w:w="2069" w:type="dxa"/>
            <w:tcBorders>
              <w:top w:val="single" w:sz="4" w:space="0" w:color="auto"/>
              <w:left w:val="nil"/>
              <w:bottom w:val="single" w:sz="4" w:space="0" w:color="auto"/>
              <w:right w:val="single" w:sz="4" w:space="0" w:color="auto"/>
            </w:tcBorders>
            <w:vAlign w:val="center"/>
          </w:tcPr>
          <w:p w14:paraId="3EE992D4"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铅</w:t>
            </w:r>
          </w:p>
        </w:tc>
        <w:tc>
          <w:tcPr>
            <w:tcW w:w="2693" w:type="dxa"/>
            <w:vMerge w:val="restart"/>
            <w:tcBorders>
              <w:top w:val="nil"/>
              <w:left w:val="nil"/>
              <w:bottom w:val="single" w:sz="4" w:space="0" w:color="auto"/>
              <w:right w:val="single" w:sz="4" w:space="0" w:color="auto"/>
            </w:tcBorders>
            <w:vAlign w:val="center"/>
          </w:tcPr>
          <w:p w14:paraId="21B2A749"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土壤质量铅、镉的测定石墨炉原子吸收分光光度法</w:t>
            </w:r>
          </w:p>
        </w:tc>
        <w:tc>
          <w:tcPr>
            <w:tcW w:w="1984" w:type="dxa"/>
            <w:vMerge w:val="restart"/>
            <w:tcBorders>
              <w:top w:val="nil"/>
              <w:left w:val="nil"/>
              <w:bottom w:val="single" w:sz="4" w:space="0" w:color="auto"/>
              <w:right w:val="single" w:sz="4" w:space="0" w:color="auto"/>
            </w:tcBorders>
            <w:vAlign w:val="center"/>
          </w:tcPr>
          <w:p w14:paraId="5DC84DF2"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GB/T17141-1997</w:t>
            </w:r>
          </w:p>
        </w:tc>
        <w:tc>
          <w:tcPr>
            <w:tcW w:w="1416" w:type="dxa"/>
            <w:tcBorders>
              <w:top w:val="single" w:sz="4" w:space="0" w:color="auto"/>
              <w:left w:val="nil"/>
              <w:bottom w:val="single" w:sz="4" w:space="0" w:color="auto"/>
              <w:right w:val="single" w:sz="4" w:space="0" w:color="auto"/>
            </w:tcBorders>
            <w:vAlign w:val="center"/>
          </w:tcPr>
          <w:p w14:paraId="6863201E"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0.1mg/kg</w:t>
            </w:r>
          </w:p>
        </w:tc>
      </w:tr>
      <w:tr w:rsidR="00E579B9" w14:paraId="6E3E09A0"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0ACE9BB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6</w:t>
            </w:r>
          </w:p>
        </w:tc>
        <w:tc>
          <w:tcPr>
            <w:tcW w:w="2069" w:type="dxa"/>
            <w:tcBorders>
              <w:top w:val="single" w:sz="4" w:space="0" w:color="auto"/>
              <w:left w:val="nil"/>
              <w:bottom w:val="single" w:sz="4" w:space="0" w:color="auto"/>
              <w:right w:val="single" w:sz="4" w:space="0" w:color="auto"/>
            </w:tcBorders>
            <w:vAlign w:val="center"/>
          </w:tcPr>
          <w:p w14:paraId="33399EB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镉</w:t>
            </w:r>
          </w:p>
        </w:tc>
        <w:tc>
          <w:tcPr>
            <w:tcW w:w="2693" w:type="dxa"/>
            <w:vMerge/>
            <w:tcBorders>
              <w:top w:val="nil"/>
              <w:left w:val="nil"/>
              <w:bottom w:val="single" w:sz="4" w:space="0" w:color="auto"/>
              <w:right w:val="single" w:sz="4" w:space="0" w:color="auto"/>
            </w:tcBorders>
            <w:vAlign w:val="center"/>
          </w:tcPr>
          <w:p w14:paraId="448AB264"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17EA6CFD"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1763E46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0.01mg/kg</w:t>
            </w:r>
          </w:p>
        </w:tc>
      </w:tr>
      <w:tr w:rsidR="00E579B9" w14:paraId="3F295385"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5D04208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7</w:t>
            </w:r>
          </w:p>
        </w:tc>
        <w:tc>
          <w:tcPr>
            <w:tcW w:w="2069" w:type="dxa"/>
            <w:tcBorders>
              <w:top w:val="single" w:sz="4" w:space="0" w:color="auto"/>
              <w:left w:val="nil"/>
              <w:bottom w:val="single" w:sz="4" w:space="0" w:color="auto"/>
              <w:right w:val="single" w:sz="4" w:space="0" w:color="auto"/>
            </w:tcBorders>
            <w:vAlign w:val="center"/>
          </w:tcPr>
          <w:p w14:paraId="0260E05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铜</w:t>
            </w:r>
          </w:p>
        </w:tc>
        <w:tc>
          <w:tcPr>
            <w:tcW w:w="2693" w:type="dxa"/>
            <w:tcBorders>
              <w:top w:val="single" w:sz="4" w:space="0" w:color="auto"/>
              <w:left w:val="nil"/>
              <w:bottom w:val="single" w:sz="4" w:space="0" w:color="auto"/>
              <w:right w:val="single" w:sz="4" w:space="0" w:color="auto"/>
            </w:tcBorders>
            <w:vAlign w:val="center"/>
          </w:tcPr>
          <w:p w14:paraId="598B48C3"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土壤质量铜、锌的测定火焰原子吸收分光光度法</w:t>
            </w:r>
          </w:p>
        </w:tc>
        <w:tc>
          <w:tcPr>
            <w:tcW w:w="1984" w:type="dxa"/>
            <w:tcBorders>
              <w:top w:val="single" w:sz="4" w:space="0" w:color="auto"/>
              <w:left w:val="nil"/>
              <w:bottom w:val="single" w:sz="4" w:space="0" w:color="auto"/>
              <w:right w:val="single" w:sz="4" w:space="0" w:color="auto"/>
            </w:tcBorders>
            <w:vAlign w:val="center"/>
          </w:tcPr>
          <w:p w14:paraId="4F7354E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GB/T17138-1997</w:t>
            </w:r>
          </w:p>
        </w:tc>
        <w:tc>
          <w:tcPr>
            <w:tcW w:w="1416" w:type="dxa"/>
            <w:tcBorders>
              <w:top w:val="single" w:sz="4" w:space="0" w:color="auto"/>
              <w:left w:val="nil"/>
              <w:bottom w:val="single" w:sz="4" w:space="0" w:color="auto"/>
              <w:right w:val="single" w:sz="4" w:space="0" w:color="auto"/>
            </w:tcBorders>
            <w:vAlign w:val="center"/>
          </w:tcPr>
          <w:p w14:paraId="168D20A0"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1mg/kg</w:t>
            </w:r>
          </w:p>
        </w:tc>
      </w:tr>
      <w:tr w:rsidR="00E579B9" w14:paraId="6A52087C"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2F75F46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8</w:t>
            </w:r>
          </w:p>
        </w:tc>
        <w:tc>
          <w:tcPr>
            <w:tcW w:w="2069" w:type="dxa"/>
            <w:tcBorders>
              <w:top w:val="single" w:sz="4" w:space="0" w:color="auto"/>
              <w:left w:val="nil"/>
              <w:bottom w:val="single" w:sz="4" w:space="0" w:color="auto"/>
              <w:right w:val="single" w:sz="4" w:space="0" w:color="auto"/>
            </w:tcBorders>
            <w:vAlign w:val="center"/>
          </w:tcPr>
          <w:p w14:paraId="5B2DDA26"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镍</w:t>
            </w:r>
          </w:p>
        </w:tc>
        <w:tc>
          <w:tcPr>
            <w:tcW w:w="2693" w:type="dxa"/>
            <w:tcBorders>
              <w:top w:val="single" w:sz="4" w:space="0" w:color="auto"/>
              <w:left w:val="nil"/>
              <w:bottom w:val="single" w:sz="4" w:space="0" w:color="auto"/>
              <w:right w:val="single" w:sz="4" w:space="0" w:color="auto"/>
            </w:tcBorders>
            <w:vAlign w:val="center"/>
          </w:tcPr>
          <w:p w14:paraId="0916CFA1"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土壤质量镍的测定火焰原子吸收分光光度法</w:t>
            </w:r>
          </w:p>
        </w:tc>
        <w:tc>
          <w:tcPr>
            <w:tcW w:w="1984" w:type="dxa"/>
            <w:tcBorders>
              <w:top w:val="single" w:sz="4" w:space="0" w:color="auto"/>
              <w:left w:val="nil"/>
              <w:bottom w:val="single" w:sz="4" w:space="0" w:color="auto"/>
              <w:right w:val="single" w:sz="4" w:space="0" w:color="auto"/>
            </w:tcBorders>
            <w:vAlign w:val="center"/>
          </w:tcPr>
          <w:p w14:paraId="4B281593"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GB/T17139-1997</w:t>
            </w:r>
          </w:p>
        </w:tc>
        <w:tc>
          <w:tcPr>
            <w:tcW w:w="1416" w:type="dxa"/>
            <w:tcBorders>
              <w:top w:val="single" w:sz="4" w:space="0" w:color="auto"/>
              <w:left w:val="nil"/>
              <w:bottom w:val="single" w:sz="4" w:space="0" w:color="auto"/>
              <w:right w:val="single" w:sz="4" w:space="0" w:color="auto"/>
            </w:tcBorders>
            <w:vAlign w:val="center"/>
          </w:tcPr>
          <w:p w14:paraId="5BD08A2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5mg/kg</w:t>
            </w:r>
          </w:p>
        </w:tc>
      </w:tr>
      <w:tr w:rsidR="00E579B9" w14:paraId="5BB99857"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681C6DF6"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9</w:t>
            </w:r>
          </w:p>
        </w:tc>
        <w:tc>
          <w:tcPr>
            <w:tcW w:w="2069" w:type="dxa"/>
            <w:tcBorders>
              <w:top w:val="single" w:sz="4" w:space="0" w:color="auto"/>
              <w:left w:val="nil"/>
              <w:bottom w:val="single" w:sz="4" w:space="0" w:color="auto"/>
              <w:right w:val="single" w:sz="4" w:space="0" w:color="auto"/>
            </w:tcBorders>
            <w:vAlign w:val="center"/>
          </w:tcPr>
          <w:p w14:paraId="25B36C4E"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四氯化碳</w:t>
            </w:r>
          </w:p>
        </w:tc>
        <w:tc>
          <w:tcPr>
            <w:tcW w:w="2693" w:type="dxa"/>
            <w:vMerge w:val="restart"/>
            <w:tcBorders>
              <w:top w:val="nil"/>
              <w:left w:val="nil"/>
              <w:bottom w:val="single" w:sz="4" w:space="0" w:color="auto"/>
              <w:right w:val="single" w:sz="4" w:space="0" w:color="auto"/>
            </w:tcBorders>
            <w:vAlign w:val="center"/>
          </w:tcPr>
          <w:p w14:paraId="6F4EC26D"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土壤和沉积物挥发性有机物的测定吹扫捕集</w:t>
            </w:r>
            <w:r>
              <w:rPr>
                <w:rFonts w:cs="Times New Roman"/>
                <w:sz w:val="21"/>
                <w:szCs w:val="21"/>
              </w:rPr>
              <w:t>/</w:t>
            </w:r>
            <w:r>
              <w:rPr>
                <w:rFonts w:ascii="宋体" w:hAnsi="宋体" w:cs="Times New Roman"/>
                <w:sz w:val="21"/>
                <w:szCs w:val="21"/>
              </w:rPr>
              <w:t>气相色谱</w:t>
            </w:r>
            <w:r>
              <w:rPr>
                <w:rFonts w:cs="Times New Roman"/>
                <w:sz w:val="21"/>
                <w:szCs w:val="21"/>
              </w:rPr>
              <w:t>-</w:t>
            </w:r>
            <w:r>
              <w:rPr>
                <w:rFonts w:ascii="宋体" w:hAnsi="宋体" w:cs="Times New Roman"/>
                <w:sz w:val="21"/>
                <w:szCs w:val="21"/>
              </w:rPr>
              <w:t>质谱法</w:t>
            </w:r>
          </w:p>
        </w:tc>
        <w:tc>
          <w:tcPr>
            <w:tcW w:w="1984" w:type="dxa"/>
            <w:vMerge w:val="restart"/>
            <w:tcBorders>
              <w:top w:val="nil"/>
              <w:left w:val="nil"/>
              <w:bottom w:val="single" w:sz="4" w:space="0" w:color="auto"/>
              <w:right w:val="single" w:sz="4" w:space="0" w:color="auto"/>
            </w:tcBorders>
            <w:vAlign w:val="center"/>
          </w:tcPr>
          <w:p w14:paraId="3B85C47D"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HJ605-2011</w:t>
            </w:r>
          </w:p>
        </w:tc>
        <w:tc>
          <w:tcPr>
            <w:tcW w:w="1416" w:type="dxa"/>
            <w:tcBorders>
              <w:top w:val="single" w:sz="4" w:space="0" w:color="auto"/>
              <w:left w:val="nil"/>
              <w:bottom w:val="single" w:sz="4" w:space="0" w:color="auto"/>
              <w:right w:val="single" w:sz="4" w:space="0" w:color="auto"/>
            </w:tcBorders>
            <w:vAlign w:val="center"/>
          </w:tcPr>
          <w:p w14:paraId="15CFB0AD"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1.3μg/kg</w:t>
            </w:r>
          </w:p>
        </w:tc>
      </w:tr>
      <w:tr w:rsidR="00E579B9" w14:paraId="7700E0F3"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7A1623FC"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10</w:t>
            </w:r>
          </w:p>
        </w:tc>
        <w:tc>
          <w:tcPr>
            <w:tcW w:w="2069" w:type="dxa"/>
            <w:tcBorders>
              <w:top w:val="single" w:sz="4" w:space="0" w:color="auto"/>
              <w:left w:val="nil"/>
              <w:bottom w:val="single" w:sz="4" w:space="0" w:color="auto"/>
              <w:right w:val="single" w:sz="4" w:space="0" w:color="auto"/>
            </w:tcBorders>
            <w:vAlign w:val="center"/>
          </w:tcPr>
          <w:p w14:paraId="3E6F675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氯仿</w:t>
            </w:r>
          </w:p>
        </w:tc>
        <w:tc>
          <w:tcPr>
            <w:tcW w:w="2693" w:type="dxa"/>
            <w:vMerge/>
            <w:tcBorders>
              <w:top w:val="nil"/>
              <w:left w:val="nil"/>
              <w:bottom w:val="single" w:sz="4" w:space="0" w:color="auto"/>
              <w:right w:val="single" w:sz="4" w:space="0" w:color="auto"/>
            </w:tcBorders>
            <w:vAlign w:val="center"/>
          </w:tcPr>
          <w:p w14:paraId="52DC6AEB"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6CFE8BF1"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7C4B7CD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1.1</w:t>
            </w:r>
            <w:r>
              <w:rPr>
                <w:rFonts w:cs="Times New Roman"/>
                <w:sz w:val="21"/>
                <w:szCs w:val="21"/>
              </w:rPr>
              <w:t>μg/kg</w:t>
            </w:r>
          </w:p>
        </w:tc>
      </w:tr>
      <w:tr w:rsidR="00E579B9" w14:paraId="10560D22"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77C2C7EE"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11</w:t>
            </w:r>
          </w:p>
        </w:tc>
        <w:tc>
          <w:tcPr>
            <w:tcW w:w="2069" w:type="dxa"/>
            <w:tcBorders>
              <w:top w:val="single" w:sz="4" w:space="0" w:color="auto"/>
              <w:left w:val="nil"/>
              <w:bottom w:val="single" w:sz="4" w:space="0" w:color="auto"/>
              <w:right w:val="single" w:sz="4" w:space="0" w:color="auto"/>
            </w:tcBorders>
            <w:vAlign w:val="center"/>
          </w:tcPr>
          <w:p w14:paraId="067CE6D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氯甲烷</w:t>
            </w:r>
          </w:p>
        </w:tc>
        <w:tc>
          <w:tcPr>
            <w:tcW w:w="2693" w:type="dxa"/>
            <w:vMerge/>
            <w:tcBorders>
              <w:top w:val="nil"/>
              <w:left w:val="nil"/>
              <w:bottom w:val="single" w:sz="4" w:space="0" w:color="auto"/>
              <w:right w:val="single" w:sz="4" w:space="0" w:color="auto"/>
            </w:tcBorders>
            <w:vAlign w:val="center"/>
          </w:tcPr>
          <w:p w14:paraId="00B0261E"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00B2EAE0"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6AE939AA"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1.0</w:t>
            </w:r>
            <w:r>
              <w:rPr>
                <w:rFonts w:cs="Times New Roman"/>
                <w:sz w:val="21"/>
                <w:szCs w:val="21"/>
              </w:rPr>
              <w:t>μg/kg</w:t>
            </w:r>
          </w:p>
        </w:tc>
      </w:tr>
      <w:tr w:rsidR="00E579B9" w14:paraId="3F11C09D"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5042788A"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p>
        </w:tc>
        <w:tc>
          <w:tcPr>
            <w:tcW w:w="2069" w:type="dxa"/>
            <w:tcBorders>
              <w:top w:val="single" w:sz="4" w:space="0" w:color="auto"/>
              <w:left w:val="nil"/>
              <w:bottom w:val="single" w:sz="4" w:space="0" w:color="auto"/>
              <w:right w:val="single" w:sz="4" w:space="0" w:color="auto"/>
            </w:tcBorders>
            <w:vAlign w:val="center"/>
          </w:tcPr>
          <w:p w14:paraId="21171FE6"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1-1</w:t>
            </w:r>
            <w:r>
              <w:rPr>
                <w:rFonts w:ascii="宋体" w:hAnsi="宋体" w:cs="Times New Roman"/>
                <w:sz w:val="21"/>
                <w:szCs w:val="21"/>
              </w:rPr>
              <w:t>二氯乙烷</w:t>
            </w:r>
          </w:p>
        </w:tc>
        <w:tc>
          <w:tcPr>
            <w:tcW w:w="2693" w:type="dxa"/>
            <w:vMerge/>
            <w:tcBorders>
              <w:top w:val="nil"/>
              <w:left w:val="nil"/>
              <w:bottom w:val="single" w:sz="4" w:space="0" w:color="auto"/>
              <w:right w:val="single" w:sz="4" w:space="0" w:color="auto"/>
            </w:tcBorders>
            <w:vAlign w:val="center"/>
          </w:tcPr>
          <w:p w14:paraId="0F2F8543"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2D18127D"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0F8A1344"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r>
              <w:rPr>
                <w:rFonts w:cs="Times New Roman"/>
                <w:sz w:val="21"/>
                <w:szCs w:val="21"/>
              </w:rPr>
              <w:t>μg/kg</w:t>
            </w:r>
          </w:p>
        </w:tc>
      </w:tr>
      <w:tr w:rsidR="00E579B9" w14:paraId="361D6A09"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2717279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13</w:t>
            </w:r>
          </w:p>
        </w:tc>
        <w:tc>
          <w:tcPr>
            <w:tcW w:w="2069" w:type="dxa"/>
            <w:tcBorders>
              <w:top w:val="single" w:sz="4" w:space="0" w:color="auto"/>
              <w:left w:val="nil"/>
              <w:bottom w:val="single" w:sz="4" w:space="0" w:color="auto"/>
              <w:right w:val="single" w:sz="4" w:space="0" w:color="auto"/>
            </w:tcBorders>
            <w:vAlign w:val="center"/>
          </w:tcPr>
          <w:p w14:paraId="3E57B76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1-2</w:t>
            </w:r>
            <w:r>
              <w:rPr>
                <w:rFonts w:ascii="宋体" w:hAnsi="宋体" w:cs="Times New Roman"/>
                <w:sz w:val="21"/>
                <w:szCs w:val="21"/>
              </w:rPr>
              <w:t>二氯乙烷</w:t>
            </w:r>
          </w:p>
        </w:tc>
        <w:tc>
          <w:tcPr>
            <w:tcW w:w="2693" w:type="dxa"/>
            <w:vMerge/>
            <w:tcBorders>
              <w:top w:val="nil"/>
              <w:left w:val="nil"/>
              <w:bottom w:val="single" w:sz="4" w:space="0" w:color="auto"/>
              <w:right w:val="single" w:sz="4" w:space="0" w:color="auto"/>
            </w:tcBorders>
            <w:vAlign w:val="center"/>
          </w:tcPr>
          <w:p w14:paraId="4623F6E9"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6CC41239"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38FBFCC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1.3</w:t>
            </w:r>
            <w:r>
              <w:rPr>
                <w:rFonts w:cs="Times New Roman"/>
                <w:sz w:val="21"/>
                <w:szCs w:val="21"/>
              </w:rPr>
              <w:t>μg/kg</w:t>
            </w:r>
          </w:p>
        </w:tc>
      </w:tr>
      <w:tr w:rsidR="00E579B9" w14:paraId="27EF0A70"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2179ABE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14</w:t>
            </w:r>
          </w:p>
        </w:tc>
        <w:tc>
          <w:tcPr>
            <w:tcW w:w="2069" w:type="dxa"/>
            <w:tcBorders>
              <w:top w:val="single" w:sz="4" w:space="0" w:color="auto"/>
              <w:left w:val="nil"/>
              <w:bottom w:val="single" w:sz="4" w:space="0" w:color="auto"/>
              <w:right w:val="single" w:sz="4" w:space="0" w:color="auto"/>
            </w:tcBorders>
            <w:vAlign w:val="center"/>
          </w:tcPr>
          <w:p w14:paraId="53C434C0"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1-1</w:t>
            </w:r>
            <w:proofErr w:type="gramStart"/>
            <w:r>
              <w:rPr>
                <w:rFonts w:ascii="宋体" w:hAnsi="宋体" w:cs="Times New Roman"/>
                <w:sz w:val="21"/>
                <w:szCs w:val="21"/>
              </w:rPr>
              <w:t>二</w:t>
            </w:r>
            <w:proofErr w:type="gramEnd"/>
            <w:r>
              <w:rPr>
                <w:rFonts w:ascii="宋体" w:hAnsi="宋体" w:cs="Times New Roman"/>
                <w:sz w:val="21"/>
                <w:szCs w:val="21"/>
              </w:rPr>
              <w:t>氯乙烯</w:t>
            </w:r>
          </w:p>
        </w:tc>
        <w:tc>
          <w:tcPr>
            <w:tcW w:w="2693" w:type="dxa"/>
            <w:vMerge/>
            <w:tcBorders>
              <w:top w:val="nil"/>
              <w:left w:val="nil"/>
              <w:bottom w:val="single" w:sz="4" w:space="0" w:color="auto"/>
              <w:right w:val="single" w:sz="4" w:space="0" w:color="auto"/>
            </w:tcBorders>
            <w:vAlign w:val="center"/>
          </w:tcPr>
          <w:p w14:paraId="29288B4F"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13751C36"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0EC7F42D"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1.0</w:t>
            </w:r>
            <w:r>
              <w:rPr>
                <w:rFonts w:cs="Times New Roman"/>
                <w:sz w:val="21"/>
                <w:szCs w:val="21"/>
              </w:rPr>
              <w:t>μg/kg</w:t>
            </w:r>
          </w:p>
        </w:tc>
      </w:tr>
      <w:tr w:rsidR="00E579B9" w14:paraId="3A348260"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187024FC"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lastRenderedPageBreak/>
              <w:t>15</w:t>
            </w:r>
          </w:p>
        </w:tc>
        <w:tc>
          <w:tcPr>
            <w:tcW w:w="2069" w:type="dxa"/>
            <w:tcBorders>
              <w:top w:val="single" w:sz="4" w:space="0" w:color="auto"/>
              <w:left w:val="nil"/>
              <w:bottom w:val="single" w:sz="4" w:space="0" w:color="auto"/>
              <w:right w:val="single" w:sz="4" w:space="0" w:color="auto"/>
            </w:tcBorders>
            <w:vAlign w:val="center"/>
          </w:tcPr>
          <w:p w14:paraId="2147972A"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顺</w:t>
            </w:r>
            <w:r>
              <w:rPr>
                <w:rFonts w:cs="Times New Roman"/>
                <w:sz w:val="21"/>
                <w:szCs w:val="21"/>
              </w:rPr>
              <w:t>-1,2-</w:t>
            </w:r>
            <w:r>
              <w:rPr>
                <w:rFonts w:ascii="宋体" w:hAnsi="宋体" w:cs="Times New Roman"/>
                <w:sz w:val="21"/>
                <w:szCs w:val="21"/>
              </w:rPr>
              <w:t>二氯乙烯</w:t>
            </w:r>
          </w:p>
        </w:tc>
        <w:tc>
          <w:tcPr>
            <w:tcW w:w="2693" w:type="dxa"/>
            <w:vMerge/>
            <w:tcBorders>
              <w:top w:val="nil"/>
              <w:left w:val="nil"/>
              <w:bottom w:val="single" w:sz="4" w:space="0" w:color="auto"/>
              <w:right w:val="single" w:sz="4" w:space="0" w:color="auto"/>
            </w:tcBorders>
            <w:vAlign w:val="center"/>
          </w:tcPr>
          <w:p w14:paraId="527EE1E6"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68AD24DF"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556C6391"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1.3</w:t>
            </w:r>
            <w:r>
              <w:rPr>
                <w:rFonts w:cs="Times New Roman"/>
                <w:sz w:val="21"/>
                <w:szCs w:val="21"/>
              </w:rPr>
              <w:t>μg/kg</w:t>
            </w:r>
          </w:p>
        </w:tc>
      </w:tr>
      <w:tr w:rsidR="00E579B9" w14:paraId="6C8D2912"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0B7A686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16</w:t>
            </w:r>
          </w:p>
        </w:tc>
        <w:tc>
          <w:tcPr>
            <w:tcW w:w="2069" w:type="dxa"/>
            <w:tcBorders>
              <w:top w:val="single" w:sz="4" w:space="0" w:color="auto"/>
              <w:left w:val="nil"/>
              <w:bottom w:val="single" w:sz="4" w:space="0" w:color="auto"/>
              <w:right w:val="single" w:sz="4" w:space="0" w:color="auto"/>
            </w:tcBorders>
            <w:vAlign w:val="center"/>
          </w:tcPr>
          <w:p w14:paraId="720414DA"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反</w:t>
            </w:r>
            <w:r>
              <w:rPr>
                <w:rFonts w:cs="Times New Roman"/>
                <w:sz w:val="21"/>
                <w:szCs w:val="21"/>
              </w:rPr>
              <w:t>-1,2-</w:t>
            </w:r>
            <w:r>
              <w:rPr>
                <w:rFonts w:ascii="宋体" w:hAnsi="宋体" w:cs="Times New Roman"/>
                <w:sz w:val="21"/>
                <w:szCs w:val="21"/>
              </w:rPr>
              <w:t>二氯乙烯</w:t>
            </w:r>
          </w:p>
        </w:tc>
        <w:tc>
          <w:tcPr>
            <w:tcW w:w="2693" w:type="dxa"/>
            <w:vMerge/>
            <w:tcBorders>
              <w:top w:val="nil"/>
              <w:left w:val="nil"/>
              <w:bottom w:val="single" w:sz="4" w:space="0" w:color="auto"/>
              <w:right w:val="single" w:sz="4" w:space="0" w:color="auto"/>
            </w:tcBorders>
            <w:vAlign w:val="center"/>
          </w:tcPr>
          <w:p w14:paraId="21A0DC71"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3335AE99"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2D77EB5D"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1.4</w:t>
            </w:r>
            <w:r>
              <w:rPr>
                <w:rFonts w:cs="Times New Roman"/>
                <w:sz w:val="21"/>
                <w:szCs w:val="21"/>
              </w:rPr>
              <w:t>μg/kg</w:t>
            </w:r>
          </w:p>
        </w:tc>
      </w:tr>
      <w:tr w:rsidR="00E579B9" w14:paraId="7786D0FF"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7E6D9304"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17</w:t>
            </w:r>
          </w:p>
        </w:tc>
        <w:tc>
          <w:tcPr>
            <w:tcW w:w="2069" w:type="dxa"/>
            <w:tcBorders>
              <w:top w:val="single" w:sz="4" w:space="0" w:color="auto"/>
              <w:left w:val="nil"/>
              <w:bottom w:val="single" w:sz="4" w:space="0" w:color="auto"/>
              <w:right w:val="single" w:sz="4" w:space="0" w:color="auto"/>
            </w:tcBorders>
            <w:vAlign w:val="center"/>
          </w:tcPr>
          <w:p w14:paraId="4CAE0DD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二氯甲烷</w:t>
            </w:r>
          </w:p>
        </w:tc>
        <w:tc>
          <w:tcPr>
            <w:tcW w:w="2693" w:type="dxa"/>
            <w:vMerge/>
            <w:tcBorders>
              <w:top w:val="nil"/>
              <w:left w:val="nil"/>
              <w:bottom w:val="single" w:sz="4" w:space="0" w:color="auto"/>
              <w:right w:val="single" w:sz="4" w:space="0" w:color="auto"/>
            </w:tcBorders>
            <w:vAlign w:val="center"/>
          </w:tcPr>
          <w:p w14:paraId="4C55E804"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16B2C569"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634C0C7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1.5</w:t>
            </w:r>
            <w:r>
              <w:rPr>
                <w:rFonts w:cs="Times New Roman"/>
                <w:sz w:val="21"/>
                <w:szCs w:val="21"/>
              </w:rPr>
              <w:t>μg/kg</w:t>
            </w:r>
          </w:p>
        </w:tc>
      </w:tr>
      <w:tr w:rsidR="00E579B9" w14:paraId="142ADCAC"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0A0CC771"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18</w:t>
            </w:r>
          </w:p>
        </w:tc>
        <w:tc>
          <w:tcPr>
            <w:tcW w:w="2069" w:type="dxa"/>
            <w:tcBorders>
              <w:top w:val="single" w:sz="4" w:space="0" w:color="auto"/>
              <w:left w:val="nil"/>
              <w:bottom w:val="single" w:sz="4" w:space="0" w:color="auto"/>
              <w:right w:val="single" w:sz="4" w:space="0" w:color="auto"/>
            </w:tcBorders>
            <w:vAlign w:val="center"/>
          </w:tcPr>
          <w:p w14:paraId="274BF6D2"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r>
              <w:rPr>
                <w:rFonts w:ascii="宋体" w:hAnsi="宋体" w:cs="Times New Roman" w:hint="eastAsia"/>
                <w:sz w:val="21"/>
                <w:szCs w:val="21"/>
              </w:rPr>
              <w:t>二氯丙烷</w:t>
            </w:r>
          </w:p>
        </w:tc>
        <w:tc>
          <w:tcPr>
            <w:tcW w:w="2693" w:type="dxa"/>
            <w:vMerge/>
            <w:tcBorders>
              <w:top w:val="nil"/>
              <w:left w:val="nil"/>
              <w:bottom w:val="single" w:sz="4" w:space="0" w:color="auto"/>
              <w:right w:val="single" w:sz="4" w:space="0" w:color="auto"/>
            </w:tcBorders>
            <w:vAlign w:val="center"/>
          </w:tcPr>
          <w:p w14:paraId="284895AE"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03A30151"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1F763062"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1.1</w:t>
            </w:r>
            <w:r>
              <w:rPr>
                <w:rFonts w:cs="Times New Roman"/>
                <w:sz w:val="21"/>
                <w:szCs w:val="21"/>
              </w:rPr>
              <w:t>μg/kg</w:t>
            </w:r>
          </w:p>
        </w:tc>
      </w:tr>
      <w:tr w:rsidR="00E579B9" w14:paraId="1345F91F"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4B606762"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19</w:t>
            </w:r>
          </w:p>
        </w:tc>
        <w:tc>
          <w:tcPr>
            <w:tcW w:w="2069" w:type="dxa"/>
            <w:tcBorders>
              <w:top w:val="single" w:sz="4" w:space="0" w:color="auto"/>
              <w:left w:val="nil"/>
              <w:bottom w:val="single" w:sz="4" w:space="0" w:color="auto"/>
              <w:right w:val="single" w:sz="4" w:space="0" w:color="auto"/>
            </w:tcBorders>
            <w:vAlign w:val="center"/>
          </w:tcPr>
          <w:p w14:paraId="4C6AFD9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1,1,1,2-</w:t>
            </w:r>
            <w:r>
              <w:rPr>
                <w:rFonts w:ascii="宋体" w:hAnsi="宋体" w:cs="Times New Roman"/>
                <w:sz w:val="21"/>
                <w:szCs w:val="21"/>
              </w:rPr>
              <w:t>四氯乙烷</w:t>
            </w:r>
          </w:p>
        </w:tc>
        <w:tc>
          <w:tcPr>
            <w:tcW w:w="2693" w:type="dxa"/>
            <w:vMerge/>
            <w:tcBorders>
              <w:top w:val="nil"/>
              <w:left w:val="nil"/>
              <w:bottom w:val="single" w:sz="4" w:space="0" w:color="auto"/>
              <w:right w:val="single" w:sz="4" w:space="0" w:color="auto"/>
            </w:tcBorders>
            <w:vAlign w:val="center"/>
          </w:tcPr>
          <w:p w14:paraId="3F8F14F2"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6F235D41"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3ABD828C"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r>
              <w:rPr>
                <w:rFonts w:cs="Times New Roman"/>
                <w:sz w:val="21"/>
                <w:szCs w:val="21"/>
              </w:rPr>
              <w:t>μg/kg</w:t>
            </w:r>
          </w:p>
        </w:tc>
      </w:tr>
      <w:tr w:rsidR="00E579B9" w14:paraId="4C8F0B72"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7E72DFF1"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20</w:t>
            </w:r>
          </w:p>
        </w:tc>
        <w:tc>
          <w:tcPr>
            <w:tcW w:w="2069" w:type="dxa"/>
            <w:tcBorders>
              <w:top w:val="single" w:sz="4" w:space="0" w:color="auto"/>
              <w:left w:val="nil"/>
              <w:bottom w:val="single" w:sz="4" w:space="0" w:color="auto"/>
              <w:right w:val="single" w:sz="4" w:space="0" w:color="auto"/>
            </w:tcBorders>
            <w:vAlign w:val="center"/>
          </w:tcPr>
          <w:p w14:paraId="18061DE9"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1,1,</w:t>
            </w:r>
            <w:r>
              <w:rPr>
                <w:rFonts w:cs="Times New Roman" w:hint="eastAsia"/>
                <w:sz w:val="21"/>
                <w:szCs w:val="21"/>
              </w:rPr>
              <w:t>2</w:t>
            </w:r>
            <w:r>
              <w:rPr>
                <w:rFonts w:cs="Times New Roman"/>
                <w:sz w:val="21"/>
                <w:szCs w:val="21"/>
              </w:rPr>
              <w:t>,2-</w:t>
            </w:r>
            <w:r>
              <w:rPr>
                <w:rFonts w:ascii="宋体" w:hAnsi="宋体" w:cs="Times New Roman"/>
                <w:sz w:val="21"/>
                <w:szCs w:val="21"/>
              </w:rPr>
              <w:t>四氯乙烷</w:t>
            </w:r>
          </w:p>
        </w:tc>
        <w:tc>
          <w:tcPr>
            <w:tcW w:w="2693" w:type="dxa"/>
            <w:vMerge/>
            <w:tcBorders>
              <w:top w:val="nil"/>
              <w:left w:val="nil"/>
              <w:bottom w:val="single" w:sz="4" w:space="0" w:color="auto"/>
              <w:right w:val="single" w:sz="4" w:space="0" w:color="auto"/>
            </w:tcBorders>
            <w:vAlign w:val="center"/>
          </w:tcPr>
          <w:p w14:paraId="3DB622C6"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0F60E970"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13E8298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r>
              <w:rPr>
                <w:rFonts w:cs="Times New Roman"/>
                <w:sz w:val="21"/>
                <w:szCs w:val="21"/>
              </w:rPr>
              <w:t>μg/kg</w:t>
            </w:r>
          </w:p>
        </w:tc>
      </w:tr>
      <w:tr w:rsidR="00E579B9" w14:paraId="4412833D"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26B6EC9B"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21</w:t>
            </w:r>
          </w:p>
        </w:tc>
        <w:tc>
          <w:tcPr>
            <w:tcW w:w="2069" w:type="dxa"/>
            <w:tcBorders>
              <w:top w:val="single" w:sz="4" w:space="0" w:color="auto"/>
              <w:left w:val="nil"/>
              <w:bottom w:val="single" w:sz="4" w:space="0" w:color="auto"/>
              <w:right w:val="single" w:sz="4" w:space="0" w:color="auto"/>
            </w:tcBorders>
            <w:vAlign w:val="center"/>
          </w:tcPr>
          <w:p w14:paraId="529FC821"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四氯乙烯</w:t>
            </w:r>
          </w:p>
        </w:tc>
        <w:tc>
          <w:tcPr>
            <w:tcW w:w="2693" w:type="dxa"/>
            <w:vMerge/>
            <w:tcBorders>
              <w:top w:val="nil"/>
              <w:left w:val="nil"/>
              <w:bottom w:val="single" w:sz="4" w:space="0" w:color="auto"/>
              <w:right w:val="single" w:sz="4" w:space="0" w:color="auto"/>
            </w:tcBorders>
            <w:vAlign w:val="center"/>
          </w:tcPr>
          <w:p w14:paraId="56CD8150"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24E6C669"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445676A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1.4</w:t>
            </w:r>
            <w:r>
              <w:rPr>
                <w:rFonts w:cs="Times New Roman"/>
                <w:sz w:val="21"/>
                <w:szCs w:val="21"/>
              </w:rPr>
              <w:t>μg/kg</w:t>
            </w:r>
          </w:p>
        </w:tc>
      </w:tr>
      <w:tr w:rsidR="00E579B9" w14:paraId="50DD88C4"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15419933"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22</w:t>
            </w:r>
          </w:p>
        </w:tc>
        <w:tc>
          <w:tcPr>
            <w:tcW w:w="2069" w:type="dxa"/>
            <w:tcBorders>
              <w:top w:val="single" w:sz="4" w:space="0" w:color="auto"/>
              <w:left w:val="nil"/>
              <w:bottom w:val="single" w:sz="4" w:space="0" w:color="auto"/>
              <w:right w:val="single" w:sz="4" w:space="0" w:color="auto"/>
            </w:tcBorders>
            <w:vAlign w:val="center"/>
          </w:tcPr>
          <w:p w14:paraId="109EEB6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1,1,1-</w:t>
            </w:r>
            <w:r>
              <w:rPr>
                <w:rFonts w:ascii="宋体" w:hAnsi="宋体" w:cs="Times New Roman"/>
                <w:sz w:val="21"/>
                <w:szCs w:val="21"/>
              </w:rPr>
              <w:t>三氯乙烷</w:t>
            </w:r>
          </w:p>
        </w:tc>
        <w:tc>
          <w:tcPr>
            <w:tcW w:w="2693" w:type="dxa"/>
            <w:vMerge/>
            <w:tcBorders>
              <w:top w:val="nil"/>
              <w:left w:val="nil"/>
              <w:bottom w:val="single" w:sz="4" w:space="0" w:color="auto"/>
              <w:right w:val="single" w:sz="4" w:space="0" w:color="auto"/>
            </w:tcBorders>
            <w:vAlign w:val="center"/>
          </w:tcPr>
          <w:p w14:paraId="3BBAB3C0"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048EAFF6"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7101105C"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1.3</w:t>
            </w:r>
            <w:r>
              <w:rPr>
                <w:rFonts w:cs="Times New Roman"/>
                <w:sz w:val="21"/>
                <w:szCs w:val="21"/>
              </w:rPr>
              <w:t>μg/kg</w:t>
            </w:r>
          </w:p>
        </w:tc>
      </w:tr>
      <w:tr w:rsidR="00E579B9" w14:paraId="51F8ABEE"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5DD49E0B"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23</w:t>
            </w:r>
          </w:p>
        </w:tc>
        <w:tc>
          <w:tcPr>
            <w:tcW w:w="2069" w:type="dxa"/>
            <w:tcBorders>
              <w:top w:val="single" w:sz="4" w:space="0" w:color="auto"/>
              <w:left w:val="nil"/>
              <w:bottom w:val="single" w:sz="4" w:space="0" w:color="auto"/>
              <w:right w:val="single" w:sz="4" w:space="0" w:color="auto"/>
            </w:tcBorders>
            <w:vAlign w:val="center"/>
          </w:tcPr>
          <w:p w14:paraId="40BFF9D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1,1,2-</w:t>
            </w:r>
            <w:r>
              <w:rPr>
                <w:rFonts w:ascii="宋体" w:hAnsi="宋体" w:cs="Times New Roman"/>
                <w:sz w:val="21"/>
                <w:szCs w:val="21"/>
              </w:rPr>
              <w:t>三氯乙烷</w:t>
            </w:r>
          </w:p>
        </w:tc>
        <w:tc>
          <w:tcPr>
            <w:tcW w:w="2693" w:type="dxa"/>
            <w:vMerge/>
            <w:tcBorders>
              <w:top w:val="nil"/>
              <w:left w:val="nil"/>
              <w:bottom w:val="single" w:sz="4" w:space="0" w:color="auto"/>
              <w:right w:val="single" w:sz="4" w:space="0" w:color="auto"/>
            </w:tcBorders>
            <w:vAlign w:val="center"/>
          </w:tcPr>
          <w:p w14:paraId="1FE091E3"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054970B5"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6D758EEA"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r>
              <w:rPr>
                <w:rFonts w:cs="Times New Roman"/>
                <w:sz w:val="21"/>
                <w:szCs w:val="21"/>
              </w:rPr>
              <w:t>μg/kg</w:t>
            </w:r>
          </w:p>
        </w:tc>
      </w:tr>
      <w:tr w:rsidR="00E579B9" w14:paraId="76ED0C0F"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4BE8AC4A"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24</w:t>
            </w:r>
          </w:p>
        </w:tc>
        <w:tc>
          <w:tcPr>
            <w:tcW w:w="2069" w:type="dxa"/>
            <w:tcBorders>
              <w:top w:val="single" w:sz="4" w:space="0" w:color="auto"/>
              <w:left w:val="nil"/>
              <w:bottom w:val="single" w:sz="4" w:space="0" w:color="auto"/>
              <w:right w:val="single" w:sz="4" w:space="0" w:color="auto"/>
            </w:tcBorders>
            <w:vAlign w:val="center"/>
          </w:tcPr>
          <w:p w14:paraId="38268320"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三氯乙烯</w:t>
            </w:r>
          </w:p>
        </w:tc>
        <w:tc>
          <w:tcPr>
            <w:tcW w:w="2693" w:type="dxa"/>
            <w:vMerge/>
            <w:tcBorders>
              <w:top w:val="nil"/>
              <w:left w:val="nil"/>
              <w:bottom w:val="single" w:sz="4" w:space="0" w:color="auto"/>
              <w:right w:val="single" w:sz="4" w:space="0" w:color="auto"/>
            </w:tcBorders>
            <w:vAlign w:val="center"/>
          </w:tcPr>
          <w:p w14:paraId="38814036"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51892C6F"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167A8FD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r>
              <w:rPr>
                <w:rFonts w:cs="Times New Roman"/>
                <w:sz w:val="21"/>
                <w:szCs w:val="21"/>
              </w:rPr>
              <w:t>μg/kg</w:t>
            </w:r>
          </w:p>
        </w:tc>
      </w:tr>
      <w:tr w:rsidR="00E579B9" w14:paraId="7D579A1F"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7EF49D4C"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25</w:t>
            </w:r>
          </w:p>
        </w:tc>
        <w:tc>
          <w:tcPr>
            <w:tcW w:w="2069" w:type="dxa"/>
            <w:tcBorders>
              <w:top w:val="single" w:sz="4" w:space="0" w:color="auto"/>
              <w:left w:val="nil"/>
              <w:bottom w:val="single" w:sz="4" w:space="0" w:color="auto"/>
              <w:right w:val="single" w:sz="4" w:space="0" w:color="auto"/>
            </w:tcBorders>
            <w:vAlign w:val="center"/>
          </w:tcPr>
          <w:p w14:paraId="09436493"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1,2,3-</w:t>
            </w:r>
            <w:r>
              <w:rPr>
                <w:rFonts w:ascii="宋体" w:hAnsi="宋体" w:cs="Times New Roman"/>
                <w:sz w:val="21"/>
                <w:szCs w:val="21"/>
              </w:rPr>
              <w:t>三氯丙烷</w:t>
            </w:r>
          </w:p>
        </w:tc>
        <w:tc>
          <w:tcPr>
            <w:tcW w:w="2693" w:type="dxa"/>
            <w:vMerge/>
            <w:tcBorders>
              <w:top w:val="nil"/>
              <w:left w:val="nil"/>
              <w:bottom w:val="single" w:sz="4" w:space="0" w:color="auto"/>
              <w:right w:val="single" w:sz="4" w:space="0" w:color="auto"/>
            </w:tcBorders>
            <w:vAlign w:val="center"/>
          </w:tcPr>
          <w:p w14:paraId="79760788"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400BEC16"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246CCF40"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r>
              <w:rPr>
                <w:rFonts w:cs="Times New Roman"/>
                <w:sz w:val="21"/>
                <w:szCs w:val="21"/>
              </w:rPr>
              <w:t>μg/kg</w:t>
            </w:r>
          </w:p>
        </w:tc>
      </w:tr>
      <w:tr w:rsidR="00E579B9" w14:paraId="4780C178"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24C0893B"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26</w:t>
            </w:r>
          </w:p>
        </w:tc>
        <w:tc>
          <w:tcPr>
            <w:tcW w:w="2069" w:type="dxa"/>
            <w:tcBorders>
              <w:top w:val="single" w:sz="4" w:space="0" w:color="auto"/>
              <w:left w:val="nil"/>
              <w:bottom w:val="single" w:sz="4" w:space="0" w:color="auto"/>
              <w:right w:val="single" w:sz="4" w:space="0" w:color="auto"/>
            </w:tcBorders>
            <w:vAlign w:val="center"/>
          </w:tcPr>
          <w:p w14:paraId="095D5A8E"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氯乙烯</w:t>
            </w:r>
          </w:p>
        </w:tc>
        <w:tc>
          <w:tcPr>
            <w:tcW w:w="2693" w:type="dxa"/>
            <w:vMerge/>
            <w:tcBorders>
              <w:top w:val="nil"/>
              <w:left w:val="nil"/>
              <w:bottom w:val="single" w:sz="4" w:space="0" w:color="auto"/>
              <w:right w:val="single" w:sz="4" w:space="0" w:color="auto"/>
            </w:tcBorders>
            <w:vAlign w:val="center"/>
          </w:tcPr>
          <w:p w14:paraId="5D679CF3"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6AFD0C49"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08CD4FF3"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1.0</w:t>
            </w:r>
            <w:r>
              <w:rPr>
                <w:rFonts w:cs="Times New Roman"/>
                <w:sz w:val="21"/>
                <w:szCs w:val="21"/>
              </w:rPr>
              <w:t>μg/kg</w:t>
            </w:r>
          </w:p>
        </w:tc>
      </w:tr>
      <w:tr w:rsidR="00E579B9" w14:paraId="7CC01B95"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318AE82B"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27</w:t>
            </w:r>
          </w:p>
        </w:tc>
        <w:tc>
          <w:tcPr>
            <w:tcW w:w="2069" w:type="dxa"/>
            <w:tcBorders>
              <w:top w:val="single" w:sz="4" w:space="0" w:color="auto"/>
              <w:left w:val="nil"/>
              <w:bottom w:val="single" w:sz="4" w:space="0" w:color="auto"/>
              <w:right w:val="single" w:sz="4" w:space="0" w:color="auto"/>
            </w:tcBorders>
            <w:vAlign w:val="center"/>
          </w:tcPr>
          <w:p w14:paraId="38F98FB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苯</w:t>
            </w:r>
          </w:p>
        </w:tc>
        <w:tc>
          <w:tcPr>
            <w:tcW w:w="2693" w:type="dxa"/>
            <w:vMerge/>
            <w:tcBorders>
              <w:top w:val="nil"/>
              <w:left w:val="nil"/>
              <w:bottom w:val="single" w:sz="4" w:space="0" w:color="auto"/>
              <w:right w:val="single" w:sz="4" w:space="0" w:color="auto"/>
            </w:tcBorders>
            <w:vAlign w:val="center"/>
          </w:tcPr>
          <w:p w14:paraId="590B2E01"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1CF0C3FE"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5B9BA2C4"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1.9</w:t>
            </w:r>
            <w:r>
              <w:rPr>
                <w:rFonts w:cs="Times New Roman"/>
                <w:sz w:val="21"/>
                <w:szCs w:val="21"/>
              </w:rPr>
              <w:t>μg/kg</w:t>
            </w:r>
          </w:p>
        </w:tc>
      </w:tr>
      <w:tr w:rsidR="00E579B9" w14:paraId="654ECD22"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70EF0FEC"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28</w:t>
            </w:r>
          </w:p>
        </w:tc>
        <w:tc>
          <w:tcPr>
            <w:tcW w:w="2069" w:type="dxa"/>
            <w:tcBorders>
              <w:top w:val="single" w:sz="4" w:space="0" w:color="auto"/>
              <w:left w:val="nil"/>
              <w:bottom w:val="single" w:sz="4" w:space="0" w:color="auto"/>
              <w:right w:val="single" w:sz="4" w:space="0" w:color="auto"/>
            </w:tcBorders>
            <w:vAlign w:val="center"/>
          </w:tcPr>
          <w:p w14:paraId="1E42C70C"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氯苯</w:t>
            </w:r>
          </w:p>
        </w:tc>
        <w:tc>
          <w:tcPr>
            <w:tcW w:w="2693" w:type="dxa"/>
            <w:vMerge/>
            <w:tcBorders>
              <w:top w:val="nil"/>
              <w:left w:val="nil"/>
              <w:bottom w:val="single" w:sz="4" w:space="0" w:color="auto"/>
              <w:right w:val="single" w:sz="4" w:space="0" w:color="auto"/>
            </w:tcBorders>
            <w:vAlign w:val="center"/>
          </w:tcPr>
          <w:p w14:paraId="02DAEA02"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23500F9E"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5173DF6A"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r>
              <w:rPr>
                <w:rFonts w:cs="Times New Roman"/>
                <w:sz w:val="21"/>
                <w:szCs w:val="21"/>
              </w:rPr>
              <w:t>μg/kg</w:t>
            </w:r>
          </w:p>
        </w:tc>
      </w:tr>
      <w:tr w:rsidR="00E579B9" w14:paraId="5823245B"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1B207336"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29</w:t>
            </w:r>
          </w:p>
        </w:tc>
        <w:tc>
          <w:tcPr>
            <w:tcW w:w="2069" w:type="dxa"/>
            <w:tcBorders>
              <w:top w:val="single" w:sz="4" w:space="0" w:color="auto"/>
              <w:left w:val="nil"/>
              <w:bottom w:val="single" w:sz="4" w:space="0" w:color="auto"/>
              <w:right w:val="single" w:sz="4" w:space="0" w:color="auto"/>
            </w:tcBorders>
            <w:vAlign w:val="center"/>
          </w:tcPr>
          <w:p w14:paraId="46F09AA2"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1,2-</w:t>
            </w:r>
            <w:r>
              <w:rPr>
                <w:rFonts w:ascii="宋体" w:hAnsi="宋体" w:cs="Times New Roman"/>
                <w:sz w:val="21"/>
                <w:szCs w:val="21"/>
              </w:rPr>
              <w:t>二氯苯</w:t>
            </w:r>
          </w:p>
        </w:tc>
        <w:tc>
          <w:tcPr>
            <w:tcW w:w="2693" w:type="dxa"/>
            <w:vMerge/>
            <w:tcBorders>
              <w:top w:val="nil"/>
              <w:left w:val="nil"/>
              <w:bottom w:val="single" w:sz="4" w:space="0" w:color="auto"/>
              <w:right w:val="single" w:sz="4" w:space="0" w:color="auto"/>
            </w:tcBorders>
            <w:vAlign w:val="center"/>
          </w:tcPr>
          <w:p w14:paraId="176925A6"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37D62141"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2CC68D30"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1.5</w:t>
            </w:r>
            <w:r>
              <w:rPr>
                <w:rFonts w:cs="Times New Roman"/>
                <w:sz w:val="21"/>
                <w:szCs w:val="21"/>
              </w:rPr>
              <w:t>μg/kg</w:t>
            </w:r>
          </w:p>
        </w:tc>
      </w:tr>
      <w:tr w:rsidR="00E579B9" w14:paraId="2B19A162"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5736A08E"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30</w:t>
            </w:r>
          </w:p>
        </w:tc>
        <w:tc>
          <w:tcPr>
            <w:tcW w:w="2069" w:type="dxa"/>
            <w:tcBorders>
              <w:top w:val="single" w:sz="4" w:space="0" w:color="auto"/>
              <w:left w:val="nil"/>
              <w:bottom w:val="single" w:sz="4" w:space="0" w:color="auto"/>
              <w:right w:val="single" w:sz="4" w:space="0" w:color="auto"/>
            </w:tcBorders>
            <w:vAlign w:val="center"/>
          </w:tcPr>
          <w:p w14:paraId="65BA5E32"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1,4-</w:t>
            </w:r>
            <w:r>
              <w:rPr>
                <w:rFonts w:ascii="宋体" w:hAnsi="宋体" w:cs="Times New Roman"/>
                <w:sz w:val="21"/>
                <w:szCs w:val="21"/>
              </w:rPr>
              <w:t>二氯苯</w:t>
            </w:r>
          </w:p>
        </w:tc>
        <w:tc>
          <w:tcPr>
            <w:tcW w:w="2693" w:type="dxa"/>
            <w:vMerge/>
            <w:tcBorders>
              <w:top w:val="nil"/>
              <w:left w:val="nil"/>
              <w:bottom w:val="single" w:sz="4" w:space="0" w:color="auto"/>
              <w:right w:val="single" w:sz="4" w:space="0" w:color="auto"/>
            </w:tcBorders>
            <w:vAlign w:val="center"/>
          </w:tcPr>
          <w:p w14:paraId="39BC929C"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12513A79"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513CF89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1.5</w:t>
            </w:r>
            <w:r>
              <w:rPr>
                <w:rFonts w:cs="Times New Roman"/>
                <w:sz w:val="21"/>
                <w:szCs w:val="21"/>
              </w:rPr>
              <w:t>μg/kg</w:t>
            </w:r>
          </w:p>
        </w:tc>
      </w:tr>
      <w:tr w:rsidR="00E579B9" w14:paraId="72E2F9C5"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1150EEFE"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31</w:t>
            </w:r>
          </w:p>
        </w:tc>
        <w:tc>
          <w:tcPr>
            <w:tcW w:w="2069" w:type="dxa"/>
            <w:tcBorders>
              <w:top w:val="single" w:sz="4" w:space="0" w:color="auto"/>
              <w:left w:val="nil"/>
              <w:bottom w:val="single" w:sz="4" w:space="0" w:color="auto"/>
              <w:right w:val="single" w:sz="4" w:space="0" w:color="auto"/>
            </w:tcBorders>
            <w:vAlign w:val="center"/>
          </w:tcPr>
          <w:p w14:paraId="68ED3733"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乙苯</w:t>
            </w:r>
          </w:p>
        </w:tc>
        <w:tc>
          <w:tcPr>
            <w:tcW w:w="2693" w:type="dxa"/>
            <w:vMerge/>
            <w:tcBorders>
              <w:top w:val="nil"/>
              <w:left w:val="nil"/>
              <w:bottom w:val="single" w:sz="4" w:space="0" w:color="auto"/>
              <w:right w:val="single" w:sz="4" w:space="0" w:color="auto"/>
            </w:tcBorders>
            <w:vAlign w:val="center"/>
          </w:tcPr>
          <w:p w14:paraId="6F6B90D1"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0C9F9458"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610AB58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r>
              <w:rPr>
                <w:rFonts w:cs="Times New Roman"/>
                <w:sz w:val="21"/>
                <w:szCs w:val="21"/>
              </w:rPr>
              <w:t>μg/kg</w:t>
            </w:r>
          </w:p>
        </w:tc>
      </w:tr>
      <w:tr w:rsidR="00E579B9" w14:paraId="3A9FECAC"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0894F2D4"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32</w:t>
            </w:r>
          </w:p>
        </w:tc>
        <w:tc>
          <w:tcPr>
            <w:tcW w:w="2069" w:type="dxa"/>
            <w:tcBorders>
              <w:top w:val="single" w:sz="4" w:space="0" w:color="auto"/>
              <w:left w:val="nil"/>
              <w:bottom w:val="single" w:sz="4" w:space="0" w:color="auto"/>
              <w:right w:val="single" w:sz="4" w:space="0" w:color="auto"/>
            </w:tcBorders>
            <w:vAlign w:val="center"/>
          </w:tcPr>
          <w:p w14:paraId="5534770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苯乙烯</w:t>
            </w:r>
          </w:p>
        </w:tc>
        <w:tc>
          <w:tcPr>
            <w:tcW w:w="2693" w:type="dxa"/>
            <w:vMerge/>
            <w:tcBorders>
              <w:top w:val="nil"/>
              <w:left w:val="nil"/>
              <w:bottom w:val="single" w:sz="4" w:space="0" w:color="auto"/>
              <w:right w:val="single" w:sz="4" w:space="0" w:color="auto"/>
            </w:tcBorders>
            <w:vAlign w:val="center"/>
          </w:tcPr>
          <w:p w14:paraId="58C6EA02"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620C3DD8"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0AAD6F9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1.1</w:t>
            </w:r>
            <w:r>
              <w:rPr>
                <w:rFonts w:cs="Times New Roman"/>
                <w:sz w:val="21"/>
                <w:szCs w:val="21"/>
              </w:rPr>
              <w:t>μg/kg</w:t>
            </w:r>
          </w:p>
        </w:tc>
      </w:tr>
      <w:tr w:rsidR="00E579B9" w14:paraId="0A628E34"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2447480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33</w:t>
            </w:r>
          </w:p>
        </w:tc>
        <w:tc>
          <w:tcPr>
            <w:tcW w:w="2069" w:type="dxa"/>
            <w:tcBorders>
              <w:top w:val="single" w:sz="4" w:space="0" w:color="auto"/>
              <w:left w:val="nil"/>
              <w:bottom w:val="single" w:sz="4" w:space="0" w:color="auto"/>
              <w:right w:val="single" w:sz="4" w:space="0" w:color="auto"/>
            </w:tcBorders>
            <w:vAlign w:val="center"/>
          </w:tcPr>
          <w:p w14:paraId="5DA2B0D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甲苯</w:t>
            </w:r>
          </w:p>
        </w:tc>
        <w:tc>
          <w:tcPr>
            <w:tcW w:w="2693" w:type="dxa"/>
            <w:vMerge/>
            <w:tcBorders>
              <w:top w:val="nil"/>
              <w:left w:val="nil"/>
              <w:bottom w:val="single" w:sz="4" w:space="0" w:color="auto"/>
              <w:right w:val="single" w:sz="4" w:space="0" w:color="auto"/>
            </w:tcBorders>
            <w:vAlign w:val="center"/>
          </w:tcPr>
          <w:p w14:paraId="456838AC"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4A52FA45"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6C581676"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1.3</w:t>
            </w:r>
            <w:r>
              <w:rPr>
                <w:rFonts w:cs="Times New Roman"/>
                <w:sz w:val="21"/>
                <w:szCs w:val="21"/>
              </w:rPr>
              <w:t>μg/kg</w:t>
            </w:r>
          </w:p>
        </w:tc>
      </w:tr>
      <w:tr w:rsidR="00E579B9" w14:paraId="0FE08EB6"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01F61292"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34</w:t>
            </w:r>
          </w:p>
        </w:tc>
        <w:tc>
          <w:tcPr>
            <w:tcW w:w="2069" w:type="dxa"/>
            <w:tcBorders>
              <w:top w:val="single" w:sz="4" w:space="0" w:color="auto"/>
              <w:left w:val="nil"/>
              <w:bottom w:val="single" w:sz="4" w:space="0" w:color="auto"/>
              <w:right w:val="single" w:sz="4" w:space="0" w:color="auto"/>
            </w:tcBorders>
            <w:vAlign w:val="center"/>
          </w:tcPr>
          <w:p w14:paraId="58332EEC"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间二甲苯</w:t>
            </w:r>
            <w:r>
              <w:rPr>
                <w:rFonts w:cs="Times New Roman"/>
                <w:sz w:val="21"/>
                <w:szCs w:val="21"/>
              </w:rPr>
              <w:t>+</w:t>
            </w:r>
            <w:r>
              <w:rPr>
                <w:rFonts w:ascii="宋体" w:hAnsi="宋体" w:cs="Times New Roman"/>
                <w:sz w:val="21"/>
                <w:szCs w:val="21"/>
              </w:rPr>
              <w:t>对二甲苯</w:t>
            </w:r>
          </w:p>
        </w:tc>
        <w:tc>
          <w:tcPr>
            <w:tcW w:w="2693" w:type="dxa"/>
            <w:vMerge/>
            <w:tcBorders>
              <w:top w:val="nil"/>
              <w:left w:val="nil"/>
              <w:bottom w:val="single" w:sz="4" w:space="0" w:color="auto"/>
              <w:right w:val="single" w:sz="4" w:space="0" w:color="auto"/>
            </w:tcBorders>
            <w:vAlign w:val="center"/>
          </w:tcPr>
          <w:p w14:paraId="3E9C034E"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0237A394"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2B8B08E2"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r>
              <w:rPr>
                <w:rFonts w:cs="Times New Roman"/>
                <w:sz w:val="21"/>
                <w:szCs w:val="21"/>
              </w:rPr>
              <w:t>μg/kg</w:t>
            </w:r>
          </w:p>
        </w:tc>
      </w:tr>
      <w:tr w:rsidR="00E579B9" w14:paraId="1CE90F89"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34CFA6F9"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35</w:t>
            </w:r>
          </w:p>
        </w:tc>
        <w:tc>
          <w:tcPr>
            <w:tcW w:w="2069" w:type="dxa"/>
            <w:tcBorders>
              <w:top w:val="single" w:sz="4" w:space="0" w:color="auto"/>
              <w:left w:val="nil"/>
              <w:bottom w:val="single" w:sz="4" w:space="0" w:color="auto"/>
              <w:right w:val="single" w:sz="4" w:space="0" w:color="auto"/>
            </w:tcBorders>
            <w:vAlign w:val="center"/>
          </w:tcPr>
          <w:p w14:paraId="1D45638B"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邻二甲苯</w:t>
            </w:r>
          </w:p>
        </w:tc>
        <w:tc>
          <w:tcPr>
            <w:tcW w:w="2693" w:type="dxa"/>
            <w:vMerge/>
            <w:tcBorders>
              <w:top w:val="nil"/>
              <w:left w:val="nil"/>
              <w:bottom w:val="single" w:sz="4" w:space="0" w:color="auto"/>
              <w:right w:val="single" w:sz="4" w:space="0" w:color="auto"/>
            </w:tcBorders>
            <w:vAlign w:val="center"/>
          </w:tcPr>
          <w:p w14:paraId="0A08911C"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05B388D6"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53952CEB"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1.2</w:t>
            </w:r>
            <w:r>
              <w:rPr>
                <w:rFonts w:cs="Times New Roman"/>
                <w:sz w:val="21"/>
                <w:szCs w:val="21"/>
              </w:rPr>
              <w:t>μg/kg</w:t>
            </w:r>
          </w:p>
        </w:tc>
      </w:tr>
      <w:tr w:rsidR="00E579B9" w14:paraId="7C07DD73"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3405BE4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36</w:t>
            </w:r>
          </w:p>
        </w:tc>
        <w:tc>
          <w:tcPr>
            <w:tcW w:w="2069" w:type="dxa"/>
            <w:tcBorders>
              <w:top w:val="single" w:sz="4" w:space="0" w:color="auto"/>
              <w:left w:val="nil"/>
              <w:bottom w:val="single" w:sz="4" w:space="0" w:color="auto"/>
              <w:right w:val="single" w:sz="4" w:space="0" w:color="auto"/>
            </w:tcBorders>
            <w:vAlign w:val="center"/>
          </w:tcPr>
          <w:p w14:paraId="5B619CE2"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硝基苯</w:t>
            </w:r>
          </w:p>
        </w:tc>
        <w:tc>
          <w:tcPr>
            <w:tcW w:w="2693" w:type="dxa"/>
            <w:vMerge w:val="restart"/>
            <w:tcBorders>
              <w:top w:val="nil"/>
              <w:left w:val="nil"/>
              <w:bottom w:val="single" w:sz="4" w:space="0" w:color="auto"/>
              <w:right w:val="single" w:sz="4" w:space="0" w:color="auto"/>
            </w:tcBorders>
            <w:vAlign w:val="center"/>
          </w:tcPr>
          <w:p w14:paraId="4ACC63F1"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土壤和沉积物半挥发性有机物的测定气相色谱</w:t>
            </w:r>
            <w:r>
              <w:rPr>
                <w:rFonts w:cs="Times New Roman"/>
                <w:sz w:val="21"/>
                <w:szCs w:val="21"/>
              </w:rPr>
              <w:t>-</w:t>
            </w:r>
          </w:p>
          <w:p w14:paraId="1E22E63A"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质谱法</w:t>
            </w:r>
          </w:p>
        </w:tc>
        <w:tc>
          <w:tcPr>
            <w:tcW w:w="1984" w:type="dxa"/>
            <w:vMerge w:val="restart"/>
            <w:tcBorders>
              <w:top w:val="nil"/>
              <w:left w:val="nil"/>
              <w:bottom w:val="single" w:sz="4" w:space="0" w:color="auto"/>
              <w:right w:val="single" w:sz="4" w:space="0" w:color="auto"/>
            </w:tcBorders>
            <w:vAlign w:val="center"/>
          </w:tcPr>
          <w:p w14:paraId="3BE6F219"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HJ834-2017</w:t>
            </w:r>
          </w:p>
        </w:tc>
        <w:tc>
          <w:tcPr>
            <w:tcW w:w="1416" w:type="dxa"/>
            <w:tcBorders>
              <w:top w:val="single" w:sz="4" w:space="0" w:color="auto"/>
              <w:left w:val="nil"/>
              <w:bottom w:val="single" w:sz="4" w:space="0" w:color="auto"/>
              <w:right w:val="single" w:sz="4" w:space="0" w:color="auto"/>
            </w:tcBorders>
            <w:vAlign w:val="center"/>
          </w:tcPr>
          <w:p w14:paraId="25E2774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0.09mg/kg</w:t>
            </w:r>
          </w:p>
        </w:tc>
      </w:tr>
      <w:tr w:rsidR="00E579B9" w14:paraId="3C2232B8"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54C7771E"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37</w:t>
            </w:r>
          </w:p>
        </w:tc>
        <w:tc>
          <w:tcPr>
            <w:tcW w:w="2069" w:type="dxa"/>
            <w:tcBorders>
              <w:top w:val="single" w:sz="4" w:space="0" w:color="auto"/>
              <w:left w:val="nil"/>
              <w:bottom w:val="single" w:sz="4" w:space="0" w:color="auto"/>
              <w:right w:val="single" w:sz="4" w:space="0" w:color="auto"/>
            </w:tcBorders>
            <w:vAlign w:val="center"/>
          </w:tcPr>
          <w:p w14:paraId="03319AE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苯胺</w:t>
            </w:r>
          </w:p>
        </w:tc>
        <w:tc>
          <w:tcPr>
            <w:tcW w:w="2693" w:type="dxa"/>
            <w:vMerge/>
            <w:tcBorders>
              <w:top w:val="nil"/>
              <w:left w:val="nil"/>
              <w:bottom w:val="single" w:sz="4" w:space="0" w:color="auto"/>
              <w:right w:val="single" w:sz="4" w:space="0" w:color="auto"/>
            </w:tcBorders>
            <w:vAlign w:val="center"/>
          </w:tcPr>
          <w:p w14:paraId="21117EEB"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373ECAC6"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7EF5F0C2"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w:t>
            </w:r>
          </w:p>
        </w:tc>
      </w:tr>
      <w:tr w:rsidR="00E579B9" w14:paraId="5647A726"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07009A9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38</w:t>
            </w:r>
          </w:p>
        </w:tc>
        <w:tc>
          <w:tcPr>
            <w:tcW w:w="2069" w:type="dxa"/>
            <w:tcBorders>
              <w:top w:val="single" w:sz="4" w:space="0" w:color="auto"/>
              <w:left w:val="nil"/>
              <w:bottom w:val="single" w:sz="4" w:space="0" w:color="auto"/>
              <w:right w:val="single" w:sz="4" w:space="0" w:color="auto"/>
            </w:tcBorders>
            <w:vAlign w:val="center"/>
          </w:tcPr>
          <w:p w14:paraId="3D370286"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2-</w:t>
            </w:r>
            <w:r>
              <w:rPr>
                <w:rFonts w:ascii="宋体" w:hAnsi="宋体" w:cs="Times New Roman"/>
                <w:sz w:val="21"/>
                <w:szCs w:val="21"/>
              </w:rPr>
              <w:t>氯酚</w:t>
            </w:r>
          </w:p>
        </w:tc>
        <w:tc>
          <w:tcPr>
            <w:tcW w:w="2693" w:type="dxa"/>
            <w:vMerge/>
            <w:tcBorders>
              <w:top w:val="nil"/>
              <w:left w:val="nil"/>
              <w:bottom w:val="single" w:sz="4" w:space="0" w:color="auto"/>
              <w:right w:val="single" w:sz="4" w:space="0" w:color="auto"/>
            </w:tcBorders>
            <w:vAlign w:val="center"/>
          </w:tcPr>
          <w:p w14:paraId="02689198"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00A62F91"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027B7BC3"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0.06mg/kg</w:t>
            </w:r>
          </w:p>
        </w:tc>
      </w:tr>
      <w:tr w:rsidR="00E579B9" w14:paraId="613B7BC2"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15E4362E"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39</w:t>
            </w:r>
          </w:p>
        </w:tc>
        <w:tc>
          <w:tcPr>
            <w:tcW w:w="2069" w:type="dxa"/>
            <w:tcBorders>
              <w:top w:val="single" w:sz="4" w:space="0" w:color="auto"/>
              <w:left w:val="nil"/>
              <w:bottom w:val="single" w:sz="4" w:space="0" w:color="auto"/>
              <w:right w:val="single" w:sz="4" w:space="0" w:color="auto"/>
            </w:tcBorders>
            <w:vAlign w:val="center"/>
          </w:tcPr>
          <w:p w14:paraId="6EFF4971"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苯并</w:t>
            </w:r>
            <w:r>
              <w:rPr>
                <w:rFonts w:cs="Times New Roman"/>
                <w:sz w:val="21"/>
                <w:szCs w:val="21"/>
              </w:rPr>
              <w:t>[a]</w:t>
            </w:r>
            <w:proofErr w:type="gramStart"/>
            <w:r>
              <w:rPr>
                <w:rFonts w:ascii="宋体" w:hAnsi="宋体" w:cs="Times New Roman"/>
                <w:sz w:val="21"/>
                <w:szCs w:val="21"/>
              </w:rPr>
              <w:t>蒽</w:t>
            </w:r>
            <w:proofErr w:type="gramEnd"/>
          </w:p>
        </w:tc>
        <w:tc>
          <w:tcPr>
            <w:tcW w:w="2693" w:type="dxa"/>
            <w:vMerge w:val="restart"/>
            <w:tcBorders>
              <w:top w:val="nil"/>
              <w:left w:val="nil"/>
              <w:bottom w:val="single" w:sz="4" w:space="0" w:color="auto"/>
              <w:right w:val="single" w:sz="4" w:space="0" w:color="auto"/>
            </w:tcBorders>
            <w:vAlign w:val="center"/>
          </w:tcPr>
          <w:p w14:paraId="52B15FD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土壤和沉积物多环芳烃的测定高效液相色谱法</w:t>
            </w:r>
          </w:p>
        </w:tc>
        <w:tc>
          <w:tcPr>
            <w:tcW w:w="1984" w:type="dxa"/>
            <w:vMerge w:val="restart"/>
            <w:tcBorders>
              <w:top w:val="nil"/>
              <w:left w:val="nil"/>
              <w:bottom w:val="single" w:sz="4" w:space="0" w:color="auto"/>
              <w:right w:val="single" w:sz="4" w:space="0" w:color="auto"/>
            </w:tcBorders>
            <w:vAlign w:val="center"/>
          </w:tcPr>
          <w:p w14:paraId="79B7D689"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HJ784-2016</w:t>
            </w:r>
          </w:p>
        </w:tc>
        <w:tc>
          <w:tcPr>
            <w:tcW w:w="1416" w:type="dxa"/>
            <w:tcBorders>
              <w:top w:val="single" w:sz="4" w:space="0" w:color="auto"/>
              <w:left w:val="nil"/>
              <w:bottom w:val="single" w:sz="4" w:space="0" w:color="auto"/>
              <w:right w:val="single" w:sz="4" w:space="0" w:color="auto"/>
            </w:tcBorders>
            <w:vAlign w:val="center"/>
          </w:tcPr>
          <w:p w14:paraId="1CAE2E86"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4</w:t>
            </w:r>
            <w:r>
              <w:rPr>
                <w:rFonts w:cs="Times New Roman"/>
                <w:sz w:val="21"/>
                <w:szCs w:val="21"/>
              </w:rPr>
              <w:t>μg/kg</w:t>
            </w:r>
          </w:p>
        </w:tc>
      </w:tr>
      <w:tr w:rsidR="00E579B9" w14:paraId="0952D536"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42079A5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40</w:t>
            </w:r>
          </w:p>
        </w:tc>
        <w:tc>
          <w:tcPr>
            <w:tcW w:w="2069" w:type="dxa"/>
            <w:tcBorders>
              <w:top w:val="single" w:sz="4" w:space="0" w:color="auto"/>
              <w:left w:val="nil"/>
              <w:bottom w:val="single" w:sz="4" w:space="0" w:color="auto"/>
              <w:right w:val="single" w:sz="4" w:space="0" w:color="auto"/>
            </w:tcBorders>
            <w:vAlign w:val="center"/>
          </w:tcPr>
          <w:p w14:paraId="38B8E5C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苯并</w:t>
            </w:r>
            <w:r>
              <w:rPr>
                <w:rFonts w:cs="Times New Roman"/>
                <w:sz w:val="21"/>
                <w:szCs w:val="21"/>
              </w:rPr>
              <w:t>[a]</w:t>
            </w:r>
            <w:proofErr w:type="gramStart"/>
            <w:r>
              <w:rPr>
                <w:rFonts w:ascii="宋体" w:hAnsi="宋体" w:cs="Times New Roman"/>
                <w:sz w:val="21"/>
                <w:szCs w:val="21"/>
              </w:rPr>
              <w:t>芘</w:t>
            </w:r>
            <w:proofErr w:type="gramEnd"/>
          </w:p>
        </w:tc>
        <w:tc>
          <w:tcPr>
            <w:tcW w:w="2693" w:type="dxa"/>
            <w:vMerge/>
            <w:tcBorders>
              <w:top w:val="nil"/>
              <w:left w:val="nil"/>
              <w:bottom w:val="single" w:sz="4" w:space="0" w:color="auto"/>
              <w:right w:val="single" w:sz="4" w:space="0" w:color="auto"/>
            </w:tcBorders>
            <w:vAlign w:val="center"/>
          </w:tcPr>
          <w:p w14:paraId="2853EBE5"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368D798C"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6C7CC30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5</w:t>
            </w:r>
            <w:r>
              <w:rPr>
                <w:rFonts w:cs="Times New Roman"/>
                <w:sz w:val="21"/>
                <w:szCs w:val="21"/>
              </w:rPr>
              <w:t>μg/kg</w:t>
            </w:r>
          </w:p>
        </w:tc>
      </w:tr>
      <w:tr w:rsidR="00E579B9" w14:paraId="652484BA"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49CA4139"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41</w:t>
            </w:r>
          </w:p>
        </w:tc>
        <w:tc>
          <w:tcPr>
            <w:tcW w:w="2069" w:type="dxa"/>
            <w:tcBorders>
              <w:top w:val="single" w:sz="4" w:space="0" w:color="auto"/>
              <w:left w:val="nil"/>
              <w:bottom w:val="single" w:sz="4" w:space="0" w:color="auto"/>
              <w:right w:val="single" w:sz="4" w:space="0" w:color="auto"/>
            </w:tcBorders>
            <w:vAlign w:val="center"/>
          </w:tcPr>
          <w:p w14:paraId="6F3501EB"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苯并</w:t>
            </w:r>
            <w:r>
              <w:rPr>
                <w:rFonts w:cs="Times New Roman"/>
                <w:sz w:val="21"/>
                <w:szCs w:val="21"/>
              </w:rPr>
              <w:t>[b]</w:t>
            </w:r>
            <w:proofErr w:type="gramStart"/>
            <w:r>
              <w:rPr>
                <w:rFonts w:ascii="宋体" w:hAnsi="宋体" w:cs="Times New Roman"/>
                <w:sz w:val="21"/>
                <w:szCs w:val="21"/>
              </w:rPr>
              <w:t>荧蒽</w:t>
            </w:r>
            <w:proofErr w:type="gramEnd"/>
          </w:p>
        </w:tc>
        <w:tc>
          <w:tcPr>
            <w:tcW w:w="2693" w:type="dxa"/>
            <w:vMerge/>
            <w:tcBorders>
              <w:top w:val="nil"/>
              <w:left w:val="nil"/>
              <w:bottom w:val="single" w:sz="4" w:space="0" w:color="auto"/>
              <w:right w:val="single" w:sz="4" w:space="0" w:color="auto"/>
            </w:tcBorders>
            <w:vAlign w:val="center"/>
          </w:tcPr>
          <w:p w14:paraId="5F9788E2"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536B3153"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5250143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5</w:t>
            </w:r>
            <w:r>
              <w:rPr>
                <w:rFonts w:cs="Times New Roman"/>
                <w:sz w:val="21"/>
                <w:szCs w:val="21"/>
              </w:rPr>
              <w:t>μg/kg</w:t>
            </w:r>
          </w:p>
        </w:tc>
      </w:tr>
      <w:tr w:rsidR="00E579B9" w14:paraId="25567417"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4504D259"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42</w:t>
            </w:r>
          </w:p>
        </w:tc>
        <w:tc>
          <w:tcPr>
            <w:tcW w:w="2069" w:type="dxa"/>
            <w:tcBorders>
              <w:top w:val="single" w:sz="4" w:space="0" w:color="auto"/>
              <w:left w:val="nil"/>
              <w:bottom w:val="single" w:sz="4" w:space="0" w:color="auto"/>
              <w:right w:val="single" w:sz="4" w:space="0" w:color="auto"/>
            </w:tcBorders>
            <w:vAlign w:val="center"/>
          </w:tcPr>
          <w:p w14:paraId="6506870F"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苯并</w:t>
            </w:r>
            <w:r>
              <w:rPr>
                <w:rFonts w:cs="Times New Roman"/>
                <w:sz w:val="21"/>
                <w:szCs w:val="21"/>
              </w:rPr>
              <w:t>[k]</w:t>
            </w:r>
            <w:proofErr w:type="gramStart"/>
            <w:r>
              <w:rPr>
                <w:rFonts w:ascii="宋体" w:hAnsi="宋体" w:cs="Times New Roman"/>
                <w:sz w:val="21"/>
                <w:szCs w:val="21"/>
              </w:rPr>
              <w:t>荧蒽</w:t>
            </w:r>
            <w:proofErr w:type="gramEnd"/>
          </w:p>
        </w:tc>
        <w:tc>
          <w:tcPr>
            <w:tcW w:w="2693" w:type="dxa"/>
            <w:vMerge/>
            <w:tcBorders>
              <w:top w:val="nil"/>
              <w:left w:val="nil"/>
              <w:bottom w:val="single" w:sz="4" w:space="0" w:color="auto"/>
              <w:right w:val="single" w:sz="4" w:space="0" w:color="auto"/>
            </w:tcBorders>
            <w:vAlign w:val="center"/>
          </w:tcPr>
          <w:p w14:paraId="46782569"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0A401A9E"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5849E156"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5</w:t>
            </w:r>
            <w:r>
              <w:rPr>
                <w:rFonts w:cs="Times New Roman"/>
                <w:sz w:val="21"/>
                <w:szCs w:val="21"/>
              </w:rPr>
              <w:t>μg/kg</w:t>
            </w:r>
          </w:p>
        </w:tc>
      </w:tr>
      <w:tr w:rsidR="00E579B9" w14:paraId="661B7628"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00B053A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43</w:t>
            </w:r>
          </w:p>
        </w:tc>
        <w:tc>
          <w:tcPr>
            <w:tcW w:w="2069" w:type="dxa"/>
            <w:tcBorders>
              <w:top w:val="single" w:sz="4" w:space="0" w:color="auto"/>
              <w:left w:val="nil"/>
              <w:bottom w:val="single" w:sz="4" w:space="0" w:color="auto"/>
              <w:right w:val="single" w:sz="4" w:space="0" w:color="auto"/>
            </w:tcBorders>
            <w:vAlign w:val="center"/>
          </w:tcPr>
          <w:p w14:paraId="0785D11D"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䓛</w:t>
            </w:r>
          </w:p>
        </w:tc>
        <w:tc>
          <w:tcPr>
            <w:tcW w:w="2693" w:type="dxa"/>
            <w:vMerge/>
            <w:tcBorders>
              <w:top w:val="nil"/>
              <w:left w:val="nil"/>
              <w:bottom w:val="single" w:sz="4" w:space="0" w:color="auto"/>
              <w:right w:val="single" w:sz="4" w:space="0" w:color="auto"/>
            </w:tcBorders>
            <w:vAlign w:val="center"/>
          </w:tcPr>
          <w:p w14:paraId="33B3F5CB"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19E92AD4"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211CBA15"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w:t>
            </w:r>
            <w:r>
              <w:rPr>
                <w:rFonts w:cs="Times New Roman"/>
                <w:sz w:val="21"/>
                <w:szCs w:val="21"/>
              </w:rPr>
              <w:t>μg/kg</w:t>
            </w:r>
          </w:p>
        </w:tc>
      </w:tr>
      <w:tr w:rsidR="00E579B9" w14:paraId="7BB778B8"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4690B968"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44</w:t>
            </w:r>
          </w:p>
        </w:tc>
        <w:tc>
          <w:tcPr>
            <w:tcW w:w="2069" w:type="dxa"/>
            <w:tcBorders>
              <w:top w:val="single" w:sz="4" w:space="0" w:color="auto"/>
              <w:left w:val="nil"/>
              <w:bottom w:val="single" w:sz="4" w:space="0" w:color="auto"/>
              <w:right w:val="single" w:sz="4" w:space="0" w:color="auto"/>
            </w:tcBorders>
            <w:vAlign w:val="center"/>
          </w:tcPr>
          <w:p w14:paraId="392596E9"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sz w:val="21"/>
                <w:szCs w:val="21"/>
              </w:rPr>
              <w:t>二苯并</w:t>
            </w:r>
            <w:r>
              <w:rPr>
                <w:rFonts w:cs="Times New Roman"/>
                <w:sz w:val="21"/>
                <w:szCs w:val="21"/>
              </w:rPr>
              <w:t>[</w:t>
            </w:r>
            <w:proofErr w:type="spellStart"/>
            <w:r>
              <w:rPr>
                <w:rFonts w:cs="Times New Roman"/>
                <w:sz w:val="21"/>
                <w:szCs w:val="21"/>
              </w:rPr>
              <w:t>a,h</w:t>
            </w:r>
            <w:proofErr w:type="spellEnd"/>
            <w:r>
              <w:rPr>
                <w:rFonts w:cs="Times New Roman"/>
                <w:sz w:val="21"/>
                <w:szCs w:val="21"/>
              </w:rPr>
              <w:t>]</w:t>
            </w:r>
            <w:proofErr w:type="gramStart"/>
            <w:r>
              <w:rPr>
                <w:rFonts w:ascii="宋体" w:hAnsi="宋体" w:cs="Times New Roman"/>
                <w:sz w:val="21"/>
                <w:szCs w:val="21"/>
              </w:rPr>
              <w:t>蒽</w:t>
            </w:r>
            <w:proofErr w:type="gramEnd"/>
          </w:p>
        </w:tc>
        <w:tc>
          <w:tcPr>
            <w:tcW w:w="2693" w:type="dxa"/>
            <w:vMerge/>
            <w:tcBorders>
              <w:top w:val="nil"/>
              <w:left w:val="nil"/>
              <w:bottom w:val="single" w:sz="4" w:space="0" w:color="auto"/>
              <w:right w:val="single" w:sz="4" w:space="0" w:color="auto"/>
            </w:tcBorders>
            <w:vAlign w:val="center"/>
          </w:tcPr>
          <w:p w14:paraId="721B3119"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18377EBA"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240555C0"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5</w:t>
            </w:r>
            <w:r>
              <w:rPr>
                <w:rFonts w:cs="Times New Roman"/>
                <w:sz w:val="21"/>
                <w:szCs w:val="21"/>
              </w:rPr>
              <w:t>μg/kg</w:t>
            </w:r>
          </w:p>
        </w:tc>
      </w:tr>
      <w:tr w:rsidR="00E579B9" w14:paraId="06CA4E25"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489F201B"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45</w:t>
            </w:r>
          </w:p>
        </w:tc>
        <w:tc>
          <w:tcPr>
            <w:tcW w:w="2069" w:type="dxa"/>
            <w:tcBorders>
              <w:top w:val="single" w:sz="4" w:space="0" w:color="auto"/>
              <w:left w:val="nil"/>
              <w:bottom w:val="single" w:sz="4" w:space="0" w:color="auto"/>
              <w:right w:val="single" w:sz="4" w:space="0" w:color="auto"/>
            </w:tcBorders>
            <w:vAlign w:val="center"/>
          </w:tcPr>
          <w:p w14:paraId="1B9F8FFE" w14:textId="77777777" w:rsidR="00E579B9" w:rsidRDefault="006A1398">
            <w:pPr>
              <w:widowControl w:val="0"/>
              <w:snapToGrid w:val="0"/>
              <w:spacing w:line="240" w:lineRule="auto"/>
              <w:ind w:firstLineChars="0" w:firstLine="0"/>
              <w:jc w:val="center"/>
              <w:rPr>
                <w:rFonts w:cs="Times New Roman"/>
                <w:sz w:val="21"/>
                <w:szCs w:val="21"/>
              </w:rPr>
            </w:pPr>
            <w:proofErr w:type="gramStart"/>
            <w:r>
              <w:rPr>
                <w:rFonts w:cs="Times New Roman"/>
                <w:sz w:val="21"/>
                <w:szCs w:val="21"/>
              </w:rPr>
              <w:t>茚</w:t>
            </w:r>
            <w:proofErr w:type="gramEnd"/>
            <w:r>
              <w:rPr>
                <w:rFonts w:cs="Times New Roman"/>
                <w:sz w:val="21"/>
                <w:szCs w:val="21"/>
              </w:rPr>
              <w:t>并</w:t>
            </w:r>
            <w:r>
              <w:rPr>
                <w:rFonts w:cs="Times New Roman"/>
                <w:sz w:val="21"/>
                <w:szCs w:val="21"/>
              </w:rPr>
              <w:t>[1,2,3-cd]</w:t>
            </w:r>
            <w:proofErr w:type="gramStart"/>
            <w:r>
              <w:rPr>
                <w:rFonts w:ascii="宋体" w:hAnsi="宋体" w:cs="Times New Roman"/>
                <w:sz w:val="21"/>
                <w:szCs w:val="21"/>
              </w:rPr>
              <w:t>芘</w:t>
            </w:r>
            <w:proofErr w:type="gramEnd"/>
          </w:p>
        </w:tc>
        <w:tc>
          <w:tcPr>
            <w:tcW w:w="2693" w:type="dxa"/>
            <w:vMerge/>
            <w:tcBorders>
              <w:top w:val="nil"/>
              <w:left w:val="nil"/>
              <w:bottom w:val="single" w:sz="4" w:space="0" w:color="auto"/>
              <w:right w:val="single" w:sz="4" w:space="0" w:color="auto"/>
            </w:tcBorders>
            <w:vAlign w:val="center"/>
          </w:tcPr>
          <w:p w14:paraId="5363B121"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328F1F1F"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37A9C3D3"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4</w:t>
            </w:r>
            <w:r>
              <w:rPr>
                <w:rFonts w:cs="Times New Roman"/>
                <w:sz w:val="21"/>
                <w:szCs w:val="21"/>
              </w:rPr>
              <w:t>μg/kg</w:t>
            </w:r>
          </w:p>
        </w:tc>
      </w:tr>
      <w:tr w:rsidR="00E579B9" w14:paraId="432BA8C5" w14:textId="77777777">
        <w:trPr>
          <w:trHeight w:val="60"/>
          <w:jc w:val="center"/>
        </w:trPr>
        <w:tc>
          <w:tcPr>
            <w:tcW w:w="682" w:type="dxa"/>
            <w:tcBorders>
              <w:top w:val="single" w:sz="4" w:space="0" w:color="auto"/>
              <w:left w:val="single" w:sz="4" w:space="0" w:color="auto"/>
              <w:bottom w:val="single" w:sz="4" w:space="0" w:color="auto"/>
              <w:right w:val="single" w:sz="4" w:space="0" w:color="auto"/>
            </w:tcBorders>
            <w:vAlign w:val="center"/>
          </w:tcPr>
          <w:p w14:paraId="1A24A8C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46</w:t>
            </w:r>
          </w:p>
        </w:tc>
        <w:tc>
          <w:tcPr>
            <w:tcW w:w="2069" w:type="dxa"/>
            <w:tcBorders>
              <w:top w:val="single" w:sz="4" w:space="0" w:color="auto"/>
              <w:left w:val="nil"/>
              <w:bottom w:val="single" w:sz="4" w:space="0" w:color="auto"/>
              <w:right w:val="single" w:sz="4" w:space="0" w:color="auto"/>
            </w:tcBorders>
            <w:vAlign w:val="center"/>
          </w:tcPr>
          <w:p w14:paraId="0B6B8AC6" w14:textId="77777777" w:rsidR="00E579B9" w:rsidRDefault="006A1398">
            <w:pPr>
              <w:widowControl w:val="0"/>
              <w:snapToGrid w:val="0"/>
              <w:spacing w:line="240" w:lineRule="auto"/>
              <w:ind w:firstLineChars="0" w:firstLine="0"/>
              <w:jc w:val="center"/>
              <w:rPr>
                <w:rFonts w:cs="Times New Roman"/>
                <w:sz w:val="21"/>
                <w:szCs w:val="21"/>
              </w:rPr>
            </w:pPr>
            <w:proofErr w:type="gramStart"/>
            <w:r>
              <w:rPr>
                <w:rFonts w:cs="Times New Roman"/>
                <w:sz w:val="21"/>
                <w:szCs w:val="21"/>
              </w:rPr>
              <w:t>萘</w:t>
            </w:r>
            <w:proofErr w:type="gramEnd"/>
          </w:p>
        </w:tc>
        <w:tc>
          <w:tcPr>
            <w:tcW w:w="2693" w:type="dxa"/>
            <w:vMerge/>
            <w:tcBorders>
              <w:top w:val="nil"/>
              <w:left w:val="nil"/>
              <w:bottom w:val="single" w:sz="4" w:space="0" w:color="auto"/>
              <w:right w:val="single" w:sz="4" w:space="0" w:color="auto"/>
            </w:tcBorders>
            <w:vAlign w:val="center"/>
          </w:tcPr>
          <w:p w14:paraId="37B7956A" w14:textId="77777777" w:rsidR="00E579B9" w:rsidRDefault="00E579B9">
            <w:pPr>
              <w:spacing w:line="240" w:lineRule="auto"/>
              <w:ind w:firstLineChars="0" w:firstLine="0"/>
              <w:rPr>
                <w:rFonts w:cs="Times New Roman"/>
                <w:sz w:val="21"/>
                <w:szCs w:val="21"/>
              </w:rPr>
            </w:pPr>
          </w:p>
        </w:tc>
        <w:tc>
          <w:tcPr>
            <w:tcW w:w="1984" w:type="dxa"/>
            <w:vMerge/>
            <w:tcBorders>
              <w:top w:val="nil"/>
              <w:left w:val="nil"/>
              <w:bottom w:val="single" w:sz="4" w:space="0" w:color="auto"/>
              <w:right w:val="single" w:sz="4" w:space="0" w:color="auto"/>
            </w:tcBorders>
            <w:vAlign w:val="center"/>
          </w:tcPr>
          <w:p w14:paraId="18EBC1ED" w14:textId="77777777" w:rsidR="00E579B9" w:rsidRDefault="00E579B9">
            <w:pPr>
              <w:spacing w:line="240" w:lineRule="auto"/>
              <w:ind w:firstLineChars="0" w:firstLine="0"/>
              <w:rPr>
                <w:rFonts w:cs="Times New Roman"/>
                <w:sz w:val="21"/>
                <w:szCs w:val="21"/>
              </w:rPr>
            </w:pPr>
          </w:p>
        </w:tc>
        <w:tc>
          <w:tcPr>
            <w:tcW w:w="1416" w:type="dxa"/>
            <w:tcBorders>
              <w:top w:val="single" w:sz="4" w:space="0" w:color="auto"/>
              <w:left w:val="nil"/>
              <w:bottom w:val="single" w:sz="4" w:space="0" w:color="auto"/>
              <w:right w:val="single" w:sz="4" w:space="0" w:color="auto"/>
            </w:tcBorders>
            <w:vAlign w:val="center"/>
          </w:tcPr>
          <w:p w14:paraId="277B6057" w14:textId="77777777" w:rsidR="00E579B9" w:rsidRDefault="006A1398">
            <w:pPr>
              <w:widowControl w:val="0"/>
              <w:snapToGrid w:val="0"/>
              <w:spacing w:line="240" w:lineRule="auto"/>
              <w:ind w:firstLineChars="0" w:firstLine="0"/>
              <w:jc w:val="center"/>
              <w:rPr>
                <w:rFonts w:cs="Times New Roman"/>
                <w:sz w:val="21"/>
                <w:szCs w:val="21"/>
              </w:rPr>
            </w:pPr>
            <w:r>
              <w:rPr>
                <w:rFonts w:cs="Times New Roman" w:hint="eastAsia"/>
                <w:sz w:val="21"/>
                <w:szCs w:val="21"/>
              </w:rPr>
              <w:t>3</w:t>
            </w:r>
            <w:r>
              <w:rPr>
                <w:rFonts w:cs="Times New Roman"/>
                <w:sz w:val="21"/>
                <w:szCs w:val="21"/>
              </w:rPr>
              <w:t>μg/kg</w:t>
            </w:r>
          </w:p>
        </w:tc>
      </w:tr>
    </w:tbl>
    <w:p w14:paraId="7CF66C1F" w14:textId="77777777" w:rsidR="00E579B9" w:rsidRDefault="006A1398">
      <w:r>
        <w:t>4.3.5.3</w:t>
      </w:r>
      <w:r>
        <w:rPr>
          <w:rFonts w:ascii="宋体" w:hAnsi="宋体"/>
        </w:rPr>
        <w:t>监测结果</w:t>
      </w:r>
    </w:p>
    <w:p w14:paraId="149EEA4F" w14:textId="77777777" w:rsidR="00E579B9" w:rsidRDefault="006A1398">
      <w:pPr>
        <w:rPr>
          <w:spacing w:val="2"/>
        </w:rPr>
      </w:pPr>
      <w:r>
        <w:rPr>
          <w:rFonts w:ascii="宋体" w:hAnsi="宋体"/>
        </w:rPr>
        <w:t>根据土壤监测结果，该地区土壤中各因子均符合</w:t>
      </w:r>
      <w:r>
        <w:rPr>
          <w:rFonts w:ascii="宋体" w:hAnsi="宋体" w:hint="eastAsia"/>
          <w:spacing w:val="2"/>
        </w:rPr>
        <w:t>《土壤环境质量建设用地土壤污染风险管控标准（试行）》（</w:t>
      </w:r>
      <w:r>
        <w:rPr>
          <w:rFonts w:hint="eastAsia"/>
          <w:spacing w:val="2"/>
        </w:rPr>
        <w:t>GB36600-2018</w:t>
      </w:r>
      <w:r>
        <w:rPr>
          <w:rFonts w:ascii="宋体" w:hAnsi="宋体" w:hint="eastAsia"/>
          <w:spacing w:val="2"/>
        </w:rPr>
        <w:t>）第二类用地筛选值要求。</w:t>
      </w:r>
    </w:p>
    <w:p w14:paraId="2F8F94B8" w14:textId="77777777" w:rsidR="00E579B9" w:rsidRDefault="006A1398">
      <w:pPr>
        <w:widowControl w:val="0"/>
        <w:adjustRightInd w:val="0"/>
        <w:snapToGrid w:val="0"/>
        <w:spacing w:line="480" w:lineRule="exact"/>
        <w:ind w:firstLineChars="800" w:firstLine="1920"/>
        <w:jc w:val="both"/>
        <w:rPr>
          <w:rFonts w:eastAsia="黑体" w:cs="Times New Roman"/>
          <w:szCs w:val="24"/>
        </w:rPr>
      </w:pPr>
      <w:r>
        <w:rPr>
          <w:rFonts w:ascii="黑体" w:eastAsia="黑体" w:hAnsi="黑体" w:cs="Times New Roman"/>
          <w:szCs w:val="24"/>
        </w:rPr>
        <w:t>表</w:t>
      </w:r>
      <w:r>
        <w:rPr>
          <w:rFonts w:eastAsia="黑体" w:cs="Times New Roman"/>
          <w:szCs w:val="24"/>
        </w:rPr>
        <w:t>4.3</w:t>
      </w:r>
      <w:r>
        <w:rPr>
          <w:rFonts w:eastAsia="黑体" w:cs="Times New Roman" w:hint="eastAsia"/>
          <w:szCs w:val="24"/>
        </w:rPr>
        <w:t>-13</w:t>
      </w:r>
      <w:r>
        <w:rPr>
          <w:rFonts w:ascii="黑体" w:eastAsia="黑体" w:hAnsi="黑体" w:cs="Times New Roman"/>
          <w:szCs w:val="24"/>
        </w:rPr>
        <w:t>土壤</w:t>
      </w:r>
      <w:r>
        <w:rPr>
          <w:rFonts w:ascii="黑体" w:eastAsia="黑体" w:hAnsi="黑体" w:cs="Times New Roman" w:hint="eastAsia"/>
          <w:szCs w:val="24"/>
        </w:rPr>
        <w:t>环境</w:t>
      </w:r>
      <w:r>
        <w:rPr>
          <w:rFonts w:ascii="黑体" w:eastAsia="黑体" w:hAnsi="黑体" w:cs="Times New Roman"/>
          <w:szCs w:val="24"/>
        </w:rPr>
        <w:t>现状监测及评价结果单位：</w:t>
      </w:r>
      <w:r>
        <w:rPr>
          <w:rFonts w:eastAsia="黑体" w:cs="Times New Roman"/>
          <w:szCs w:val="24"/>
        </w:rPr>
        <w:t>mg/kg</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559"/>
        <w:gridCol w:w="1418"/>
        <w:gridCol w:w="1417"/>
        <w:gridCol w:w="2410"/>
      </w:tblGrid>
      <w:tr w:rsidR="00E579B9" w14:paraId="715ADA3F" w14:textId="77777777">
        <w:trPr>
          <w:cantSplit/>
          <w:trHeight w:val="223"/>
          <w:jc w:val="center"/>
        </w:trPr>
        <w:tc>
          <w:tcPr>
            <w:tcW w:w="562" w:type="dxa"/>
            <w:vMerge w:val="restart"/>
            <w:tcBorders>
              <w:top w:val="single" w:sz="4" w:space="0" w:color="auto"/>
              <w:left w:val="single" w:sz="4" w:space="0" w:color="auto"/>
              <w:right w:val="single" w:sz="4" w:space="0" w:color="auto"/>
            </w:tcBorders>
          </w:tcPr>
          <w:p w14:paraId="32491D47" w14:textId="77777777" w:rsidR="00E579B9" w:rsidRDefault="006A1398">
            <w:pPr>
              <w:pStyle w:val="aa"/>
            </w:pPr>
            <w:r>
              <w:rPr>
                <w:rFonts w:hint="eastAsia"/>
              </w:rPr>
              <w:t>序号</w:t>
            </w:r>
          </w:p>
        </w:tc>
        <w:tc>
          <w:tcPr>
            <w:tcW w:w="1985" w:type="dxa"/>
            <w:vMerge w:val="restart"/>
            <w:tcBorders>
              <w:top w:val="single" w:sz="4" w:space="0" w:color="auto"/>
              <w:left w:val="single" w:sz="4" w:space="0" w:color="auto"/>
              <w:right w:val="single" w:sz="4" w:space="0" w:color="auto"/>
            </w:tcBorders>
            <w:vAlign w:val="center"/>
          </w:tcPr>
          <w:p w14:paraId="39F4FCBE" w14:textId="77777777" w:rsidR="00E579B9" w:rsidRDefault="006A1398">
            <w:pPr>
              <w:pStyle w:val="aa"/>
            </w:pPr>
            <w:r>
              <w:t>检测项目</w:t>
            </w: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0690D799" w14:textId="77777777" w:rsidR="00E579B9" w:rsidRDefault="006A1398">
            <w:pPr>
              <w:pStyle w:val="aa"/>
            </w:pPr>
            <w:r>
              <w:t>检测结果</w:t>
            </w:r>
          </w:p>
        </w:tc>
        <w:tc>
          <w:tcPr>
            <w:tcW w:w="2410" w:type="dxa"/>
            <w:vMerge w:val="restart"/>
            <w:tcBorders>
              <w:top w:val="single" w:sz="4" w:space="0" w:color="auto"/>
              <w:left w:val="single" w:sz="4" w:space="0" w:color="auto"/>
              <w:right w:val="single" w:sz="4" w:space="0" w:color="auto"/>
            </w:tcBorders>
            <w:vAlign w:val="center"/>
          </w:tcPr>
          <w:p w14:paraId="7DABC280" w14:textId="6342FDBA" w:rsidR="00E579B9" w:rsidRDefault="006A1398">
            <w:pPr>
              <w:pStyle w:val="aa"/>
              <w:rPr>
                <w:color w:val="FF0000"/>
              </w:rPr>
            </w:pPr>
            <w:r>
              <w:rPr>
                <w:color w:val="FF0000"/>
              </w:rPr>
              <w:t>GB36600-2018</w:t>
            </w:r>
            <w:r>
              <w:rPr>
                <w:color w:val="FF0000"/>
              </w:rPr>
              <w:t>，第</w:t>
            </w:r>
            <w:r w:rsidR="006103B9">
              <w:rPr>
                <w:rFonts w:hint="eastAsia"/>
                <w:color w:val="FF0000"/>
              </w:rPr>
              <w:t>二</w:t>
            </w:r>
            <w:r>
              <w:rPr>
                <w:color w:val="FF0000"/>
              </w:rPr>
              <w:t>类用地筛选值</w:t>
            </w:r>
          </w:p>
        </w:tc>
      </w:tr>
      <w:tr w:rsidR="00E579B9" w14:paraId="1CC2E71B" w14:textId="77777777">
        <w:trPr>
          <w:cantSplit/>
          <w:trHeight w:val="555"/>
          <w:jc w:val="center"/>
        </w:trPr>
        <w:tc>
          <w:tcPr>
            <w:tcW w:w="562" w:type="dxa"/>
            <w:vMerge/>
            <w:tcBorders>
              <w:left w:val="single" w:sz="4" w:space="0" w:color="auto"/>
              <w:bottom w:val="single" w:sz="4" w:space="0" w:color="auto"/>
              <w:right w:val="single" w:sz="4" w:space="0" w:color="auto"/>
            </w:tcBorders>
          </w:tcPr>
          <w:p w14:paraId="45739155" w14:textId="77777777" w:rsidR="00E579B9" w:rsidRDefault="00E579B9">
            <w:pPr>
              <w:pStyle w:val="aa"/>
            </w:pPr>
          </w:p>
        </w:tc>
        <w:tc>
          <w:tcPr>
            <w:tcW w:w="1985" w:type="dxa"/>
            <w:vMerge/>
            <w:tcBorders>
              <w:left w:val="single" w:sz="4" w:space="0" w:color="auto"/>
              <w:bottom w:val="single" w:sz="4" w:space="0" w:color="auto"/>
              <w:right w:val="single" w:sz="4" w:space="0" w:color="auto"/>
            </w:tcBorders>
            <w:vAlign w:val="center"/>
          </w:tcPr>
          <w:p w14:paraId="7D9B39D3" w14:textId="77777777" w:rsidR="00E579B9" w:rsidRDefault="00E579B9">
            <w:pPr>
              <w:pStyle w:val="aa"/>
            </w:pPr>
          </w:p>
        </w:tc>
        <w:tc>
          <w:tcPr>
            <w:tcW w:w="1559" w:type="dxa"/>
            <w:tcBorders>
              <w:top w:val="single" w:sz="4" w:space="0" w:color="auto"/>
              <w:left w:val="single" w:sz="4" w:space="0" w:color="auto"/>
              <w:bottom w:val="single" w:sz="4" w:space="0" w:color="auto"/>
              <w:right w:val="single" w:sz="4" w:space="0" w:color="auto"/>
            </w:tcBorders>
            <w:vAlign w:val="center"/>
          </w:tcPr>
          <w:p w14:paraId="47064C96" w14:textId="77777777" w:rsidR="00E579B9" w:rsidRDefault="006A1398">
            <w:pPr>
              <w:pStyle w:val="aa"/>
              <w:ind w:firstLineChars="100" w:firstLine="210"/>
              <w:jc w:val="left"/>
            </w:pPr>
            <w:r>
              <w:rPr>
                <w:rFonts w:hint="eastAsia"/>
              </w:rPr>
              <w:t>采场东北侧</w:t>
            </w:r>
          </w:p>
        </w:tc>
        <w:tc>
          <w:tcPr>
            <w:tcW w:w="1418" w:type="dxa"/>
            <w:tcBorders>
              <w:top w:val="single" w:sz="4" w:space="0" w:color="auto"/>
              <w:left w:val="single" w:sz="4" w:space="0" w:color="auto"/>
              <w:right w:val="single" w:sz="4" w:space="0" w:color="auto"/>
            </w:tcBorders>
            <w:vAlign w:val="center"/>
          </w:tcPr>
          <w:p w14:paraId="57B4F6EC" w14:textId="77777777" w:rsidR="00E579B9" w:rsidRDefault="006A1398">
            <w:pPr>
              <w:pStyle w:val="aa"/>
            </w:pPr>
            <w:r>
              <w:rPr>
                <w:rFonts w:hint="eastAsia"/>
              </w:rPr>
              <w:t>采场西南侧</w:t>
            </w:r>
          </w:p>
        </w:tc>
        <w:tc>
          <w:tcPr>
            <w:tcW w:w="1417" w:type="dxa"/>
            <w:tcBorders>
              <w:top w:val="single" w:sz="4" w:space="0" w:color="auto"/>
              <w:left w:val="single" w:sz="4" w:space="0" w:color="auto"/>
              <w:right w:val="single" w:sz="4" w:space="0" w:color="auto"/>
            </w:tcBorders>
            <w:vAlign w:val="center"/>
          </w:tcPr>
          <w:p w14:paraId="5471B32B" w14:textId="77777777" w:rsidR="00E579B9" w:rsidRDefault="006A1398">
            <w:pPr>
              <w:pStyle w:val="aa"/>
            </w:pPr>
            <w:r>
              <w:rPr>
                <w:rFonts w:hint="eastAsia"/>
              </w:rPr>
              <w:t>破碎加工区</w:t>
            </w:r>
          </w:p>
        </w:tc>
        <w:tc>
          <w:tcPr>
            <w:tcW w:w="2410" w:type="dxa"/>
            <w:vMerge/>
            <w:tcBorders>
              <w:left w:val="single" w:sz="4" w:space="0" w:color="auto"/>
              <w:right w:val="single" w:sz="4" w:space="0" w:color="auto"/>
            </w:tcBorders>
            <w:vAlign w:val="center"/>
          </w:tcPr>
          <w:p w14:paraId="28F366FE" w14:textId="77777777" w:rsidR="00E579B9" w:rsidRDefault="00E579B9">
            <w:pPr>
              <w:pStyle w:val="aa"/>
              <w:rPr>
                <w:color w:val="FF0000"/>
              </w:rPr>
            </w:pPr>
          </w:p>
        </w:tc>
      </w:tr>
      <w:tr w:rsidR="00E579B9" w14:paraId="125DB3DA"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7C28BF90" w14:textId="77777777" w:rsidR="00E579B9" w:rsidRDefault="00E579B9">
            <w:pPr>
              <w:pStyle w:val="aa"/>
              <w:numPr>
                <w:ilvl w:val="0"/>
                <w:numId w:val="8"/>
              </w:numPr>
              <w:rPr>
                <w:kern w:val="0"/>
              </w:rPr>
            </w:pPr>
          </w:p>
        </w:tc>
        <w:tc>
          <w:tcPr>
            <w:tcW w:w="1985" w:type="dxa"/>
            <w:tcBorders>
              <w:top w:val="single" w:sz="4" w:space="0" w:color="auto"/>
              <w:left w:val="single" w:sz="4" w:space="0" w:color="auto"/>
              <w:bottom w:val="single" w:sz="4" w:space="0" w:color="auto"/>
              <w:right w:val="single" w:sz="4" w:space="0" w:color="auto"/>
            </w:tcBorders>
            <w:vAlign w:val="center"/>
          </w:tcPr>
          <w:p w14:paraId="4249DF77" w14:textId="77777777" w:rsidR="00E579B9" w:rsidRDefault="006A1398">
            <w:pPr>
              <w:pStyle w:val="aa"/>
              <w:rPr>
                <w:kern w:val="0"/>
              </w:rPr>
            </w:pPr>
            <w:r>
              <w:rPr>
                <w:kern w:val="0"/>
              </w:rPr>
              <w:t>PH</w:t>
            </w:r>
          </w:p>
        </w:tc>
        <w:tc>
          <w:tcPr>
            <w:tcW w:w="1559" w:type="dxa"/>
            <w:tcBorders>
              <w:top w:val="single" w:sz="4" w:space="0" w:color="auto"/>
              <w:left w:val="single" w:sz="4" w:space="0" w:color="auto"/>
              <w:bottom w:val="single" w:sz="4" w:space="0" w:color="auto"/>
              <w:right w:val="single" w:sz="4" w:space="0" w:color="auto"/>
            </w:tcBorders>
            <w:vAlign w:val="center"/>
          </w:tcPr>
          <w:p w14:paraId="270E9E4A" w14:textId="77777777" w:rsidR="00E579B9" w:rsidRDefault="006A1398">
            <w:pPr>
              <w:pStyle w:val="aa"/>
              <w:rPr>
                <w:kern w:val="0"/>
              </w:rPr>
            </w:pPr>
            <w:r>
              <w:rPr>
                <w:kern w:val="0"/>
              </w:rPr>
              <w:t>7.13</w:t>
            </w:r>
          </w:p>
        </w:tc>
        <w:tc>
          <w:tcPr>
            <w:tcW w:w="1418" w:type="dxa"/>
            <w:tcBorders>
              <w:top w:val="single" w:sz="4" w:space="0" w:color="auto"/>
              <w:left w:val="single" w:sz="4" w:space="0" w:color="auto"/>
              <w:bottom w:val="single" w:sz="4" w:space="0" w:color="auto"/>
              <w:right w:val="single" w:sz="4" w:space="0" w:color="auto"/>
            </w:tcBorders>
          </w:tcPr>
          <w:p w14:paraId="76DB505A" w14:textId="77777777" w:rsidR="00E579B9" w:rsidRDefault="006A1398">
            <w:pPr>
              <w:pStyle w:val="aa"/>
              <w:rPr>
                <w:color w:val="000000"/>
              </w:rPr>
            </w:pPr>
            <w:r>
              <w:rPr>
                <w:rFonts w:hint="eastAsia"/>
                <w:color w:val="000000"/>
              </w:rPr>
              <w:t>7</w:t>
            </w:r>
            <w:r>
              <w:rPr>
                <w:color w:val="000000"/>
              </w:rPr>
              <w:t>.12</w:t>
            </w:r>
          </w:p>
        </w:tc>
        <w:tc>
          <w:tcPr>
            <w:tcW w:w="1417" w:type="dxa"/>
            <w:tcBorders>
              <w:top w:val="single" w:sz="4" w:space="0" w:color="auto"/>
              <w:left w:val="single" w:sz="4" w:space="0" w:color="auto"/>
              <w:bottom w:val="single" w:sz="4" w:space="0" w:color="auto"/>
              <w:right w:val="single" w:sz="4" w:space="0" w:color="auto"/>
            </w:tcBorders>
          </w:tcPr>
          <w:p w14:paraId="56A673DF" w14:textId="77777777" w:rsidR="00E579B9" w:rsidRDefault="006A1398">
            <w:pPr>
              <w:pStyle w:val="aa"/>
              <w:rPr>
                <w:color w:val="000000"/>
              </w:rPr>
            </w:pPr>
            <w:r>
              <w:rPr>
                <w:rFonts w:hint="eastAsia"/>
                <w:color w:val="000000"/>
              </w:rPr>
              <w:t>7</w:t>
            </w:r>
            <w:r>
              <w:rPr>
                <w:color w:val="000000"/>
              </w:rPr>
              <w:t>.13</w:t>
            </w:r>
          </w:p>
        </w:tc>
        <w:tc>
          <w:tcPr>
            <w:tcW w:w="2410" w:type="dxa"/>
            <w:tcBorders>
              <w:top w:val="single" w:sz="4" w:space="0" w:color="auto"/>
              <w:left w:val="single" w:sz="4" w:space="0" w:color="auto"/>
              <w:bottom w:val="single" w:sz="4" w:space="0" w:color="auto"/>
              <w:right w:val="single" w:sz="4" w:space="0" w:color="auto"/>
            </w:tcBorders>
            <w:vAlign w:val="center"/>
          </w:tcPr>
          <w:p w14:paraId="4AB8107F" w14:textId="2DADD193" w:rsidR="00E579B9" w:rsidRDefault="006103B9">
            <w:pPr>
              <w:pStyle w:val="aa"/>
              <w:rPr>
                <w:color w:val="FF0000"/>
              </w:rPr>
            </w:pPr>
            <w:r>
              <w:rPr>
                <w:color w:val="FF0000"/>
              </w:rPr>
              <w:t>/</w:t>
            </w:r>
          </w:p>
        </w:tc>
      </w:tr>
      <w:tr w:rsidR="00E579B9" w14:paraId="2113CFFE"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2FC97243" w14:textId="77777777" w:rsidR="00E579B9" w:rsidRDefault="00E579B9">
            <w:pPr>
              <w:pStyle w:val="aa"/>
              <w:numPr>
                <w:ilvl w:val="0"/>
                <w:numId w:val="8"/>
              </w:numPr>
              <w:rPr>
                <w:kern w:val="0"/>
              </w:rPr>
            </w:pPr>
          </w:p>
        </w:tc>
        <w:tc>
          <w:tcPr>
            <w:tcW w:w="1985" w:type="dxa"/>
            <w:tcBorders>
              <w:top w:val="single" w:sz="4" w:space="0" w:color="auto"/>
              <w:left w:val="single" w:sz="4" w:space="0" w:color="auto"/>
              <w:bottom w:val="single" w:sz="4" w:space="0" w:color="auto"/>
              <w:right w:val="single" w:sz="4" w:space="0" w:color="auto"/>
            </w:tcBorders>
            <w:vAlign w:val="center"/>
          </w:tcPr>
          <w:p w14:paraId="5E31336E" w14:textId="77777777" w:rsidR="00E579B9" w:rsidRDefault="006A1398">
            <w:pPr>
              <w:pStyle w:val="aa"/>
              <w:rPr>
                <w:kern w:val="0"/>
              </w:rPr>
            </w:pPr>
            <w:r>
              <w:rPr>
                <w:kern w:val="0"/>
              </w:rPr>
              <w:t>镉</w:t>
            </w:r>
          </w:p>
        </w:tc>
        <w:tc>
          <w:tcPr>
            <w:tcW w:w="1559" w:type="dxa"/>
            <w:tcBorders>
              <w:top w:val="single" w:sz="4" w:space="0" w:color="auto"/>
              <w:left w:val="single" w:sz="4" w:space="0" w:color="auto"/>
              <w:bottom w:val="single" w:sz="4" w:space="0" w:color="auto"/>
              <w:right w:val="single" w:sz="4" w:space="0" w:color="auto"/>
            </w:tcBorders>
            <w:vAlign w:val="center"/>
          </w:tcPr>
          <w:p w14:paraId="208EDA8E" w14:textId="77777777" w:rsidR="00E579B9" w:rsidRDefault="006A1398">
            <w:pPr>
              <w:pStyle w:val="aa"/>
              <w:rPr>
                <w:kern w:val="0"/>
              </w:rPr>
            </w:pPr>
            <w:r>
              <w:rPr>
                <w:kern w:val="0"/>
              </w:rPr>
              <w:t>0.18</w:t>
            </w:r>
          </w:p>
        </w:tc>
        <w:tc>
          <w:tcPr>
            <w:tcW w:w="1418" w:type="dxa"/>
            <w:tcBorders>
              <w:top w:val="single" w:sz="4" w:space="0" w:color="auto"/>
              <w:left w:val="single" w:sz="4" w:space="0" w:color="auto"/>
              <w:bottom w:val="single" w:sz="4" w:space="0" w:color="auto"/>
              <w:right w:val="single" w:sz="4" w:space="0" w:color="auto"/>
            </w:tcBorders>
          </w:tcPr>
          <w:p w14:paraId="23633A07" w14:textId="77777777" w:rsidR="00E579B9" w:rsidRDefault="006A1398">
            <w:pPr>
              <w:pStyle w:val="aa"/>
              <w:rPr>
                <w:color w:val="000000"/>
              </w:rPr>
            </w:pPr>
            <w:r>
              <w:rPr>
                <w:rFonts w:hint="eastAsia"/>
                <w:color w:val="000000"/>
              </w:rPr>
              <w:t>0</w:t>
            </w:r>
            <w:r>
              <w:rPr>
                <w:color w:val="000000"/>
              </w:rPr>
              <w:t>.15</w:t>
            </w:r>
          </w:p>
        </w:tc>
        <w:tc>
          <w:tcPr>
            <w:tcW w:w="1417" w:type="dxa"/>
            <w:tcBorders>
              <w:top w:val="single" w:sz="4" w:space="0" w:color="auto"/>
              <w:left w:val="single" w:sz="4" w:space="0" w:color="auto"/>
              <w:bottom w:val="single" w:sz="4" w:space="0" w:color="auto"/>
              <w:right w:val="single" w:sz="4" w:space="0" w:color="auto"/>
            </w:tcBorders>
          </w:tcPr>
          <w:p w14:paraId="30B5DA1D" w14:textId="77777777" w:rsidR="00E579B9" w:rsidRDefault="006A1398">
            <w:pPr>
              <w:pStyle w:val="aa"/>
              <w:rPr>
                <w:color w:val="000000"/>
              </w:rPr>
            </w:pPr>
            <w:r>
              <w:rPr>
                <w:rFonts w:hint="eastAsia"/>
                <w:color w:val="000000"/>
              </w:rPr>
              <w:t>0</w:t>
            </w:r>
            <w:r>
              <w:rPr>
                <w:color w:val="000000"/>
              </w:rPr>
              <w:t>.15</w:t>
            </w:r>
          </w:p>
        </w:tc>
        <w:tc>
          <w:tcPr>
            <w:tcW w:w="2410" w:type="dxa"/>
            <w:tcBorders>
              <w:top w:val="single" w:sz="4" w:space="0" w:color="auto"/>
              <w:left w:val="single" w:sz="4" w:space="0" w:color="auto"/>
              <w:bottom w:val="single" w:sz="4" w:space="0" w:color="auto"/>
              <w:right w:val="single" w:sz="4" w:space="0" w:color="auto"/>
            </w:tcBorders>
            <w:vAlign w:val="center"/>
          </w:tcPr>
          <w:p w14:paraId="4B7D4D85" w14:textId="69ADD8E3" w:rsidR="00E579B9" w:rsidRDefault="006103B9">
            <w:pPr>
              <w:pStyle w:val="aa"/>
              <w:rPr>
                <w:color w:val="FF0000"/>
              </w:rPr>
            </w:pPr>
            <w:r>
              <w:rPr>
                <w:color w:val="FF0000"/>
              </w:rPr>
              <w:t>65</w:t>
            </w:r>
          </w:p>
        </w:tc>
      </w:tr>
      <w:tr w:rsidR="00E579B9" w14:paraId="334A1C8A"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101F139A" w14:textId="77777777" w:rsidR="00E579B9" w:rsidRDefault="00E579B9">
            <w:pPr>
              <w:pStyle w:val="aa"/>
              <w:numPr>
                <w:ilvl w:val="0"/>
                <w:numId w:val="8"/>
              </w:numPr>
              <w:rPr>
                <w:kern w:val="0"/>
              </w:rPr>
            </w:pPr>
          </w:p>
        </w:tc>
        <w:tc>
          <w:tcPr>
            <w:tcW w:w="1985" w:type="dxa"/>
            <w:tcBorders>
              <w:top w:val="single" w:sz="4" w:space="0" w:color="auto"/>
              <w:left w:val="single" w:sz="4" w:space="0" w:color="auto"/>
              <w:bottom w:val="single" w:sz="4" w:space="0" w:color="auto"/>
              <w:right w:val="single" w:sz="4" w:space="0" w:color="auto"/>
            </w:tcBorders>
            <w:vAlign w:val="center"/>
          </w:tcPr>
          <w:p w14:paraId="133FA3A2" w14:textId="77777777" w:rsidR="00E579B9" w:rsidRDefault="006A1398">
            <w:pPr>
              <w:pStyle w:val="aa"/>
              <w:rPr>
                <w:kern w:val="0"/>
              </w:rPr>
            </w:pPr>
            <w:r>
              <w:rPr>
                <w:kern w:val="0"/>
              </w:rPr>
              <w:t>镍</w:t>
            </w:r>
          </w:p>
        </w:tc>
        <w:tc>
          <w:tcPr>
            <w:tcW w:w="1559" w:type="dxa"/>
            <w:tcBorders>
              <w:top w:val="single" w:sz="4" w:space="0" w:color="auto"/>
              <w:left w:val="single" w:sz="4" w:space="0" w:color="auto"/>
              <w:bottom w:val="single" w:sz="4" w:space="0" w:color="auto"/>
              <w:right w:val="single" w:sz="4" w:space="0" w:color="auto"/>
            </w:tcBorders>
            <w:vAlign w:val="center"/>
          </w:tcPr>
          <w:p w14:paraId="0B754988" w14:textId="77777777" w:rsidR="00E579B9" w:rsidRDefault="006A1398">
            <w:pPr>
              <w:pStyle w:val="aa"/>
              <w:rPr>
                <w:kern w:val="0"/>
              </w:rPr>
            </w:pPr>
            <w:r>
              <w:rPr>
                <w:rFonts w:hint="eastAsia"/>
                <w:kern w:val="0"/>
              </w:rPr>
              <w:t>2</w:t>
            </w:r>
            <w:r>
              <w:rPr>
                <w:kern w:val="0"/>
              </w:rPr>
              <w:t>2</w:t>
            </w:r>
          </w:p>
        </w:tc>
        <w:tc>
          <w:tcPr>
            <w:tcW w:w="1418" w:type="dxa"/>
            <w:tcBorders>
              <w:top w:val="single" w:sz="4" w:space="0" w:color="auto"/>
              <w:left w:val="single" w:sz="4" w:space="0" w:color="auto"/>
              <w:bottom w:val="single" w:sz="4" w:space="0" w:color="auto"/>
              <w:right w:val="single" w:sz="4" w:space="0" w:color="auto"/>
            </w:tcBorders>
          </w:tcPr>
          <w:p w14:paraId="2D92AB6B" w14:textId="77777777" w:rsidR="00E579B9" w:rsidRDefault="006A1398">
            <w:pPr>
              <w:pStyle w:val="aa"/>
              <w:rPr>
                <w:color w:val="000000"/>
              </w:rPr>
            </w:pPr>
            <w:r>
              <w:rPr>
                <w:rFonts w:hint="eastAsia"/>
                <w:color w:val="000000"/>
              </w:rPr>
              <w:t>2</w:t>
            </w:r>
            <w:r>
              <w:rPr>
                <w:color w:val="000000"/>
              </w:rPr>
              <w:t>5</w:t>
            </w:r>
          </w:p>
        </w:tc>
        <w:tc>
          <w:tcPr>
            <w:tcW w:w="1417" w:type="dxa"/>
            <w:tcBorders>
              <w:top w:val="single" w:sz="4" w:space="0" w:color="auto"/>
              <w:left w:val="single" w:sz="4" w:space="0" w:color="auto"/>
              <w:bottom w:val="single" w:sz="4" w:space="0" w:color="auto"/>
              <w:right w:val="single" w:sz="4" w:space="0" w:color="auto"/>
            </w:tcBorders>
          </w:tcPr>
          <w:p w14:paraId="6EC6E682" w14:textId="77777777" w:rsidR="00E579B9" w:rsidRDefault="006A1398">
            <w:pPr>
              <w:pStyle w:val="aa"/>
              <w:rPr>
                <w:color w:val="000000"/>
              </w:rPr>
            </w:pPr>
            <w:r>
              <w:rPr>
                <w:rFonts w:hint="eastAsia"/>
                <w:color w:val="000000"/>
              </w:rPr>
              <w:t>2</w:t>
            </w:r>
            <w:r>
              <w:rPr>
                <w:color w:val="000000"/>
              </w:rPr>
              <w:t>3</w:t>
            </w:r>
          </w:p>
        </w:tc>
        <w:tc>
          <w:tcPr>
            <w:tcW w:w="2410" w:type="dxa"/>
            <w:tcBorders>
              <w:top w:val="single" w:sz="4" w:space="0" w:color="auto"/>
              <w:left w:val="single" w:sz="4" w:space="0" w:color="auto"/>
              <w:bottom w:val="single" w:sz="4" w:space="0" w:color="auto"/>
              <w:right w:val="single" w:sz="4" w:space="0" w:color="auto"/>
            </w:tcBorders>
            <w:vAlign w:val="center"/>
          </w:tcPr>
          <w:p w14:paraId="5F8603BC" w14:textId="402D0C9E" w:rsidR="00E579B9" w:rsidRDefault="006103B9">
            <w:pPr>
              <w:pStyle w:val="aa"/>
              <w:rPr>
                <w:color w:val="FF0000"/>
              </w:rPr>
            </w:pPr>
            <w:r>
              <w:rPr>
                <w:color w:val="FF0000"/>
              </w:rPr>
              <w:t>900</w:t>
            </w:r>
          </w:p>
        </w:tc>
      </w:tr>
      <w:tr w:rsidR="00E579B9" w14:paraId="4204F6E4"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3D359A6C" w14:textId="77777777" w:rsidR="00E579B9" w:rsidRDefault="00E579B9">
            <w:pPr>
              <w:pStyle w:val="aa"/>
              <w:numPr>
                <w:ilvl w:val="0"/>
                <w:numId w:val="8"/>
              </w:numPr>
              <w:rPr>
                <w:kern w:val="0"/>
              </w:rPr>
            </w:pPr>
          </w:p>
        </w:tc>
        <w:tc>
          <w:tcPr>
            <w:tcW w:w="1985" w:type="dxa"/>
            <w:tcBorders>
              <w:top w:val="single" w:sz="4" w:space="0" w:color="auto"/>
              <w:left w:val="single" w:sz="4" w:space="0" w:color="auto"/>
              <w:bottom w:val="single" w:sz="4" w:space="0" w:color="auto"/>
              <w:right w:val="single" w:sz="4" w:space="0" w:color="auto"/>
            </w:tcBorders>
            <w:vAlign w:val="center"/>
          </w:tcPr>
          <w:p w14:paraId="4C71F53B" w14:textId="77777777" w:rsidR="00E579B9" w:rsidRDefault="006A1398">
            <w:pPr>
              <w:pStyle w:val="aa"/>
              <w:rPr>
                <w:kern w:val="0"/>
              </w:rPr>
            </w:pPr>
            <w:r>
              <w:rPr>
                <w:kern w:val="0"/>
              </w:rPr>
              <w:t>铅</w:t>
            </w:r>
          </w:p>
        </w:tc>
        <w:tc>
          <w:tcPr>
            <w:tcW w:w="1559" w:type="dxa"/>
            <w:tcBorders>
              <w:top w:val="single" w:sz="4" w:space="0" w:color="auto"/>
              <w:left w:val="single" w:sz="4" w:space="0" w:color="auto"/>
              <w:bottom w:val="single" w:sz="4" w:space="0" w:color="auto"/>
              <w:right w:val="single" w:sz="4" w:space="0" w:color="auto"/>
            </w:tcBorders>
            <w:vAlign w:val="center"/>
          </w:tcPr>
          <w:p w14:paraId="4AD9A3A9" w14:textId="77777777" w:rsidR="00E579B9" w:rsidRDefault="006A1398">
            <w:pPr>
              <w:pStyle w:val="aa"/>
              <w:rPr>
                <w:kern w:val="0"/>
              </w:rPr>
            </w:pPr>
            <w:r>
              <w:rPr>
                <w:rFonts w:hint="eastAsia"/>
                <w:kern w:val="0"/>
              </w:rPr>
              <w:t>1</w:t>
            </w:r>
            <w:r>
              <w:rPr>
                <w:kern w:val="0"/>
              </w:rPr>
              <w:t>6</w:t>
            </w:r>
          </w:p>
        </w:tc>
        <w:tc>
          <w:tcPr>
            <w:tcW w:w="1418" w:type="dxa"/>
            <w:tcBorders>
              <w:top w:val="single" w:sz="4" w:space="0" w:color="auto"/>
              <w:left w:val="single" w:sz="4" w:space="0" w:color="auto"/>
              <w:bottom w:val="single" w:sz="4" w:space="0" w:color="auto"/>
              <w:right w:val="single" w:sz="4" w:space="0" w:color="auto"/>
            </w:tcBorders>
          </w:tcPr>
          <w:p w14:paraId="1A687253" w14:textId="77777777" w:rsidR="00E579B9" w:rsidRDefault="006A1398">
            <w:pPr>
              <w:pStyle w:val="aa"/>
              <w:rPr>
                <w:color w:val="000000"/>
              </w:rPr>
            </w:pPr>
            <w:r>
              <w:rPr>
                <w:rFonts w:hint="eastAsia"/>
                <w:color w:val="000000"/>
              </w:rPr>
              <w:t>1</w:t>
            </w:r>
            <w:r>
              <w:rPr>
                <w:color w:val="000000"/>
              </w:rPr>
              <w:t>3</w:t>
            </w:r>
          </w:p>
        </w:tc>
        <w:tc>
          <w:tcPr>
            <w:tcW w:w="1417" w:type="dxa"/>
            <w:tcBorders>
              <w:top w:val="single" w:sz="4" w:space="0" w:color="auto"/>
              <w:left w:val="single" w:sz="4" w:space="0" w:color="auto"/>
              <w:bottom w:val="single" w:sz="4" w:space="0" w:color="auto"/>
              <w:right w:val="single" w:sz="4" w:space="0" w:color="auto"/>
            </w:tcBorders>
          </w:tcPr>
          <w:p w14:paraId="33F68B28" w14:textId="77777777" w:rsidR="00E579B9" w:rsidRDefault="006A1398">
            <w:pPr>
              <w:pStyle w:val="aa"/>
              <w:rPr>
                <w:color w:val="000000"/>
              </w:rPr>
            </w:pPr>
            <w:r>
              <w:rPr>
                <w:rFonts w:hint="eastAsia"/>
                <w:color w:val="000000"/>
              </w:rPr>
              <w:t>1</w:t>
            </w:r>
            <w:r>
              <w:rPr>
                <w:color w:val="000000"/>
              </w:rPr>
              <w:t>7</w:t>
            </w:r>
          </w:p>
        </w:tc>
        <w:tc>
          <w:tcPr>
            <w:tcW w:w="2410" w:type="dxa"/>
            <w:tcBorders>
              <w:top w:val="single" w:sz="4" w:space="0" w:color="auto"/>
              <w:left w:val="single" w:sz="4" w:space="0" w:color="auto"/>
              <w:bottom w:val="single" w:sz="4" w:space="0" w:color="auto"/>
              <w:right w:val="single" w:sz="4" w:space="0" w:color="auto"/>
            </w:tcBorders>
            <w:vAlign w:val="center"/>
          </w:tcPr>
          <w:p w14:paraId="14454F6E" w14:textId="21BE81F8" w:rsidR="00E579B9" w:rsidRDefault="006103B9">
            <w:pPr>
              <w:pStyle w:val="aa"/>
              <w:rPr>
                <w:color w:val="FF0000"/>
              </w:rPr>
            </w:pPr>
            <w:r>
              <w:rPr>
                <w:color w:val="FF0000"/>
              </w:rPr>
              <w:t>800</w:t>
            </w:r>
          </w:p>
        </w:tc>
      </w:tr>
      <w:tr w:rsidR="00E579B9" w14:paraId="620401DF"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5380710D" w14:textId="77777777" w:rsidR="00E579B9" w:rsidRDefault="00E579B9">
            <w:pPr>
              <w:pStyle w:val="aa"/>
              <w:numPr>
                <w:ilvl w:val="0"/>
                <w:numId w:val="8"/>
              </w:numPr>
              <w:rPr>
                <w:kern w:val="0"/>
              </w:rPr>
            </w:pPr>
          </w:p>
        </w:tc>
        <w:tc>
          <w:tcPr>
            <w:tcW w:w="1985" w:type="dxa"/>
            <w:tcBorders>
              <w:top w:val="single" w:sz="4" w:space="0" w:color="auto"/>
              <w:left w:val="single" w:sz="4" w:space="0" w:color="auto"/>
              <w:bottom w:val="single" w:sz="4" w:space="0" w:color="auto"/>
              <w:right w:val="single" w:sz="4" w:space="0" w:color="auto"/>
            </w:tcBorders>
            <w:vAlign w:val="center"/>
          </w:tcPr>
          <w:p w14:paraId="017DF2F7" w14:textId="77777777" w:rsidR="00E579B9" w:rsidRDefault="006A1398">
            <w:pPr>
              <w:pStyle w:val="aa"/>
              <w:rPr>
                <w:kern w:val="0"/>
              </w:rPr>
            </w:pPr>
            <w:r>
              <w:rPr>
                <w:kern w:val="0"/>
              </w:rPr>
              <w:t>六价铬</w:t>
            </w:r>
          </w:p>
        </w:tc>
        <w:tc>
          <w:tcPr>
            <w:tcW w:w="1559" w:type="dxa"/>
            <w:tcBorders>
              <w:top w:val="single" w:sz="4" w:space="0" w:color="auto"/>
              <w:left w:val="single" w:sz="4" w:space="0" w:color="auto"/>
              <w:bottom w:val="single" w:sz="4" w:space="0" w:color="auto"/>
              <w:right w:val="single" w:sz="4" w:space="0" w:color="auto"/>
            </w:tcBorders>
            <w:vAlign w:val="center"/>
          </w:tcPr>
          <w:p w14:paraId="57DEAF24" w14:textId="77777777" w:rsidR="00E579B9" w:rsidRDefault="006A1398">
            <w:pPr>
              <w:pStyle w:val="aa"/>
              <w:rPr>
                <w:kern w:val="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14F1E7E0" w14:textId="77777777" w:rsidR="00E579B9" w:rsidRDefault="006A1398">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1F593B9E" w14:textId="77777777" w:rsidR="00E579B9" w:rsidRDefault="006A1398">
            <w:pPr>
              <w:pStyle w:val="aa"/>
              <w:rPr>
                <w:color w:val="000000"/>
              </w:rPr>
            </w:pPr>
            <w:r>
              <w:rPr>
                <w:color w:val="000000"/>
              </w:rPr>
              <w:t>未检出</w:t>
            </w:r>
          </w:p>
        </w:tc>
        <w:tc>
          <w:tcPr>
            <w:tcW w:w="2410" w:type="dxa"/>
            <w:tcBorders>
              <w:top w:val="single" w:sz="4" w:space="0" w:color="auto"/>
              <w:left w:val="single" w:sz="4" w:space="0" w:color="auto"/>
              <w:bottom w:val="single" w:sz="4" w:space="0" w:color="auto"/>
              <w:right w:val="single" w:sz="4" w:space="0" w:color="auto"/>
            </w:tcBorders>
            <w:vAlign w:val="center"/>
          </w:tcPr>
          <w:p w14:paraId="3D50DB90" w14:textId="2412901B" w:rsidR="00E579B9" w:rsidRDefault="006103B9">
            <w:pPr>
              <w:pStyle w:val="aa"/>
              <w:rPr>
                <w:color w:val="FF0000"/>
              </w:rPr>
            </w:pPr>
            <w:r>
              <w:rPr>
                <w:color w:val="FF0000"/>
              </w:rPr>
              <w:t>5.7</w:t>
            </w:r>
          </w:p>
        </w:tc>
      </w:tr>
      <w:tr w:rsidR="00E579B9" w14:paraId="292F8532"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4EC8AAB1" w14:textId="77777777" w:rsidR="00E579B9" w:rsidRDefault="00E579B9">
            <w:pPr>
              <w:pStyle w:val="aa"/>
              <w:numPr>
                <w:ilvl w:val="0"/>
                <w:numId w:val="8"/>
              </w:numPr>
              <w:rPr>
                <w:kern w:val="0"/>
              </w:rPr>
            </w:pPr>
          </w:p>
        </w:tc>
        <w:tc>
          <w:tcPr>
            <w:tcW w:w="1985" w:type="dxa"/>
            <w:tcBorders>
              <w:top w:val="single" w:sz="4" w:space="0" w:color="auto"/>
              <w:left w:val="single" w:sz="4" w:space="0" w:color="auto"/>
              <w:bottom w:val="single" w:sz="4" w:space="0" w:color="auto"/>
              <w:right w:val="single" w:sz="4" w:space="0" w:color="auto"/>
            </w:tcBorders>
            <w:vAlign w:val="center"/>
          </w:tcPr>
          <w:p w14:paraId="03492A9C" w14:textId="77777777" w:rsidR="00E579B9" w:rsidRDefault="006A1398">
            <w:pPr>
              <w:pStyle w:val="aa"/>
              <w:rPr>
                <w:kern w:val="0"/>
              </w:rPr>
            </w:pPr>
            <w:r>
              <w:rPr>
                <w:kern w:val="0"/>
              </w:rPr>
              <w:t>铜</w:t>
            </w:r>
          </w:p>
        </w:tc>
        <w:tc>
          <w:tcPr>
            <w:tcW w:w="1559" w:type="dxa"/>
            <w:tcBorders>
              <w:top w:val="single" w:sz="4" w:space="0" w:color="auto"/>
              <w:left w:val="single" w:sz="4" w:space="0" w:color="auto"/>
              <w:bottom w:val="single" w:sz="4" w:space="0" w:color="auto"/>
              <w:right w:val="single" w:sz="4" w:space="0" w:color="auto"/>
            </w:tcBorders>
            <w:vAlign w:val="center"/>
          </w:tcPr>
          <w:p w14:paraId="28F46223" w14:textId="77777777" w:rsidR="00E579B9" w:rsidRDefault="006A1398">
            <w:pPr>
              <w:pStyle w:val="aa"/>
              <w:rPr>
                <w:kern w:val="0"/>
              </w:rPr>
            </w:pPr>
            <w:r>
              <w:rPr>
                <w:rFonts w:hint="eastAsia"/>
                <w:kern w:val="0"/>
              </w:rPr>
              <w:t>2</w:t>
            </w:r>
            <w:r>
              <w:rPr>
                <w:kern w:val="0"/>
              </w:rPr>
              <w:t>6</w:t>
            </w:r>
          </w:p>
        </w:tc>
        <w:tc>
          <w:tcPr>
            <w:tcW w:w="1418" w:type="dxa"/>
            <w:tcBorders>
              <w:top w:val="single" w:sz="4" w:space="0" w:color="auto"/>
              <w:left w:val="single" w:sz="4" w:space="0" w:color="auto"/>
              <w:bottom w:val="single" w:sz="4" w:space="0" w:color="auto"/>
              <w:right w:val="single" w:sz="4" w:space="0" w:color="auto"/>
            </w:tcBorders>
          </w:tcPr>
          <w:p w14:paraId="4265ACC9" w14:textId="77777777" w:rsidR="00E579B9" w:rsidRDefault="006A1398">
            <w:pPr>
              <w:pStyle w:val="aa"/>
              <w:rPr>
                <w:color w:val="000000"/>
              </w:rPr>
            </w:pPr>
            <w:r>
              <w:rPr>
                <w:rFonts w:hint="eastAsia"/>
                <w:color w:val="000000"/>
              </w:rPr>
              <w:t>2</w:t>
            </w:r>
            <w:r>
              <w:rPr>
                <w:color w:val="000000"/>
              </w:rPr>
              <w:t>7</w:t>
            </w:r>
          </w:p>
        </w:tc>
        <w:tc>
          <w:tcPr>
            <w:tcW w:w="1417" w:type="dxa"/>
            <w:tcBorders>
              <w:top w:val="single" w:sz="4" w:space="0" w:color="auto"/>
              <w:left w:val="single" w:sz="4" w:space="0" w:color="auto"/>
              <w:bottom w:val="single" w:sz="4" w:space="0" w:color="auto"/>
              <w:right w:val="single" w:sz="4" w:space="0" w:color="auto"/>
            </w:tcBorders>
          </w:tcPr>
          <w:p w14:paraId="51A28438" w14:textId="77777777" w:rsidR="00E579B9" w:rsidRDefault="006A1398">
            <w:pPr>
              <w:pStyle w:val="aa"/>
              <w:rPr>
                <w:color w:val="000000"/>
              </w:rPr>
            </w:pPr>
            <w:r>
              <w:rPr>
                <w:rFonts w:hint="eastAsia"/>
                <w:color w:val="000000"/>
              </w:rPr>
              <w:t>2</w:t>
            </w:r>
            <w:r>
              <w:rPr>
                <w:color w:val="000000"/>
              </w:rPr>
              <w:t>5</w:t>
            </w:r>
          </w:p>
        </w:tc>
        <w:tc>
          <w:tcPr>
            <w:tcW w:w="2410" w:type="dxa"/>
            <w:tcBorders>
              <w:top w:val="single" w:sz="4" w:space="0" w:color="auto"/>
              <w:left w:val="single" w:sz="4" w:space="0" w:color="auto"/>
              <w:bottom w:val="single" w:sz="4" w:space="0" w:color="auto"/>
              <w:right w:val="single" w:sz="4" w:space="0" w:color="auto"/>
            </w:tcBorders>
            <w:vAlign w:val="center"/>
          </w:tcPr>
          <w:p w14:paraId="62B73315" w14:textId="61EFA08D" w:rsidR="00E579B9" w:rsidRDefault="006103B9">
            <w:pPr>
              <w:pStyle w:val="aa"/>
              <w:rPr>
                <w:color w:val="FF0000"/>
              </w:rPr>
            </w:pPr>
            <w:r>
              <w:rPr>
                <w:rFonts w:hint="eastAsia"/>
                <w:color w:val="FF0000"/>
              </w:rPr>
              <w:t>1</w:t>
            </w:r>
            <w:r>
              <w:rPr>
                <w:color w:val="FF0000"/>
              </w:rPr>
              <w:t>8000</w:t>
            </w:r>
          </w:p>
        </w:tc>
      </w:tr>
      <w:tr w:rsidR="00E579B9" w14:paraId="60BD39ED"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1F159D77" w14:textId="77777777" w:rsidR="00E579B9" w:rsidRDefault="00E579B9">
            <w:pPr>
              <w:pStyle w:val="aa"/>
              <w:numPr>
                <w:ilvl w:val="0"/>
                <w:numId w:val="8"/>
              </w:numPr>
              <w:rPr>
                <w:kern w:val="0"/>
              </w:rPr>
            </w:pPr>
          </w:p>
        </w:tc>
        <w:tc>
          <w:tcPr>
            <w:tcW w:w="1985" w:type="dxa"/>
            <w:tcBorders>
              <w:top w:val="single" w:sz="4" w:space="0" w:color="auto"/>
              <w:left w:val="single" w:sz="4" w:space="0" w:color="auto"/>
              <w:bottom w:val="single" w:sz="4" w:space="0" w:color="auto"/>
              <w:right w:val="single" w:sz="4" w:space="0" w:color="auto"/>
            </w:tcBorders>
            <w:vAlign w:val="center"/>
          </w:tcPr>
          <w:p w14:paraId="1B46B0F4" w14:textId="77777777" w:rsidR="00E579B9" w:rsidRDefault="006A1398">
            <w:pPr>
              <w:pStyle w:val="aa"/>
              <w:rPr>
                <w:kern w:val="0"/>
              </w:rPr>
            </w:pPr>
            <w:r>
              <w:rPr>
                <w:kern w:val="0"/>
              </w:rPr>
              <w:t>砷</w:t>
            </w:r>
          </w:p>
        </w:tc>
        <w:tc>
          <w:tcPr>
            <w:tcW w:w="1559" w:type="dxa"/>
            <w:tcBorders>
              <w:top w:val="single" w:sz="4" w:space="0" w:color="auto"/>
              <w:left w:val="single" w:sz="4" w:space="0" w:color="auto"/>
              <w:bottom w:val="single" w:sz="4" w:space="0" w:color="auto"/>
              <w:right w:val="single" w:sz="4" w:space="0" w:color="auto"/>
            </w:tcBorders>
            <w:vAlign w:val="center"/>
          </w:tcPr>
          <w:p w14:paraId="01FF4880" w14:textId="77777777" w:rsidR="00E579B9" w:rsidRDefault="006A1398">
            <w:pPr>
              <w:pStyle w:val="aa"/>
              <w:rPr>
                <w:kern w:val="0"/>
              </w:rPr>
            </w:pPr>
            <w:r>
              <w:rPr>
                <w:rFonts w:hint="eastAsia"/>
                <w:kern w:val="0"/>
              </w:rPr>
              <w:t>2</w:t>
            </w:r>
            <w:r>
              <w:rPr>
                <w:kern w:val="0"/>
              </w:rPr>
              <w:t>.17</w:t>
            </w:r>
          </w:p>
        </w:tc>
        <w:tc>
          <w:tcPr>
            <w:tcW w:w="1418" w:type="dxa"/>
            <w:tcBorders>
              <w:top w:val="single" w:sz="4" w:space="0" w:color="auto"/>
              <w:left w:val="single" w:sz="4" w:space="0" w:color="auto"/>
              <w:bottom w:val="single" w:sz="4" w:space="0" w:color="auto"/>
              <w:right w:val="single" w:sz="4" w:space="0" w:color="auto"/>
            </w:tcBorders>
          </w:tcPr>
          <w:p w14:paraId="398D1165" w14:textId="77777777" w:rsidR="00E579B9" w:rsidRDefault="006A1398">
            <w:pPr>
              <w:pStyle w:val="aa"/>
              <w:rPr>
                <w:color w:val="000000"/>
              </w:rPr>
            </w:pPr>
            <w:r>
              <w:rPr>
                <w:rFonts w:hint="eastAsia"/>
                <w:color w:val="000000"/>
              </w:rPr>
              <w:t>2</w:t>
            </w:r>
            <w:r>
              <w:rPr>
                <w:color w:val="000000"/>
              </w:rPr>
              <w:t>.26</w:t>
            </w:r>
          </w:p>
        </w:tc>
        <w:tc>
          <w:tcPr>
            <w:tcW w:w="1417" w:type="dxa"/>
            <w:tcBorders>
              <w:top w:val="single" w:sz="4" w:space="0" w:color="auto"/>
              <w:left w:val="single" w:sz="4" w:space="0" w:color="auto"/>
              <w:bottom w:val="single" w:sz="4" w:space="0" w:color="auto"/>
              <w:right w:val="single" w:sz="4" w:space="0" w:color="auto"/>
            </w:tcBorders>
          </w:tcPr>
          <w:p w14:paraId="73E120B0" w14:textId="77777777" w:rsidR="00E579B9" w:rsidRDefault="006A1398">
            <w:pPr>
              <w:pStyle w:val="aa"/>
              <w:rPr>
                <w:color w:val="000000"/>
              </w:rPr>
            </w:pPr>
            <w:r>
              <w:rPr>
                <w:rFonts w:hint="eastAsia"/>
                <w:color w:val="000000"/>
              </w:rPr>
              <w:t>2</w:t>
            </w:r>
            <w:r>
              <w:rPr>
                <w:color w:val="000000"/>
              </w:rPr>
              <w:t>.13</w:t>
            </w:r>
          </w:p>
        </w:tc>
        <w:tc>
          <w:tcPr>
            <w:tcW w:w="2410" w:type="dxa"/>
            <w:tcBorders>
              <w:top w:val="single" w:sz="4" w:space="0" w:color="auto"/>
              <w:left w:val="single" w:sz="4" w:space="0" w:color="auto"/>
              <w:bottom w:val="single" w:sz="4" w:space="0" w:color="auto"/>
              <w:right w:val="single" w:sz="4" w:space="0" w:color="auto"/>
            </w:tcBorders>
            <w:vAlign w:val="center"/>
          </w:tcPr>
          <w:p w14:paraId="1EAFFE58" w14:textId="7B2F022C" w:rsidR="00E579B9" w:rsidRDefault="006103B9">
            <w:pPr>
              <w:pStyle w:val="aa"/>
              <w:rPr>
                <w:color w:val="FF0000"/>
              </w:rPr>
            </w:pPr>
            <w:r>
              <w:rPr>
                <w:rFonts w:hint="eastAsia"/>
                <w:color w:val="FF0000"/>
              </w:rPr>
              <w:t>6</w:t>
            </w:r>
            <w:r>
              <w:rPr>
                <w:color w:val="FF0000"/>
              </w:rPr>
              <w:t>0</w:t>
            </w:r>
          </w:p>
        </w:tc>
      </w:tr>
      <w:tr w:rsidR="00E579B9" w14:paraId="25BD1C95"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56642FA2" w14:textId="77777777" w:rsidR="00E579B9" w:rsidRDefault="00E579B9">
            <w:pPr>
              <w:pStyle w:val="aa"/>
              <w:numPr>
                <w:ilvl w:val="0"/>
                <w:numId w:val="8"/>
              </w:numPr>
            </w:pPr>
          </w:p>
        </w:tc>
        <w:tc>
          <w:tcPr>
            <w:tcW w:w="1985" w:type="dxa"/>
            <w:tcBorders>
              <w:top w:val="single" w:sz="4" w:space="0" w:color="auto"/>
              <w:left w:val="single" w:sz="4" w:space="0" w:color="auto"/>
              <w:bottom w:val="single" w:sz="4" w:space="0" w:color="auto"/>
              <w:right w:val="single" w:sz="4" w:space="0" w:color="auto"/>
            </w:tcBorders>
            <w:vAlign w:val="center"/>
          </w:tcPr>
          <w:p w14:paraId="5C844153" w14:textId="77777777" w:rsidR="00E579B9" w:rsidRDefault="006A1398">
            <w:pPr>
              <w:pStyle w:val="aa"/>
            </w:pPr>
            <w:r>
              <w:t>汞</w:t>
            </w:r>
          </w:p>
        </w:tc>
        <w:tc>
          <w:tcPr>
            <w:tcW w:w="1559" w:type="dxa"/>
            <w:tcBorders>
              <w:top w:val="single" w:sz="4" w:space="0" w:color="auto"/>
              <w:left w:val="single" w:sz="4" w:space="0" w:color="auto"/>
              <w:bottom w:val="single" w:sz="4" w:space="0" w:color="auto"/>
              <w:right w:val="single" w:sz="4" w:space="0" w:color="auto"/>
            </w:tcBorders>
            <w:vAlign w:val="center"/>
          </w:tcPr>
          <w:p w14:paraId="58CB076F" w14:textId="77777777" w:rsidR="00E579B9" w:rsidRDefault="006A1398">
            <w:pPr>
              <w:pStyle w:val="aa"/>
              <w:rPr>
                <w:color w:val="000000"/>
              </w:rPr>
            </w:pPr>
            <w:r>
              <w:rPr>
                <w:rFonts w:hint="eastAsia"/>
                <w:color w:val="000000"/>
              </w:rPr>
              <w:t>0</w:t>
            </w:r>
            <w:r>
              <w:rPr>
                <w:color w:val="000000"/>
              </w:rPr>
              <w:t>.04</w:t>
            </w:r>
          </w:p>
        </w:tc>
        <w:tc>
          <w:tcPr>
            <w:tcW w:w="1418" w:type="dxa"/>
            <w:tcBorders>
              <w:top w:val="single" w:sz="4" w:space="0" w:color="auto"/>
              <w:left w:val="single" w:sz="4" w:space="0" w:color="auto"/>
              <w:bottom w:val="single" w:sz="4" w:space="0" w:color="auto"/>
              <w:right w:val="single" w:sz="4" w:space="0" w:color="auto"/>
            </w:tcBorders>
          </w:tcPr>
          <w:p w14:paraId="7FE917F2" w14:textId="77777777" w:rsidR="00E579B9" w:rsidRDefault="006A1398">
            <w:pPr>
              <w:pStyle w:val="aa"/>
              <w:rPr>
                <w:color w:val="000000"/>
              </w:rPr>
            </w:pPr>
            <w:r>
              <w:rPr>
                <w:rFonts w:hint="eastAsia"/>
                <w:color w:val="000000"/>
              </w:rPr>
              <w:t>0</w:t>
            </w:r>
            <w:r>
              <w:rPr>
                <w:color w:val="000000"/>
              </w:rPr>
              <w:t>.05</w:t>
            </w:r>
          </w:p>
        </w:tc>
        <w:tc>
          <w:tcPr>
            <w:tcW w:w="1417" w:type="dxa"/>
            <w:tcBorders>
              <w:top w:val="single" w:sz="4" w:space="0" w:color="auto"/>
              <w:left w:val="single" w:sz="4" w:space="0" w:color="auto"/>
              <w:bottom w:val="single" w:sz="4" w:space="0" w:color="auto"/>
              <w:right w:val="single" w:sz="4" w:space="0" w:color="auto"/>
            </w:tcBorders>
          </w:tcPr>
          <w:p w14:paraId="2C488AF6" w14:textId="77777777" w:rsidR="00E579B9" w:rsidRDefault="006A1398">
            <w:pPr>
              <w:pStyle w:val="aa"/>
              <w:rPr>
                <w:color w:val="000000"/>
              </w:rPr>
            </w:pPr>
            <w:r>
              <w:rPr>
                <w:rFonts w:hint="eastAsia"/>
                <w:color w:val="000000"/>
              </w:rPr>
              <w:t>0</w:t>
            </w:r>
            <w:r>
              <w:rPr>
                <w:color w:val="000000"/>
              </w:rPr>
              <w:t>.04</w:t>
            </w:r>
          </w:p>
        </w:tc>
        <w:tc>
          <w:tcPr>
            <w:tcW w:w="2410" w:type="dxa"/>
            <w:tcBorders>
              <w:top w:val="single" w:sz="4" w:space="0" w:color="auto"/>
              <w:left w:val="single" w:sz="4" w:space="0" w:color="auto"/>
              <w:bottom w:val="single" w:sz="4" w:space="0" w:color="auto"/>
              <w:right w:val="single" w:sz="4" w:space="0" w:color="auto"/>
            </w:tcBorders>
            <w:vAlign w:val="center"/>
          </w:tcPr>
          <w:p w14:paraId="7607D681" w14:textId="336EDE23" w:rsidR="00E579B9" w:rsidRDefault="006103B9">
            <w:pPr>
              <w:pStyle w:val="aa"/>
              <w:rPr>
                <w:color w:val="FF0000"/>
              </w:rPr>
            </w:pPr>
            <w:r>
              <w:rPr>
                <w:rFonts w:hint="eastAsia"/>
                <w:color w:val="FF0000"/>
              </w:rPr>
              <w:t>3</w:t>
            </w:r>
            <w:r>
              <w:rPr>
                <w:color w:val="FF0000"/>
              </w:rPr>
              <w:t>8</w:t>
            </w:r>
          </w:p>
        </w:tc>
      </w:tr>
      <w:tr w:rsidR="00733A8D" w14:paraId="3FC54658"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62FE5492" w14:textId="77777777" w:rsidR="00733A8D" w:rsidRDefault="00733A8D" w:rsidP="00733A8D">
            <w:pPr>
              <w:pStyle w:val="aa"/>
              <w:numPr>
                <w:ilvl w:val="0"/>
                <w:numId w:val="8"/>
              </w:numPr>
            </w:pPr>
          </w:p>
        </w:tc>
        <w:tc>
          <w:tcPr>
            <w:tcW w:w="1985" w:type="dxa"/>
            <w:vAlign w:val="center"/>
          </w:tcPr>
          <w:p w14:paraId="51FF5A14" w14:textId="77777777" w:rsidR="00733A8D" w:rsidRDefault="00733A8D" w:rsidP="00733A8D">
            <w:pPr>
              <w:pStyle w:val="aa"/>
            </w:pPr>
            <w:r>
              <w:t>2-</w:t>
            </w:r>
            <w:r>
              <w:rPr>
                <w:rFonts w:ascii="宋体" w:hAnsi="宋体"/>
              </w:rPr>
              <w:t>氯酚</w:t>
            </w:r>
          </w:p>
        </w:tc>
        <w:tc>
          <w:tcPr>
            <w:tcW w:w="1559" w:type="dxa"/>
            <w:tcBorders>
              <w:top w:val="single" w:sz="4" w:space="0" w:color="auto"/>
              <w:left w:val="single" w:sz="4" w:space="0" w:color="auto"/>
              <w:bottom w:val="single" w:sz="4" w:space="0" w:color="auto"/>
              <w:right w:val="single" w:sz="4" w:space="0" w:color="auto"/>
            </w:tcBorders>
            <w:vAlign w:val="center"/>
          </w:tcPr>
          <w:p w14:paraId="4C2F8077"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55602ED8"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65F1F799" w14:textId="77777777" w:rsidR="00733A8D" w:rsidRDefault="00733A8D" w:rsidP="00733A8D">
            <w:pPr>
              <w:pStyle w:val="aa"/>
              <w:rPr>
                <w:color w:val="000000"/>
              </w:rPr>
            </w:pPr>
            <w:r>
              <w:rPr>
                <w:color w:val="000000"/>
              </w:rPr>
              <w:t>未检出</w:t>
            </w:r>
          </w:p>
        </w:tc>
        <w:tc>
          <w:tcPr>
            <w:tcW w:w="2410" w:type="dxa"/>
            <w:vAlign w:val="center"/>
          </w:tcPr>
          <w:p w14:paraId="0EB48E57" w14:textId="1353B47B" w:rsidR="00733A8D" w:rsidRPr="00733A8D" w:rsidRDefault="00733A8D" w:rsidP="00733A8D">
            <w:pPr>
              <w:pStyle w:val="aa"/>
              <w:rPr>
                <w:color w:val="FF0000"/>
              </w:rPr>
            </w:pPr>
            <w:r w:rsidRPr="00733A8D">
              <w:rPr>
                <w:color w:val="FF0000"/>
              </w:rPr>
              <w:t>2256</w:t>
            </w:r>
          </w:p>
        </w:tc>
      </w:tr>
      <w:tr w:rsidR="00733A8D" w14:paraId="08DAA434"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0E28744A" w14:textId="77777777" w:rsidR="00733A8D" w:rsidRDefault="00733A8D" w:rsidP="00733A8D">
            <w:pPr>
              <w:pStyle w:val="aa"/>
              <w:numPr>
                <w:ilvl w:val="0"/>
                <w:numId w:val="8"/>
              </w:numPr>
            </w:pPr>
          </w:p>
        </w:tc>
        <w:tc>
          <w:tcPr>
            <w:tcW w:w="1985" w:type="dxa"/>
            <w:vAlign w:val="center"/>
          </w:tcPr>
          <w:p w14:paraId="4101F7F3" w14:textId="77777777" w:rsidR="00733A8D" w:rsidRDefault="00733A8D" w:rsidP="00733A8D">
            <w:pPr>
              <w:pStyle w:val="aa"/>
            </w:pPr>
            <w:r>
              <w:t>2,4-</w:t>
            </w:r>
            <w:r>
              <w:rPr>
                <w:rFonts w:ascii="宋体" w:hAnsi="宋体"/>
              </w:rPr>
              <w:t>二氯酚</w:t>
            </w:r>
          </w:p>
        </w:tc>
        <w:tc>
          <w:tcPr>
            <w:tcW w:w="1559" w:type="dxa"/>
            <w:tcBorders>
              <w:top w:val="single" w:sz="4" w:space="0" w:color="auto"/>
              <w:left w:val="single" w:sz="4" w:space="0" w:color="auto"/>
              <w:bottom w:val="single" w:sz="4" w:space="0" w:color="auto"/>
              <w:right w:val="single" w:sz="4" w:space="0" w:color="auto"/>
            </w:tcBorders>
            <w:vAlign w:val="center"/>
          </w:tcPr>
          <w:p w14:paraId="0392008B"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132B911E"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096ADD5B" w14:textId="77777777" w:rsidR="00733A8D" w:rsidRDefault="00733A8D" w:rsidP="00733A8D">
            <w:pPr>
              <w:pStyle w:val="aa"/>
              <w:rPr>
                <w:color w:val="000000"/>
              </w:rPr>
            </w:pPr>
            <w:r>
              <w:rPr>
                <w:color w:val="000000"/>
              </w:rPr>
              <w:t>未检出</w:t>
            </w:r>
          </w:p>
        </w:tc>
        <w:tc>
          <w:tcPr>
            <w:tcW w:w="2410" w:type="dxa"/>
            <w:vAlign w:val="center"/>
          </w:tcPr>
          <w:p w14:paraId="63BA9B09" w14:textId="0D3F9440" w:rsidR="00733A8D" w:rsidRPr="00733A8D" w:rsidRDefault="00733A8D" w:rsidP="00733A8D">
            <w:pPr>
              <w:pStyle w:val="aa"/>
              <w:rPr>
                <w:color w:val="FF0000"/>
              </w:rPr>
            </w:pPr>
            <w:r w:rsidRPr="00733A8D">
              <w:rPr>
                <w:color w:val="FF0000"/>
              </w:rPr>
              <w:t>843</w:t>
            </w:r>
          </w:p>
        </w:tc>
      </w:tr>
      <w:tr w:rsidR="00733A8D" w14:paraId="74E2B595"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46DA2300" w14:textId="77777777" w:rsidR="00733A8D" w:rsidRDefault="00733A8D" w:rsidP="00733A8D">
            <w:pPr>
              <w:pStyle w:val="aa"/>
              <w:numPr>
                <w:ilvl w:val="0"/>
                <w:numId w:val="8"/>
              </w:numPr>
            </w:pPr>
          </w:p>
        </w:tc>
        <w:tc>
          <w:tcPr>
            <w:tcW w:w="1985" w:type="dxa"/>
            <w:vAlign w:val="center"/>
          </w:tcPr>
          <w:p w14:paraId="397D951C" w14:textId="77777777" w:rsidR="00733A8D" w:rsidRDefault="00733A8D" w:rsidP="00733A8D">
            <w:pPr>
              <w:pStyle w:val="aa"/>
            </w:pPr>
            <w:r>
              <w:t>2,4,6-</w:t>
            </w:r>
            <w:r>
              <w:rPr>
                <w:rFonts w:ascii="宋体" w:hAnsi="宋体"/>
              </w:rPr>
              <w:t>三氯酚</w:t>
            </w:r>
          </w:p>
        </w:tc>
        <w:tc>
          <w:tcPr>
            <w:tcW w:w="1559" w:type="dxa"/>
            <w:tcBorders>
              <w:top w:val="single" w:sz="4" w:space="0" w:color="auto"/>
              <w:left w:val="single" w:sz="4" w:space="0" w:color="auto"/>
              <w:bottom w:val="single" w:sz="4" w:space="0" w:color="auto"/>
              <w:right w:val="single" w:sz="4" w:space="0" w:color="auto"/>
            </w:tcBorders>
            <w:vAlign w:val="center"/>
          </w:tcPr>
          <w:p w14:paraId="21CE3268"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7E709472"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3FFBE35B" w14:textId="77777777" w:rsidR="00733A8D" w:rsidRDefault="00733A8D" w:rsidP="00733A8D">
            <w:pPr>
              <w:pStyle w:val="aa"/>
              <w:rPr>
                <w:color w:val="000000"/>
              </w:rPr>
            </w:pPr>
            <w:r>
              <w:rPr>
                <w:color w:val="000000"/>
              </w:rPr>
              <w:t>未检出</w:t>
            </w:r>
          </w:p>
        </w:tc>
        <w:tc>
          <w:tcPr>
            <w:tcW w:w="2410" w:type="dxa"/>
            <w:vAlign w:val="center"/>
          </w:tcPr>
          <w:p w14:paraId="3D4E0355" w14:textId="5B270C40" w:rsidR="00733A8D" w:rsidRPr="00733A8D" w:rsidRDefault="00733A8D" w:rsidP="00733A8D">
            <w:pPr>
              <w:pStyle w:val="aa"/>
              <w:rPr>
                <w:color w:val="FF0000"/>
              </w:rPr>
            </w:pPr>
            <w:r w:rsidRPr="00733A8D">
              <w:rPr>
                <w:color w:val="FF0000"/>
              </w:rPr>
              <w:t>137</w:t>
            </w:r>
          </w:p>
        </w:tc>
      </w:tr>
      <w:tr w:rsidR="00733A8D" w14:paraId="49F86555"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385D0FF0" w14:textId="77777777" w:rsidR="00733A8D" w:rsidRDefault="00733A8D" w:rsidP="00733A8D">
            <w:pPr>
              <w:pStyle w:val="aa"/>
              <w:numPr>
                <w:ilvl w:val="0"/>
                <w:numId w:val="8"/>
              </w:numPr>
              <w:rPr>
                <w:kern w:val="0"/>
              </w:rPr>
            </w:pPr>
          </w:p>
        </w:tc>
        <w:tc>
          <w:tcPr>
            <w:tcW w:w="1985" w:type="dxa"/>
            <w:vAlign w:val="center"/>
          </w:tcPr>
          <w:p w14:paraId="653938EF" w14:textId="77777777" w:rsidR="00733A8D" w:rsidRDefault="00733A8D" w:rsidP="00733A8D">
            <w:pPr>
              <w:pStyle w:val="aa"/>
            </w:pPr>
            <w:r>
              <w:t>四氯乙烯</w:t>
            </w:r>
          </w:p>
        </w:tc>
        <w:tc>
          <w:tcPr>
            <w:tcW w:w="1559" w:type="dxa"/>
            <w:tcBorders>
              <w:top w:val="single" w:sz="4" w:space="0" w:color="auto"/>
              <w:left w:val="single" w:sz="4" w:space="0" w:color="auto"/>
              <w:bottom w:val="single" w:sz="4" w:space="0" w:color="auto"/>
              <w:right w:val="single" w:sz="4" w:space="0" w:color="auto"/>
            </w:tcBorders>
            <w:vAlign w:val="center"/>
          </w:tcPr>
          <w:p w14:paraId="5F4A255A" w14:textId="77777777" w:rsidR="00733A8D" w:rsidRDefault="00733A8D" w:rsidP="00733A8D">
            <w:pPr>
              <w:pStyle w:val="aa"/>
              <w:rPr>
                <w:color w:val="000000"/>
              </w:rPr>
            </w:pPr>
            <w:r>
              <w:rPr>
                <w:rFonts w:hint="eastAsia"/>
                <w:color w:val="000000"/>
              </w:rPr>
              <w:t>0</w:t>
            </w:r>
            <w:r>
              <w:rPr>
                <w:color w:val="000000"/>
              </w:rPr>
              <w:t>.143</w:t>
            </w:r>
          </w:p>
        </w:tc>
        <w:tc>
          <w:tcPr>
            <w:tcW w:w="1418" w:type="dxa"/>
            <w:tcBorders>
              <w:top w:val="single" w:sz="4" w:space="0" w:color="auto"/>
              <w:left w:val="single" w:sz="4" w:space="0" w:color="auto"/>
              <w:bottom w:val="single" w:sz="4" w:space="0" w:color="auto"/>
              <w:right w:val="single" w:sz="4" w:space="0" w:color="auto"/>
            </w:tcBorders>
          </w:tcPr>
          <w:p w14:paraId="3A87E98D" w14:textId="77777777" w:rsidR="00733A8D" w:rsidRDefault="00733A8D" w:rsidP="00733A8D">
            <w:pPr>
              <w:pStyle w:val="aa"/>
              <w:rPr>
                <w:color w:val="000000"/>
              </w:rPr>
            </w:pPr>
            <w:r>
              <w:rPr>
                <w:rFonts w:hint="eastAsia"/>
                <w:color w:val="000000"/>
              </w:rPr>
              <w:t>0</w:t>
            </w:r>
            <w:r>
              <w:rPr>
                <w:color w:val="000000"/>
              </w:rPr>
              <w:t>.126</w:t>
            </w:r>
          </w:p>
        </w:tc>
        <w:tc>
          <w:tcPr>
            <w:tcW w:w="1417" w:type="dxa"/>
            <w:tcBorders>
              <w:top w:val="single" w:sz="4" w:space="0" w:color="auto"/>
              <w:left w:val="single" w:sz="4" w:space="0" w:color="auto"/>
              <w:bottom w:val="single" w:sz="4" w:space="0" w:color="auto"/>
              <w:right w:val="single" w:sz="4" w:space="0" w:color="auto"/>
            </w:tcBorders>
          </w:tcPr>
          <w:p w14:paraId="0B17A9BB" w14:textId="77777777" w:rsidR="00733A8D" w:rsidRDefault="00733A8D" w:rsidP="00733A8D">
            <w:pPr>
              <w:pStyle w:val="aa"/>
              <w:rPr>
                <w:color w:val="000000"/>
              </w:rPr>
            </w:pPr>
            <w:r>
              <w:rPr>
                <w:rFonts w:hint="eastAsia"/>
                <w:color w:val="000000"/>
              </w:rPr>
              <w:t>0</w:t>
            </w:r>
            <w:r>
              <w:rPr>
                <w:color w:val="000000"/>
              </w:rPr>
              <w:t>.152</w:t>
            </w:r>
          </w:p>
        </w:tc>
        <w:tc>
          <w:tcPr>
            <w:tcW w:w="2410" w:type="dxa"/>
            <w:vAlign w:val="center"/>
          </w:tcPr>
          <w:p w14:paraId="25D726CE" w14:textId="040DEB84" w:rsidR="00733A8D" w:rsidRPr="00733A8D" w:rsidRDefault="00733A8D" w:rsidP="00733A8D">
            <w:pPr>
              <w:pStyle w:val="aa"/>
              <w:rPr>
                <w:color w:val="FF0000"/>
              </w:rPr>
            </w:pPr>
            <w:r w:rsidRPr="00733A8D">
              <w:rPr>
                <w:color w:val="FF0000"/>
              </w:rPr>
              <w:t>53</w:t>
            </w:r>
          </w:p>
        </w:tc>
      </w:tr>
      <w:tr w:rsidR="00733A8D" w14:paraId="2E2305D1"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59544611" w14:textId="77777777" w:rsidR="00733A8D" w:rsidRDefault="00733A8D" w:rsidP="00733A8D">
            <w:pPr>
              <w:pStyle w:val="aa"/>
              <w:numPr>
                <w:ilvl w:val="0"/>
                <w:numId w:val="8"/>
              </w:numPr>
              <w:rPr>
                <w:kern w:val="0"/>
              </w:rPr>
            </w:pPr>
          </w:p>
        </w:tc>
        <w:tc>
          <w:tcPr>
            <w:tcW w:w="1985" w:type="dxa"/>
            <w:vAlign w:val="center"/>
          </w:tcPr>
          <w:p w14:paraId="1110F25D" w14:textId="77777777" w:rsidR="00733A8D" w:rsidRDefault="00733A8D" w:rsidP="00733A8D">
            <w:pPr>
              <w:pStyle w:val="aa"/>
            </w:pPr>
            <w:r>
              <w:t>苯胺</w:t>
            </w:r>
          </w:p>
        </w:tc>
        <w:tc>
          <w:tcPr>
            <w:tcW w:w="1559" w:type="dxa"/>
            <w:tcBorders>
              <w:top w:val="single" w:sz="4" w:space="0" w:color="auto"/>
              <w:left w:val="single" w:sz="4" w:space="0" w:color="auto"/>
              <w:bottom w:val="single" w:sz="4" w:space="0" w:color="auto"/>
              <w:right w:val="single" w:sz="4" w:space="0" w:color="auto"/>
            </w:tcBorders>
            <w:vAlign w:val="center"/>
          </w:tcPr>
          <w:p w14:paraId="522E9ABF"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60F37DBB"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782B61CC" w14:textId="77777777" w:rsidR="00733A8D" w:rsidRDefault="00733A8D" w:rsidP="00733A8D">
            <w:pPr>
              <w:pStyle w:val="aa"/>
              <w:rPr>
                <w:color w:val="000000"/>
              </w:rPr>
            </w:pPr>
            <w:r>
              <w:rPr>
                <w:color w:val="000000"/>
              </w:rPr>
              <w:t>未检出</w:t>
            </w:r>
          </w:p>
        </w:tc>
        <w:tc>
          <w:tcPr>
            <w:tcW w:w="2410" w:type="dxa"/>
            <w:vAlign w:val="center"/>
          </w:tcPr>
          <w:p w14:paraId="3353BA68" w14:textId="2510C886" w:rsidR="00733A8D" w:rsidRPr="00733A8D" w:rsidRDefault="00733A8D" w:rsidP="00733A8D">
            <w:pPr>
              <w:pStyle w:val="aa"/>
              <w:rPr>
                <w:color w:val="FF0000"/>
              </w:rPr>
            </w:pPr>
            <w:r w:rsidRPr="00733A8D">
              <w:rPr>
                <w:color w:val="FF0000"/>
              </w:rPr>
              <w:t>260</w:t>
            </w:r>
          </w:p>
        </w:tc>
      </w:tr>
      <w:tr w:rsidR="00733A8D" w14:paraId="223D3425" w14:textId="77777777">
        <w:trPr>
          <w:cantSplit/>
          <w:trHeight w:val="397"/>
          <w:jc w:val="center"/>
        </w:trPr>
        <w:tc>
          <w:tcPr>
            <w:tcW w:w="562" w:type="dxa"/>
            <w:tcBorders>
              <w:top w:val="single" w:sz="4" w:space="0" w:color="auto"/>
              <w:left w:val="single" w:sz="4" w:space="0" w:color="auto"/>
              <w:bottom w:val="single" w:sz="4" w:space="0" w:color="auto"/>
              <w:right w:val="single" w:sz="4" w:space="0" w:color="auto"/>
            </w:tcBorders>
          </w:tcPr>
          <w:p w14:paraId="10A2FB32" w14:textId="77777777" w:rsidR="00733A8D" w:rsidRDefault="00733A8D" w:rsidP="00733A8D">
            <w:pPr>
              <w:pStyle w:val="aa"/>
              <w:numPr>
                <w:ilvl w:val="0"/>
                <w:numId w:val="8"/>
              </w:numPr>
              <w:rPr>
                <w:kern w:val="0"/>
              </w:rPr>
            </w:pPr>
          </w:p>
        </w:tc>
        <w:tc>
          <w:tcPr>
            <w:tcW w:w="1985" w:type="dxa"/>
            <w:vAlign w:val="center"/>
          </w:tcPr>
          <w:p w14:paraId="578B5F97" w14:textId="77777777" w:rsidR="00733A8D" w:rsidRDefault="00733A8D" w:rsidP="00733A8D">
            <w:pPr>
              <w:pStyle w:val="aa"/>
            </w:pPr>
            <w:r>
              <w:t>氯甲烷</w:t>
            </w:r>
          </w:p>
        </w:tc>
        <w:tc>
          <w:tcPr>
            <w:tcW w:w="1559" w:type="dxa"/>
            <w:tcBorders>
              <w:top w:val="single" w:sz="4" w:space="0" w:color="auto"/>
              <w:left w:val="single" w:sz="4" w:space="0" w:color="auto"/>
              <w:bottom w:val="single" w:sz="4" w:space="0" w:color="auto"/>
              <w:right w:val="single" w:sz="4" w:space="0" w:color="auto"/>
            </w:tcBorders>
            <w:vAlign w:val="center"/>
          </w:tcPr>
          <w:p w14:paraId="18DF0710" w14:textId="77777777" w:rsidR="00733A8D" w:rsidRDefault="00733A8D" w:rsidP="00733A8D">
            <w:pPr>
              <w:pStyle w:val="aa"/>
              <w:rPr>
                <w:color w:val="000000"/>
              </w:rPr>
            </w:pPr>
            <w:r>
              <w:rPr>
                <w:rFonts w:hint="eastAsia"/>
                <w:color w:val="000000"/>
              </w:rPr>
              <w:t>2</w:t>
            </w:r>
            <w:r>
              <w:rPr>
                <w:color w:val="000000"/>
              </w:rPr>
              <w:t>.1</w:t>
            </w:r>
          </w:p>
        </w:tc>
        <w:tc>
          <w:tcPr>
            <w:tcW w:w="1418" w:type="dxa"/>
            <w:tcBorders>
              <w:top w:val="single" w:sz="4" w:space="0" w:color="auto"/>
              <w:left w:val="single" w:sz="4" w:space="0" w:color="auto"/>
              <w:bottom w:val="single" w:sz="4" w:space="0" w:color="auto"/>
              <w:right w:val="single" w:sz="4" w:space="0" w:color="auto"/>
            </w:tcBorders>
          </w:tcPr>
          <w:p w14:paraId="3F1EB72C" w14:textId="77777777" w:rsidR="00733A8D" w:rsidRDefault="00733A8D" w:rsidP="00733A8D">
            <w:pPr>
              <w:pStyle w:val="aa"/>
              <w:rPr>
                <w:color w:val="000000"/>
              </w:rPr>
            </w:pPr>
            <w:r>
              <w:rPr>
                <w:rFonts w:hint="eastAsia"/>
                <w:color w:val="000000"/>
              </w:rPr>
              <w:t>1</w:t>
            </w:r>
            <w:r>
              <w:rPr>
                <w:color w:val="000000"/>
              </w:rPr>
              <w:t>.9</w:t>
            </w:r>
          </w:p>
        </w:tc>
        <w:tc>
          <w:tcPr>
            <w:tcW w:w="1417" w:type="dxa"/>
            <w:tcBorders>
              <w:top w:val="single" w:sz="4" w:space="0" w:color="auto"/>
              <w:left w:val="single" w:sz="4" w:space="0" w:color="auto"/>
              <w:bottom w:val="single" w:sz="4" w:space="0" w:color="auto"/>
              <w:right w:val="single" w:sz="4" w:space="0" w:color="auto"/>
            </w:tcBorders>
          </w:tcPr>
          <w:p w14:paraId="1865DBF8" w14:textId="77777777" w:rsidR="00733A8D" w:rsidRDefault="00733A8D" w:rsidP="00733A8D">
            <w:pPr>
              <w:pStyle w:val="aa"/>
              <w:rPr>
                <w:color w:val="000000"/>
              </w:rPr>
            </w:pPr>
            <w:r>
              <w:rPr>
                <w:rFonts w:hint="eastAsia"/>
                <w:color w:val="000000"/>
              </w:rPr>
              <w:t>2</w:t>
            </w:r>
            <w:r>
              <w:rPr>
                <w:color w:val="000000"/>
              </w:rPr>
              <w:t>.4</w:t>
            </w:r>
          </w:p>
        </w:tc>
        <w:tc>
          <w:tcPr>
            <w:tcW w:w="2410" w:type="dxa"/>
            <w:vAlign w:val="center"/>
          </w:tcPr>
          <w:p w14:paraId="16B4696D" w14:textId="0FE97E8B" w:rsidR="00733A8D" w:rsidRPr="00733A8D" w:rsidRDefault="00733A8D" w:rsidP="00733A8D">
            <w:pPr>
              <w:pStyle w:val="aa"/>
              <w:rPr>
                <w:color w:val="FF0000"/>
              </w:rPr>
            </w:pPr>
            <w:r w:rsidRPr="00733A8D">
              <w:rPr>
                <w:color w:val="FF0000"/>
              </w:rPr>
              <w:t>37</w:t>
            </w:r>
          </w:p>
        </w:tc>
      </w:tr>
      <w:tr w:rsidR="00733A8D" w14:paraId="5EA288BC" w14:textId="77777777">
        <w:trPr>
          <w:cantSplit/>
          <w:trHeight w:val="397"/>
          <w:jc w:val="center"/>
        </w:trPr>
        <w:tc>
          <w:tcPr>
            <w:tcW w:w="562" w:type="dxa"/>
          </w:tcPr>
          <w:p w14:paraId="2106361A" w14:textId="77777777" w:rsidR="00733A8D" w:rsidRDefault="00733A8D" w:rsidP="00733A8D">
            <w:pPr>
              <w:pStyle w:val="aa"/>
              <w:numPr>
                <w:ilvl w:val="0"/>
                <w:numId w:val="8"/>
              </w:numPr>
            </w:pPr>
          </w:p>
        </w:tc>
        <w:tc>
          <w:tcPr>
            <w:tcW w:w="1985" w:type="dxa"/>
            <w:vAlign w:val="center"/>
          </w:tcPr>
          <w:p w14:paraId="065641F0" w14:textId="77777777" w:rsidR="00733A8D" w:rsidRDefault="00733A8D" w:rsidP="00733A8D">
            <w:pPr>
              <w:pStyle w:val="aa"/>
            </w:pPr>
            <w:r>
              <w:t>氯乙烯</w:t>
            </w:r>
          </w:p>
        </w:tc>
        <w:tc>
          <w:tcPr>
            <w:tcW w:w="1559" w:type="dxa"/>
            <w:tcBorders>
              <w:top w:val="single" w:sz="4" w:space="0" w:color="auto"/>
              <w:left w:val="single" w:sz="4" w:space="0" w:color="auto"/>
              <w:bottom w:val="single" w:sz="4" w:space="0" w:color="auto"/>
              <w:right w:val="single" w:sz="4" w:space="0" w:color="auto"/>
            </w:tcBorders>
            <w:vAlign w:val="center"/>
          </w:tcPr>
          <w:p w14:paraId="362C5A65"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5E94B619"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0A1ABC05" w14:textId="77777777" w:rsidR="00733A8D" w:rsidRDefault="00733A8D" w:rsidP="00733A8D">
            <w:pPr>
              <w:pStyle w:val="aa"/>
              <w:rPr>
                <w:color w:val="000000"/>
              </w:rPr>
            </w:pPr>
            <w:r>
              <w:rPr>
                <w:color w:val="000000"/>
              </w:rPr>
              <w:t>未检出</w:t>
            </w:r>
          </w:p>
        </w:tc>
        <w:tc>
          <w:tcPr>
            <w:tcW w:w="2410" w:type="dxa"/>
            <w:vAlign w:val="center"/>
          </w:tcPr>
          <w:p w14:paraId="3EABC49D" w14:textId="0BA86760" w:rsidR="00733A8D" w:rsidRPr="00733A8D" w:rsidRDefault="00733A8D" w:rsidP="00733A8D">
            <w:pPr>
              <w:pStyle w:val="aa"/>
              <w:rPr>
                <w:color w:val="FF0000"/>
              </w:rPr>
            </w:pPr>
            <w:r w:rsidRPr="00733A8D">
              <w:rPr>
                <w:color w:val="FF0000"/>
              </w:rPr>
              <w:t>0.43</w:t>
            </w:r>
          </w:p>
        </w:tc>
      </w:tr>
      <w:tr w:rsidR="00733A8D" w14:paraId="194C163E" w14:textId="77777777">
        <w:trPr>
          <w:cantSplit/>
          <w:trHeight w:val="397"/>
          <w:jc w:val="center"/>
        </w:trPr>
        <w:tc>
          <w:tcPr>
            <w:tcW w:w="562" w:type="dxa"/>
          </w:tcPr>
          <w:p w14:paraId="1C647C00" w14:textId="77777777" w:rsidR="00733A8D" w:rsidRDefault="00733A8D" w:rsidP="00733A8D">
            <w:pPr>
              <w:pStyle w:val="aa"/>
              <w:numPr>
                <w:ilvl w:val="0"/>
                <w:numId w:val="8"/>
              </w:numPr>
            </w:pPr>
          </w:p>
        </w:tc>
        <w:tc>
          <w:tcPr>
            <w:tcW w:w="1985" w:type="dxa"/>
            <w:vAlign w:val="center"/>
          </w:tcPr>
          <w:p w14:paraId="55F5CE76" w14:textId="77777777" w:rsidR="00733A8D" w:rsidRDefault="00733A8D" w:rsidP="00733A8D">
            <w:pPr>
              <w:pStyle w:val="aa"/>
            </w:pPr>
            <w:r>
              <w:t>1</w:t>
            </w:r>
            <w:r>
              <w:t>，</w:t>
            </w:r>
            <w:r>
              <w:t>1-</w:t>
            </w:r>
            <w:r>
              <w:t>二氯乙烯</w:t>
            </w:r>
          </w:p>
        </w:tc>
        <w:tc>
          <w:tcPr>
            <w:tcW w:w="1559" w:type="dxa"/>
            <w:tcBorders>
              <w:top w:val="single" w:sz="4" w:space="0" w:color="auto"/>
              <w:left w:val="single" w:sz="4" w:space="0" w:color="auto"/>
              <w:bottom w:val="single" w:sz="4" w:space="0" w:color="auto"/>
              <w:right w:val="single" w:sz="4" w:space="0" w:color="auto"/>
            </w:tcBorders>
            <w:vAlign w:val="center"/>
          </w:tcPr>
          <w:p w14:paraId="51FE6320"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272DAFCC"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1EBDF18A" w14:textId="77777777" w:rsidR="00733A8D" w:rsidRDefault="00733A8D" w:rsidP="00733A8D">
            <w:pPr>
              <w:pStyle w:val="aa"/>
              <w:rPr>
                <w:color w:val="000000"/>
              </w:rPr>
            </w:pPr>
            <w:r>
              <w:rPr>
                <w:color w:val="000000"/>
              </w:rPr>
              <w:t>未检出</w:t>
            </w:r>
          </w:p>
        </w:tc>
        <w:tc>
          <w:tcPr>
            <w:tcW w:w="2410" w:type="dxa"/>
            <w:vAlign w:val="center"/>
          </w:tcPr>
          <w:p w14:paraId="77E7F918" w14:textId="56928F49" w:rsidR="00733A8D" w:rsidRPr="00733A8D" w:rsidRDefault="00733A8D" w:rsidP="00733A8D">
            <w:pPr>
              <w:pStyle w:val="aa"/>
              <w:rPr>
                <w:color w:val="FF0000"/>
              </w:rPr>
            </w:pPr>
            <w:r w:rsidRPr="00733A8D">
              <w:rPr>
                <w:color w:val="FF0000"/>
              </w:rPr>
              <w:t>66</w:t>
            </w:r>
          </w:p>
        </w:tc>
      </w:tr>
      <w:tr w:rsidR="00733A8D" w14:paraId="296EA0B1" w14:textId="77777777">
        <w:trPr>
          <w:cantSplit/>
          <w:trHeight w:val="397"/>
          <w:jc w:val="center"/>
        </w:trPr>
        <w:tc>
          <w:tcPr>
            <w:tcW w:w="562" w:type="dxa"/>
          </w:tcPr>
          <w:p w14:paraId="16FDFA34" w14:textId="77777777" w:rsidR="00733A8D" w:rsidRDefault="00733A8D" w:rsidP="00733A8D">
            <w:pPr>
              <w:pStyle w:val="aa"/>
              <w:numPr>
                <w:ilvl w:val="0"/>
                <w:numId w:val="8"/>
              </w:numPr>
            </w:pPr>
          </w:p>
        </w:tc>
        <w:tc>
          <w:tcPr>
            <w:tcW w:w="1985" w:type="dxa"/>
            <w:vAlign w:val="center"/>
          </w:tcPr>
          <w:p w14:paraId="287460C7" w14:textId="77777777" w:rsidR="00733A8D" w:rsidRDefault="00733A8D" w:rsidP="00733A8D">
            <w:pPr>
              <w:pStyle w:val="aa"/>
            </w:pPr>
            <w:r>
              <w:t>硝基苯</w:t>
            </w:r>
          </w:p>
        </w:tc>
        <w:tc>
          <w:tcPr>
            <w:tcW w:w="1559" w:type="dxa"/>
            <w:tcBorders>
              <w:top w:val="single" w:sz="4" w:space="0" w:color="auto"/>
              <w:left w:val="single" w:sz="4" w:space="0" w:color="auto"/>
              <w:bottom w:val="single" w:sz="4" w:space="0" w:color="auto"/>
              <w:right w:val="single" w:sz="4" w:space="0" w:color="auto"/>
            </w:tcBorders>
            <w:vAlign w:val="center"/>
          </w:tcPr>
          <w:p w14:paraId="13B17B80"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1ADBA2BD"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76FED9D7" w14:textId="77777777" w:rsidR="00733A8D" w:rsidRDefault="00733A8D" w:rsidP="00733A8D">
            <w:pPr>
              <w:pStyle w:val="aa"/>
              <w:rPr>
                <w:color w:val="000000"/>
              </w:rPr>
            </w:pPr>
            <w:r>
              <w:rPr>
                <w:color w:val="000000"/>
              </w:rPr>
              <w:t>未检出</w:t>
            </w:r>
          </w:p>
        </w:tc>
        <w:tc>
          <w:tcPr>
            <w:tcW w:w="2410" w:type="dxa"/>
            <w:vAlign w:val="center"/>
          </w:tcPr>
          <w:p w14:paraId="29F7FB40" w14:textId="4F8FD350" w:rsidR="00733A8D" w:rsidRPr="00733A8D" w:rsidRDefault="00733A8D" w:rsidP="00733A8D">
            <w:pPr>
              <w:pStyle w:val="aa"/>
              <w:rPr>
                <w:color w:val="FF0000"/>
              </w:rPr>
            </w:pPr>
            <w:r w:rsidRPr="00733A8D">
              <w:rPr>
                <w:color w:val="FF0000"/>
              </w:rPr>
              <w:t>76</w:t>
            </w:r>
          </w:p>
        </w:tc>
      </w:tr>
      <w:tr w:rsidR="00733A8D" w14:paraId="7667CFAD" w14:textId="77777777">
        <w:trPr>
          <w:cantSplit/>
          <w:trHeight w:val="397"/>
          <w:jc w:val="center"/>
        </w:trPr>
        <w:tc>
          <w:tcPr>
            <w:tcW w:w="562" w:type="dxa"/>
          </w:tcPr>
          <w:p w14:paraId="141762FF" w14:textId="77777777" w:rsidR="00733A8D" w:rsidRDefault="00733A8D" w:rsidP="00733A8D">
            <w:pPr>
              <w:pStyle w:val="aa"/>
              <w:numPr>
                <w:ilvl w:val="0"/>
                <w:numId w:val="8"/>
              </w:numPr>
            </w:pPr>
          </w:p>
        </w:tc>
        <w:tc>
          <w:tcPr>
            <w:tcW w:w="1985" w:type="dxa"/>
            <w:vAlign w:val="center"/>
          </w:tcPr>
          <w:p w14:paraId="603D890E" w14:textId="77777777" w:rsidR="00733A8D" w:rsidRDefault="00733A8D" w:rsidP="00733A8D">
            <w:pPr>
              <w:pStyle w:val="aa"/>
            </w:pPr>
            <w:r>
              <w:t>二氯甲烷</w:t>
            </w:r>
          </w:p>
        </w:tc>
        <w:tc>
          <w:tcPr>
            <w:tcW w:w="1559" w:type="dxa"/>
            <w:tcBorders>
              <w:top w:val="single" w:sz="4" w:space="0" w:color="auto"/>
              <w:left w:val="single" w:sz="4" w:space="0" w:color="auto"/>
              <w:bottom w:val="single" w:sz="4" w:space="0" w:color="auto"/>
              <w:right w:val="single" w:sz="4" w:space="0" w:color="auto"/>
            </w:tcBorders>
            <w:vAlign w:val="center"/>
          </w:tcPr>
          <w:p w14:paraId="33BFD5AC"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6174FD6D"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602B258C" w14:textId="77777777" w:rsidR="00733A8D" w:rsidRDefault="00733A8D" w:rsidP="00733A8D">
            <w:pPr>
              <w:pStyle w:val="aa"/>
              <w:rPr>
                <w:color w:val="000000"/>
              </w:rPr>
            </w:pPr>
            <w:r>
              <w:rPr>
                <w:color w:val="000000"/>
              </w:rPr>
              <w:t>未检出</w:t>
            </w:r>
          </w:p>
        </w:tc>
        <w:tc>
          <w:tcPr>
            <w:tcW w:w="2410" w:type="dxa"/>
            <w:vAlign w:val="center"/>
          </w:tcPr>
          <w:p w14:paraId="724C5BB9" w14:textId="5BAA7E33" w:rsidR="00733A8D" w:rsidRPr="00733A8D" w:rsidRDefault="00733A8D" w:rsidP="00733A8D">
            <w:pPr>
              <w:pStyle w:val="aa"/>
              <w:rPr>
                <w:color w:val="FF0000"/>
              </w:rPr>
            </w:pPr>
            <w:r w:rsidRPr="00733A8D">
              <w:rPr>
                <w:color w:val="FF0000"/>
              </w:rPr>
              <w:t>616</w:t>
            </w:r>
          </w:p>
        </w:tc>
      </w:tr>
      <w:tr w:rsidR="00733A8D" w14:paraId="5622CD77" w14:textId="77777777">
        <w:trPr>
          <w:cantSplit/>
          <w:trHeight w:val="397"/>
          <w:jc w:val="center"/>
        </w:trPr>
        <w:tc>
          <w:tcPr>
            <w:tcW w:w="562" w:type="dxa"/>
          </w:tcPr>
          <w:p w14:paraId="07970947" w14:textId="77777777" w:rsidR="00733A8D" w:rsidRDefault="00733A8D" w:rsidP="00733A8D">
            <w:pPr>
              <w:pStyle w:val="aa"/>
              <w:numPr>
                <w:ilvl w:val="0"/>
                <w:numId w:val="8"/>
              </w:numPr>
            </w:pPr>
          </w:p>
        </w:tc>
        <w:tc>
          <w:tcPr>
            <w:tcW w:w="1985" w:type="dxa"/>
            <w:vAlign w:val="center"/>
          </w:tcPr>
          <w:p w14:paraId="484B8BC9" w14:textId="77777777" w:rsidR="00733A8D" w:rsidRDefault="00733A8D" w:rsidP="00733A8D">
            <w:pPr>
              <w:pStyle w:val="aa"/>
              <w:rPr>
                <w:kern w:val="0"/>
              </w:rPr>
            </w:pPr>
            <w:proofErr w:type="gramStart"/>
            <w:r>
              <w:t>萘</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153E7131"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1789301B"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05074458" w14:textId="77777777" w:rsidR="00733A8D" w:rsidRDefault="00733A8D" w:rsidP="00733A8D">
            <w:pPr>
              <w:pStyle w:val="aa"/>
              <w:rPr>
                <w:color w:val="000000"/>
              </w:rPr>
            </w:pPr>
            <w:r>
              <w:rPr>
                <w:color w:val="000000"/>
              </w:rPr>
              <w:t>未检出</w:t>
            </w:r>
          </w:p>
        </w:tc>
        <w:tc>
          <w:tcPr>
            <w:tcW w:w="2410" w:type="dxa"/>
            <w:vAlign w:val="center"/>
          </w:tcPr>
          <w:p w14:paraId="02D590DB" w14:textId="36B85813" w:rsidR="00733A8D" w:rsidRPr="00733A8D" w:rsidRDefault="00733A8D" w:rsidP="00733A8D">
            <w:pPr>
              <w:pStyle w:val="aa"/>
              <w:rPr>
                <w:color w:val="FF0000"/>
              </w:rPr>
            </w:pPr>
            <w:r w:rsidRPr="00733A8D">
              <w:rPr>
                <w:color w:val="FF0000"/>
              </w:rPr>
              <w:t>70</w:t>
            </w:r>
          </w:p>
        </w:tc>
      </w:tr>
      <w:tr w:rsidR="00733A8D" w14:paraId="43C2DB14" w14:textId="77777777">
        <w:trPr>
          <w:cantSplit/>
          <w:trHeight w:val="397"/>
          <w:jc w:val="center"/>
        </w:trPr>
        <w:tc>
          <w:tcPr>
            <w:tcW w:w="562" w:type="dxa"/>
          </w:tcPr>
          <w:p w14:paraId="10313902" w14:textId="77777777" w:rsidR="00733A8D" w:rsidRDefault="00733A8D" w:rsidP="00733A8D">
            <w:pPr>
              <w:pStyle w:val="aa"/>
              <w:numPr>
                <w:ilvl w:val="0"/>
                <w:numId w:val="8"/>
              </w:numPr>
            </w:pPr>
          </w:p>
        </w:tc>
        <w:tc>
          <w:tcPr>
            <w:tcW w:w="1985" w:type="dxa"/>
            <w:vAlign w:val="center"/>
          </w:tcPr>
          <w:p w14:paraId="4B64C5FC" w14:textId="77777777" w:rsidR="00733A8D" w:rsidRDefault="00733A8D" w:rsidP="00733A8D">
            <w:pPr>
              <w:pStyle w:val="aa"/>
            </w:pPr>
            <w:r>
              <w:t>苯并</w:t>
            </w:r>
            <w:r>
              <w:t>[a]</w:t>
            </w:r>
            <w:proofErr w:type="gramStart"/>
            <w:r>
              <w:rPr>
                <w:rFonts w:ascii="宋体" w:hAnsi="宋体"/>
              </w:rPr>
              <w:t>蒽</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740C4097"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1516DE37"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2957931D" w14:textId="77777777" w:rsidR="00733A8D" w:rsidRDefault="00733A8D" w:rsidP="00733A8D">
            <w:pPr>
              <w:pStyle w:val="aa"/>
              <w:rPr>
                <w:color w:val="000000"/>
              </w:rPr>
            </w:pPr>
            <w:r>
              <w:rPr>
                <w:color w:val="000000"/>
              </w:rPr>
              <w:t>未检出</w:t>
            </w:r>
          </w:p>
        </w:tc>
        <w:tc>
          <w:tcPr>
            <w:tcW w:w="2410" w:type="dxa"/>
            <w:vAlign w:val="center"/>
          </w:tcPr>
          <w:p w14:paraId="1FB37CAE" w14:textId="591799CE" w:rsidR="00733A8D" w:rsidRPr="00733A8D" w:rsidRDefault="00733A8D" w:rsidP="00733A8D">
            <w:pPr>
              <w:pStyle w:val="aa"/>
              <w:rPr>
                <w:color w:val="FF0000"/>
              </w:rPr>
            </w:pPr>
            <w:r w:rsidRPr="00733A8D">
              <w:rPr>
                <w:color w:val="FF0000"/>
              </w:rPr>
              <w:t>15</w:t>
            </w:r>
          </w:p>
        </w:tc>
      </w:tr>
      <w:tr w:rsidR="00733A8D" w14:paraId="66CB6D3B" w14:textId="77777777">
        <w:trPr>
          <w:cantSplit/>
          <w:trHeight w:val="397"/>
          <w:jc w:val="center"/>
        </w:trPr>
        <w:tc>
          <w:tcPr>
            <w:tcW w:w="562" w:type="dxa"/>
          </w:tcPr>
          <w:p w14:paraId="255B6D20" w14:textId="77777777" w:rsidR="00733A8D" w:rsidRDefault="00733A8D" w:rsidP="00733A8D">
            <w:pPr>
              <w:pStyle w:val="aa"/>
              <w:numPr>
                <w:ilvl w:val="0"/>
                <w:numId w:val="8"/>
              </w:numPr>
            </w:pPr>
          </w:p>
        </w:tc>
        <w:tc>
          <w:tcPr>
            <w:tcW w:w="1985" w:type="dxa"/>
            <w:vAlign w:val="center"/>
          </w:tcPr>
          <w:p w14:paraId="3F763CD1" w14:textId="77777777" w:rsidR="00733A8D" w:rsidRDefault="00733A8D" w:rsidP="00733A8D">
            <w:pPr>
              <w:pStyle w:val="aa"/>
            </w:pPr>
            <w:r>
              <w:t>䓛</w:t>
            </w:r>
          </w:p>
        </w:tc>
        <w:tc>
          <w:tcPr>
            <w:tcW w:w="1559" w:type="dxa"/>
            <w:tcBorders>
              <w:top w:val="single" w:sz="4" w:space="0" w:color="auto"/>
              <w:left w:val="single" w:sz="4" w:space="0" w:color="auto"/>
              <w:bottom w:val="single" w:sz="4" w:space="0" w:color="auto"/>
              <w:right w:val="single" w:sz="4" w:space="0" w:color="auto"/>
            </w:tcBorders>
            <w:vAlign w:val="center"/>
          </w:tcPr>
          <w:p w14:paraId="3607EFC0"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698559B6"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3BCF8777" w14:textId="77777777" w:rsidR="00733A8D" w:rsidRDefault="00733A8D" w:rsidP="00733A8D">
            <w:pPr>
              <w:pStyle w:val="aa"/>
              <w:rPr>
                <w:color w:val="000000"/>
              </w:rPr>
            </w:pPr>
            <w:r>
              <w:rPr>
                <w:color w:val="000000"/>
              </w:rPr>
              <w:t>未检出</w:t>
            </w:r>
          </w:p>
        </w:tc>
        <w:tc>
          <w:tcPr>
            <w:tcW w:w="2410" w:type="dxa"/>
            <w:vAlign w:val="center"/>
          </w:tcPr>
          <w:p w14:paraId="238CACBC" w14:textId="797469EB" w:rsidR="00733A8D" w:rsidRPr="00733A8D" w:rsidRDefault="00733A8D" w:rsidP="00733A8D">
            <w:pPr>
              <w:pStyle w:val="aa"/>
              <w:rPr>
                <w:color w:val="FF0000"/>
              </w:rPr>
            </w:pPr>
            <w:r w:rsidRPr="00733A8D">
              <w:rPr>
                <w:color w:val="FF0000"/>
              </w:rPr>
              <w:t>1293</w:t>
            </w:r>
          </w:p>
        </w:tc>
      </w:tr>
      <w:tr w:rsidR="00733A8D" w14:paraId="743531BA" w14:textId="77777777">
        <w:trPr>
          <w:cantSplit/>
          <w:trHeight w:val="397"/>
          <w:jc w:val="center"/>
        </w:trPr>
        <w:tc>
          <w:tcPr>
            <w:tcW w:w="562" w:type="dxa"/>
          </w:tcPr>
          <w:p w14:paraId="252A4E78" w14:textId="77777777" w:rsidR="00733A8D" w:rsidRDefault="00733A8D" w:rsidP="00733A8D">
            <w:pPr>
              <w:pStyle w:val="aa"/>
              <w:numPr>
                <w:ilvl w:val="0"/>
                <w:numId w:val="8"/>
              </w:numPr>
            </w:pPr>
          </w:p>
        </w:tc>
        <w:tc>
          <w:tcPr>
            <w:tcW w:w="1985" w:type="dxa"/>
            <w:vAlign w:val="center"/>
          </w:tcPr>
          <w:p w14:paraId="631129DC" w14:textId="77777777" w:rsidR="00733A8D" w:rsidRDefault="00733A8D" w:rsidP="00733A8D">
            <w:pPr>
              <w:pStyle w:val="aa"/>
            </w:pPr>
            <w:r>
              <w:t>反式</w:t>
            </w:r>
            <w:r>
              <w:t>1,2-</w:t>
            </w:r>
            <w:r>
              <w:rPr>
                <w:rFonts w:ascii="宋体" w:hAnsi="宋体"/>
              </w:rPr>
              <w:t>二氯乙烯</w:t>
            </w:r>
          </w:p>
        </w:tc>
        <w:tc>
          <w:tcPr>
            <w:tcW w:w="1559" w:type="dxa"/>
            <w:tcBorders>
              <w:top w:val="single" w:sz="4" w:space="0" w:color="auto"/>
              <w:left w:val="single" w:sz="4" w:space="0" w:color="auto"/>
              <w:bottom w:val="single" w:sz="4" w:space="0" w:color="auto"/>
              <w:right w:val="single" w:sz="4" w:space="0" w:color="auto"/>
            </w:tcBorders>
            <w:vAlign w:val="center"/>
          </w:tcPr>
          <w:p w14:paraId="247FB5B7"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526AEA52"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6AAC3882" w14:textId="77777777" w:rsidR="00733A8D" w:rsidRDefault="00733A8D" w:rsidP="00733A8D">
            <w:pPr>
              <w:pStyle w:val="aa"/>
              <w:rPr>
                <w:color w:val="000000"/>
              </w:rPr>
            </w:pPr>
            <w:r>
              <w:rPr>
                <w:color w:val="000000"/>
              </w:rPr>
              <w:t>未检出</w:t>
            </w:r>
          </w:p>
        </w:tc>
        <w:tc>
          <w:tcPr>
            <w:tcW w:w="2410" w:type="dxa"/>
            <w:vAlign w:val="center"/>
          </w:tcPr>
          <w:p w14:paraId="6C00C291" w14:textId="088FCE1C" w:rsidR="00733A8D" w:rsidRPr="00733A8D" w:rsidRDefault="00733A8D" w:rsidP="00733A8D">
            <w:pPr>
              <w:pStyle w:val="aa"/>
              <w:rPr>
                <w:color w:val="FF0000"/>
              </w:rPr>
            </w:pPr>
            <w:r w:rsidRPr="00733A8D">
              <w:rPr>
                <w:color w:val="FF0000"/>
              </w:rPr>
              <w:t>54</w:t>
            </w:r>
          </w:p>
        </w:tc>
      </w:tr>
      <w:tr w:rsidR="00733A8D" w14:paraId="3A079727" w14:textId="77777777">
        <w:trPr>
          <w:cantSplit/>
          <w:trHeight w:val="397"/>
          <w:jc w:val="center"/>
        </w:trPr>
        <w:tc>
          <w:tcPr>
            <w:tcW w:w="562" w:type="dxa"/>
          </w:tcPr>
          <w:p w14:paraId="37C1B2EB" w14:textId="77777777" w:rsidR="00733A8D" w:rsidRDefault="00733A8D" w:rsidP="00733A8D">
            <w:pPr>
              <w:pStyle w:val="aa"/>
              <w:numPr>
                <w:ilvl w:val="0"/>
                <w:numId w:val="8"/>
              </w:numPr>
            </w:pPr>
          </w:p>
        </w:tc>
        <w:tc>
          <w:tcPr>
            <w:tcW w:w="1985" w:type="dxa"/>
            <w:vAlign w:val="center"/>
          </w:tcPr>
          <w:p w14:paraId="1CF9AF13" w14:textId="77777777" w:rsidR="00733A8D" w:rsidRDefault="00733A8D" w:rsidP="00733A8D">
            <w:pPr>
              <w:pStyle w:val="aa"/>
            </w:pPr>
            <w:r>
              <w:t>顺式</w:t>
            </w:r>
            <w:r>
              <w:t>1,2-</w:t>
            </w:r>
            <w:r>
              <w:rPr>
                <w:rFonts w:ascii="宋体" w:hAnsi="宋体"/>
              </w:rPr>
              <w:t>二氯乙烯</w:t>
            </w:r>
          </w:p>
        </w:tc>
        <w:tc>
          <w:tcPr>
            <w:tcW w:w="1559" w:type="dxa"/>
            <w:tcBorders>
              <w:top w:val="single" w:sz="4" w:space="0" w:color="auto"/>
              <w:left w:val="single" w:sz="4" w:space="0" w:color="auto"/>
              <w:bottom w:val="single" w:sz="4" w:space="0" w:color="auto"/>
              <w:right w:val="single" w:sz="4" w:space="0" w:color="auto"/>
            </w:tcBorders>
            <w:vAlign w:val="center"/>
          </w:tcPr>
          <w:p w14:paraId="31BE2D3E"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67DA65FC"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408752CF" w14:textId="77777777" w:rsidR="00733A8D" w:rsidRDefault="00733A8D" w:rsidP="00733A8D">
            <w:pPr>
              <w:pStyle w:val="aa"/>
              <w:rPr>
                <w:color w:val="000000"/>
              </w:rPr>
            </w:pPr>
            <w:r>
              <w:rPr>
                <w:color w:val="000000"/>
              </w:rPr>
              <w:t>未检出</w:t>
            </w:r>
          </w:p>
        </w:tc>
        <w:tc>
          <w:tcPr>
            <w:tcW w:w="2410" w:type="dxa"/>
            <w:vAlign w:val="center"/>
          </w:tcPr>
          <w:p w14:paraId="22809602" w14:textId="0FE2CC96" w:rsidR="00733A8D" w:rsidRPr="00733A8D" w:rsidRDefault="00733A8D" w:rsidP="00733A8D">
            <w:pPr>
              <w:pStyle w:val="aa"/>
              <w:rPr>
                <w:color w:val="FF0000"/>
              </w:rPr>
            </w:pPr>
            <w:r w:rsidRPr="00733A8D">
              <w:rPr>
                <w:color w:val="FF0000"/>
              </w:rPr>
              <w:t>596</w:t>
            </w:r>
          </w:p>
        </w:tc>
      </w:tr>
      <w:tr w:rsidR="00733A8D" w14:paraId="7DE38310" w14:textId="77777777">
        <w:trPr>
          <w:cantSplit/>
          <w:trHeight w:val="397"/>
          <w:jc w:val="center"/>
        </w:trPr>
        <w:tc>
          <w:tcPr>
            <w:tcW w:w="562" w:type="dxa"/>
          </w:tcPr>
          <w:p w14:paraId="503E977F" w14:textId="77777777" w:rsidR="00733A8D" w:rsidRDefault="00733A8D" w:rsidP="00733A8D">
            <w:pPr>
              <w:pStyle w:val="aa"/>
              <w:numPr>
                <w:ilvl w:val="0"/>
                <w:numId w:val="8"/>
              </w:numPr>
            </w:pPr>
          </w:p>
        </w:tc>
        <w:tc>
          <w:tcPr>
            <w:tcW w:w="1985" w:type="dxa"/>
            <w:vAlign w:val="center"/>
          </w:tcPr>
          <w:p w14:paraId="0C46C54C" w14:textId="77777777" w:rsidR="00733A8D" w:rsidRDefault="00733A8D" w:rsidP="00733A8D">
            <w:pPr>
              <w:pStyle w:val="aa"/>
            </w:pPr>
            <w:r>
              <w:t>1</w:t>
            </w:r>
            <w:r>
              <w:t>，</w:t>
            </w:r>
            <w:r>
              <w:t>1-</w:t>
            </w:r>
            <w:r>
              <w:t>二氯乙烷</w:t>
            </w:r>
          </w:p>
        </w:tc>
        <w:tc>
          <w:tcPr>
            <w:tcW w:w="1559" w:type="dxa"/>
            <w:tcBorders>
              <w:top w:val="single" w:sz="4" w:space="0" w:color="auto"/>
              <w:left w:val="single" w:sz="4" w:space="0" w:color="auto"/>
              <w:bottom w:val="single" w:sz="4" w:space="0" w:color="auto"/>
              <w:right w:val="single" w:sz="4" w:space="0" w:color="auto"/>
            </w:tcBorders>
            <w:vAlign w:val="center"/>
          </w:tcPr>
          <w:p w14:paraId="120BA624"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63F16906"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3F5702FE" w14:textId="77777777" w:rsidR="00733A8D" w:rsidRDefault="00733A8D" w:rsidP="00733A8D">
            <w:pPr>
              <w:pStyle w:val="aa"/>
              <w:rPr>
                <w:color w:val="000000"/>
              </w:rPr>
            </w:pPr>
            <w:r>
              <w:rPr>
                <w:color w:val="000000"/>
              </w:rPr>
              <w:t>未检出</w:t>
            </w:r>
          </w:p>
        </w:tc>
        <w:tc>
          <w:tcPr>
            <w:tcW w:w="2410" w:type="dxa"/>
            <w:vAlign w:val="center"/>
          </w:tcPr>
          <w:p w14:paraId="081A8EC3" w14:textId="0ACF43C1" w:rsidR="00733A8D" w:rsidRPr="00733A8D" w:rsidRDefault="00733A8D" w:rsidP="00733A8D">
            <w:pPr>
              <w:pStyle w:val="aa"/>
              <w:rPr>
                <w:color w:val="FF0000"/>
              </w:rPr>
            </w:pPr>
            <w:r w:rsidRPr="00733A8D">
              <w:rPr>
                <w:color w:val="FF0000"/>
              </w:rPr>
              <w:t>5</w:t>
            </w:r>
          </w:p>
        </w:tc>
      </w:tr>
      <w:tr w:rsidR="00733A8D" w14:paraId="72ED9E5B" w14:textId="77777777">
        <w:trPr>
          <w:cantSplit/>
          <w:trHeight w:val="397"/>
          <w:jc w:val="center"/>
        </w:trPr>
        <w:tc>
          <w:tcPr>
            <w:tcW w:w="562" w:type="dxa"/>
          </w:tcPr>
          <w:p w14:paraId="1C27EDCF" w14:textId="77777777" w:rsidR="00733A8D" w:rsidRDefault="00733A8D" w:rsidP="00733A8D">
            <w:pPr>
              <w:pStyle w:val="aa"/>
              <w:numPr>
                <w:ilvl w:val="0"/>
                <w:numId w:val="8"/>
              </w:numPr>
            </w:pPr>
          </w:p>
        </w:tc>
        <w:tc>
          <w:tcPr>
            <w:tcW w:w="1985" w:type="dxa"/>
            <w:vAlign w:val="center"/>
          </w:tcPr>
          <w:p w14:paraId="42DACE61" w14:textId="77777777" w:rsidR="00733A8D" w:rsidRDefault="00733A8D" w:rsidP="00733A8D">
            <w:pPr>
              <w:pStyle w:val="aa"/>
            </w:pPr>
            <w:r>
              <w:t>苯并</w:t>
            </w:r>
            <w:r>
              <w:t>(b)</w:t>
            </w:r>
            <w:proofErr w:type="gramStart"/>
            <w:r>
              <w:rPr>
                <w:rFonts w:ascii="宋体" w:hAnsi="宋体"/>
              </w:rPr>
              <w:t>荧蒽</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5F2C3135"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3D68B384"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74BBB30E" w14:textId="77777777" w:rsidR="00733A8D" w:rsidRDefault="00733A8D" w:rsidP="00733A8D">
            <w:pPr>
              <w:pStyle w:val="aa"/>
              <w:rPr>
                <w:color w:val="000000"/>
              </w:rPr>
            </w:pPr>
            <w:r>
              <w:rPr>
                <w:color w:val="000000"/>
              </w:rPr>
              <w:t>未检出</w:t>
            </w:r>
          </w:p>
        </w:tc>
        <w:tc>
          <w:tcPr>
            <w:tcW w:w="2410" w:type="dxa"/>
            <w:vAlign w:val="center"/>
          </w:tcPr>
          <w:p w14:paraId="5FD113B3" w14:textId="4C66EB80" w:rsidR="00733A8D" w:rsidRPr="00733A8D" w:rsidRDefault="00733A8D" w:rsidP="00733A8D">
            <w:pPr>
              <w:pStyle w:val="aa"/>
              <w:rPr>
                <w:color w:val="FF0000"/>
              </w:rPr>
            </w:pPr>
            <w:r w:rsidRPr="00733A8D">
              <w:rPr>
                <w:color w:val="FF0000"/>
              </w:rPr>
              <w:t>15</w:t>
            </w:r>
          </w:p>
        </w:tc>
      </w:tr>
      <w:tr w:rsidR="00733A8D" w14:paraId="39068812" w14:textId="77777777">
        <w:trPr>
          <w:cantSplit/>
          <w:trHeight w:val="397"/>
          <w:jc w:val="center"/>
        </w:trPr>
        <w:tc>
          <w:tcPr>
            <w:tcW w:w="562" w:type="dxa"/>
          </w:tcPr>
          <w:p w14:paraId="20E0EB38" w14:textId="77777777" w:rsidR="00733A8D" w:rsidRDefault="00733A8D" w:rsidP="00733A8D">
            <w:pPr>
              <w:pStyle w:val="aa"/>
              <w:numPr>
                <w:ilvl w:val="0"/>
                <w:numId w:val="8"/>
              </w:numPr>
            </w:pPr>
          </w:p>
        </w:tc>
        <w:tc>
          <w:tcPr>
            <w:tcW w:w="1985" w:type="dxa"/>
            <w:vAlign w:val="center"/>
          </w:tcPr>
          <w:p w14:paraId="6FAC7505" w14:textId="77777777" w:rsidR="00733A8D" w:rsidRDefault="00733A8D" w:rsidP="00733A8D">
            <w:pPr>
              <w:pStyle w:val="aa"/>
            </w:pPr>
            <w:r>
              <w:t>苯并</w:t>
            </w:r>
            <w:r>
              <w:t>(k)</w:t>
            </w:r>
            <w:proofErr w:type="gramStart"/>
            <w:r>
              <w:rPr>
                <w:rFonts w:ascii="宋体" w:hAnsi="宋体"/>
              </w:rPr>
              <w:t>荧蒽</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46122B11"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420AF488"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3953D894" w14:textId="77777777" w:rsidR="00733A8D" w:rsidRDefault="00733A8D" w:rsidP="00733A8D">
            <w:pPr>
              <w:pStyle w:val="aa"/>
              <w:rPr>
                <w:color w:val="000000"/>
              </w:rPr>
            </w:pPr>
            <w:r>
              <w:rPr>
                <w:color w:val="000000"/>
              </w:rPr>
              <w:t>未检出</w:t>
            </w:r>
          </w:p>
        </w:tc>
        <w:tc>
          <w:tcPr>
            <w:tcW w:w="2410" w:type="dxa"/>
            <w:vAlign w:val="center"/>
          </w:tcPr>
          <w:p w14:paraId="60A87111" w14:textId="236563AB" w:rsidR="00733A8D" w:rsidRPr="00733A8D" w:rsidRDefault="00733A8D" w:rsidP="00733A8D">
            <w:pPr>
              <w:pStyle w:val="aa"/>
              <w:rPr>
                <w:color w:val="FF0000"/>
              </w:rPr>
            </w:pPr>
            <w:r w:rsidRPr="00733A8D">
              <w:rPr>
                <w:color w:val="FF0000"/>
              </w:rPr>
              <w:t>151</w:t>
            </w:r>
          </w:p>
        </w:tc>
      </w:tr>
      <w:tr w:rsidR="00733A8D" w14:paraId="0F2AA821" w14:textId="77777777">
        <w:trPr>
          <w:cantSplit/>
          <w:trHeight w:val="397"/>
          <w:jc w:val="center"/>
        </w:trPr>
        <w:tc>
          <w:tcPr>
            <w:tcW w:w="562" w:type="dxa"/>
          </w:tcPr>
          <w:p w14:paraId="4A9EEDC9" w14:textId="77777777" w:rsidR="00733A8D" w:rsidRDefault="00733A8D" w:rsidP="00733A8D">
            <w:pPr>
              <w:pStyle w:val="aa"/>
              <w:numPr>
                <w:ilvl w:val="0"/>
                <w:numId w:val="8"/>
              </w:numPr>
            </w:pPr>
          </w:p>
        </w:tc>
        <w:tc>
          <w:tcPr>
            <w:tcW w:w="1985" w:type="dxa"/>
            <w:vAlign w:val="center"/>
          </w:tcPr>
          <w:p w14:paraId="4E150A4A" w14:textId="77777777" w:rsidR="00733A8D" w:rsidRDefault="00733A8D" w:rsidP="00733A8D">
            <w:pPr>
              <w:pStyle w:val="aa"/>
            </w:pPr>
            <w:r>
              <w:t>氯仿</w:t>
            </w:r>
          </w:p>
        </w:tc>
        <w:tc>
          <w:tcPr>
            <w:tcW w:w="1559" w:type="dxa"/>
            <w:tcBorders>
              <w:top w:val="single" w:sz="4" w:space="0" w:color="auto"/>
              <w:left w:val="single" w:sz="4" w:space="0" w:color="auto"/>
              <w:bottom w:val="single" w:sz="4" w:space="0" w:color="auto"/>
              <w:right w:val="single" w:sz="4" w:space="0" w:color="auto"/>
            </w:tcBorders>
            <w:vAlign w:val="center"/>
          </w:tcPr>
          <w:p w14:paraId="1838A3A9"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4FEB37A7"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0DC2D06C" w14:textId="77777777" w:rsidR="00733A8D" w:rsidRDefault="00733A8D" w:rsidP="00733A8D">
            <w:pPr>
              <w:pStyle w:val="aa"/>
              <w:rPr>
                <w:color w:val="000000"/>
              </w:rPr>
            </w:pPr>
            <w:r>
              <w:rPr>
                <w:color w:val="000000"/>
              </w:rPr>
              <w:t>未检出</w:t>
            </w:r>
          </w:p>
        </w:tc>
        <w:tc>
          <w:tcPr>
            <w:tcW w:w="2410" w:type="dxa"/>
            <w:vAlign w:val="center"/>
          </w:tcPr>
          <w:p w14:paraId="05C26F0B" w14:textId="03AD6C9E" w:rsidR="00733A8D" w:rsidRPr="00733A8D" w:rsidRDefault="00733A8D" w:rsidP="00733A8D">
            <w:pPr>
              <w:pStyle w:val="aa"/>
              <w:rPr>
                <w:color w:val="FF0000"/>
              </w:rPr>
            </w:pPr>
            <w:r w:rsidRPr="00733A8D">
              <w:rPr>
                <w:color w:val="FF0000"/>
              </w:rPr>
              <w:t>0.9</w:t>
            </w:r>
          </w:p>
        </w:tc>
      </w:tr>
      <w:tr w:rsidR="00733A8D" w14:paraId="663D5429" w14:textId="77777777">
        <w:trPr>
          <w:cantSplit/>
          <w:trHeight w:val="397"/>
          <w:jc w:val="center"/>
        </w:trPr>
        <w:tc>
          <w:tcPr>
            <w:tcW w:w="562" w:type="dxa"/>
          </w:tcPr>
          <w:p w14:paraId="7280B721" w14:textId="77777777" w:rsidR="00733A8D" w:rsidRDefault="00733A8D" w:rsidP="00733A8D">
            <w:pPr>
              <w:pStyle w:val="aa"/>
              <w:numPr>
                <w:ilvl w:val="0"/>
                <w:numId w:val="8"/>
              </w:numPr>
            </w:pPr>
          </w:p>
        </w:tc>
        <w:tc>
          <w:tcPr>
            <w:tcW w:w="1985" w:type="dxa"/>
            <w:vAlign w:val="center"/>
          </w:tcPr>
          <w:p w14:paraId="4EFE4F38" w14:textId="77777777" w:rsidR="00733A8D" w:rsidRDefault="00733A8D" w:rsidP="00733A8D">
            <w:pPr>
              <w:pStyle w:val="aa"/>
            </w:pPr>
            <w:r>
              <w:t>1</w:t>
            </w:r>
            <w:r>
              <w:t>，</w:t>
            </w:r>
            <w:r>
              <w:t>1</w:t>
            </w:r>
            <w:r>
              <w:t>，</w:t>
            </w:r>
            <w:r>
              <w:t>1-</w:t>
            </w:r>
            <w:r>
              <w:t>三氯乙烷</w:t>
            </w:r>
          </w:p>
        </w:tc>
        <w:tc>
          <w:tcPr>
            <w:tcW w:w="1559" w:type="dxa"/>
            <w:tcBorders>
              <w:top w:val="single" w:sz="4" w:space="0" w:color="auto"/>
              <w:left w:val="single" w:sz="4" w:space="0" w:color="auto"/>
              <w:bottom w:val="single" w:sz="4" w:space="0" w:color="auto"/>
              <w:right w:val="single" w:sz="4" w:space="0" w:color="auto"/>
            </w:tcBorders>
            <w:vAlign w:val="center"/>
          </w:tcPr>
          <w:p w14:paraId="0D31F648"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50C1E0F4"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38DFBE58" w14:textId="77777777" w:rsidR="00733A8D" w:rsidRDefault="00733A8D" w:rsidP="00733A8D">
            <w:pPr>
              <w:pStyle w:val="aa"/>
              <w:rPr>
                <w:color w:val="000000"/>
              </w:rPr>
            </w:pPr>
            <w:r>
              <w:rPr>
                <w:color w:val="000000"/>
              </w:rPr>
              <w:t>未检出</w:t>
            </w:r>
          </w:p>
        </w:tc>
        <w:tc>
          <w:tcPr>
            <w:tcW w:w="2410" w:type="dxa"/>
            <w:vAlign w:val="center"/>
          </w:tcPr>
          <w:p w14:paraId="7A95F74E" w14:textId="2F2CA68B" w:rsidR="00733A8D" w:rsidRPr="00733A8D" w:rsidRDefault="00733A8D" w:rsidP="00733A8D">
            <w:pPr>
              <w:pStyle w:val="aa"/>
              <w:rPr>
                <w:color w:val="FF0000"/>
              </w:rPr>
            </w:pPr>
            <w:r w:rsidRPr="00733A8D">
              <w:rPr>
                <w:color w:val="FF0000"/>
              </w:rPr>
              <w:t>840</w:t>
            </w:r>
          </w:p>
        </w:tc>
      </w:tr>
      <w:tr w:rsidR="00733A8D" w14:paraId="136FE614" w14:textId="77777777">
        <w:trPr>
          <w:cantSplit/>
          <w:trHeight w:val="397"/>
          <w:jc w:val="center"/>
        </w:trPr>
        <w:tc>
          <w:tcPr>
            <w:tcW w:w="562" w:type="dxa"/>
          </w:tcPr>
          <w:p w14:paraId="59D2873A" w14:textId="77777777" w:rsidR="00733A8D" w:rsidRDefault="00733A8D" w:rsidP="00733A8D">
            <w:pPr>
              <w:pStyle w:val="aa"/>
              <w:numPr>
                <w:ilvl w:val="0"/>
                <w:numId w:val="8"/>
              </w:numPr>
            </w:pPr>
          </w:p>
        </w:tc>
        <w:tc>
          <w:tcPr>
            <w:tcW w:w="1985" w:type="dxa"/>
            <w:vAlign w:val="center"/>
          </w:tcPr>
          <w:p w14:paraId="7C9AB035" w14:textId="77777777" w:rsidR="00733A8D" w:rsidRDefault="00733A8D" w:rsidP="00733A8D">
            <w:pPr>
              <w:pStyle w:val="aa"/>
            </w:pPr>
            <w:r>
              <w:t>苯并</w:t>
            </w:r>
            <w:r>
              <w:t>(a)</w:t>
            </w:r>
            <w:proofErr w:type="gramStart"/>
            <w:r>
              <w:rPr>
                <w:rFonts w:ascii="宋体" w:hAnsi="宋体"/>
              </w:rPr>
              <w:t>芘</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5566CFEC"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64437583"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0B000832" w14:textId="77777777" w:rsidR="00733A8D" w:rsidRDefault="00733A8D" w:rsidP="00733A8D">
            <w:pPr>
              <w:pStyle w:val="aa"/>
              <w:rPr>
                <w:color w:val="000000"/>
              </w:rPr>
            </w:pPr>
            <w:r>
              <w:rPr>
                <w:color w:val="000000"/>
              </w:rPr>
              <w:t>未检出</w:t>
            </w:r>
          </w:p>
        </w:tc>
        <w:tc>
          <w:tcPr>
            <w:tcW w:w="2410" w:type="dxa"/>
            <w:vAlign w:val="center"/>
          </w:tcPr>
          <w:p w14:paraId="1B472555" w14:textId="5EFDDE5D" w:rsidR="00733A8D" w:rsidRPr="00733A8D" w:rsidRDefault="00733A8D" w:rsidP="00733A8D">
            <w:pPr>
              <w:pStyle w:val="aa"/>
              <w:rPr>
                <w:color w:val="FF0000"/>
              </w:rPr>
            </w:pPr>
            <w:r w:rsidRPr="00733A8D">
              <w:rPr>
                <w:color w:val="FF0000"/>
              </w:rPr>
              <w:t>1.5</w:t>
            </w:r>
          </w:p>
        </w:tc>
      </w:tr>
      <w:tr w:rsidR="00733A8D" w14:paraId="0E9120D0" w14:textId="77777777">
        <w:trPr>
          <w:cantSplit/>
          <w:trHeight w:val="397"/>
          <w:jc w:val="center"/>
        </w:trPr>
        <w:tc>
          <w:tcPr>
            <w:tcW w:w="562" w:type="dxa"/>
          </w:tcPr>
          <w:p w14:paraId="46DA4995" w14:textId="77777777" w:rsidR="00733A8D" w:rsidRDefault="00733A8D" w:rsidP="00733A8D">
            <w:pPr>
              <w:pStyle w:val="aa"/>
              <w:numPr>
                <w:ilvl w:val="0"/>
                <w:numId w:val="8"/>
              </w:numPr>
            </w:pPr>
          </w:p>
        </w:tc>
        <w:tc>
          <w:tcPr>
            <w:tcW w:w="1985" w:type="dxa"/>
            <w:vAlign w:val="center"/>
          </w:tcPr>
          <w:p w14:paraId="3F45BB6F" w14:textId="77777777" w:rsidR="00733A8D" w:rsidRDefault="00733A8D" w:rsidP="00733A8D">
            <w:pPr>
              <w:pStyle w:val="aa"/>
            </w:pPr>
            <w:r>
              <w:t>四氯化碳</w:t>
            </w:r>
          </w:p>
        </w:tc>
        <w:tc>
          <w:tcPr>
            <w:tcW w:w="1559" w:type="dxa"/>
            <w:tcBorders>
              <w:top w:val="single" w:sz="4" w:space="0" w:color="auto"/>
              <w:left w:val="single" w:sz="4" w:space="0" w:color="auto"/>
              <w:bottom w:val="single" w:sz="4" w:space="0" w:color="auto"/>
              <w:right w:val="single" w:sz="4" w:space="0" w:color="auto"/>
            </w:tcBorders>
            <w:vAlign w:val="center"/>
          </w:tcPr>
          <w:p w14:paraId="71347726" w14:textId="77777777" w:rsidR="00733A8D" w:rsidRDefault="00733A8D" w:rsidP="00733A8D">
            <w:pPr>
              <w:pStyle w:val="aa"/>
              <w:rPr>
                <w:color w:val="000000"/>
              </w:rPr>
            </w:pPr>
            <w:r>
              <w:rPr>
                <w:rFonts w:hint="eastAsia"/>
                <w:color w:val="000000"/>
              </w:rPr>
              <w:t>0.143</w:t>
            </w:r>
          </w:p>
        </w:tc>
        <w:tc>
          <w:tcPr>
            <w:tcW w:w="1418" w:type="dxa"/>
            <w:tcBorders>
              <w:top w:val="single" w:sz="4" w:space="0" w:color="auto"/>
              <w:left w:val="single" w:sz="4" w:space="0" w:color="auto"/>
              <w:bottom w:val="single" w:sz="4" w:space="0" w:color="auto"/>
              <w:right w:val="single" w:sz="4" w:space="0" w:color="auto"/>
            </w:tcBorders>
            <w:vAlign w:val="center"/>
          </w:tcPr>
          <w:p w14:paraId="04CBE73E" w14:textId="77777777" w:rsidR="00733A8D" w:rsidRDefault="00733A8D" w:rsidP="00733A8D">
            <w:pPr>
              <w:pStyle w:val="aa"/>
              <w:rPr>
                <w:color w:val="000000"/>
              </w:rPr>
            </w:pPr>
            <w:r>
              <w:rPr>
                <w:rFonts w:hint="eastAsia"/>
                <w:color w:val="000000"/>
              </w:rPr>
              <w:t>0.126</w:t>
            </w:r>
          </w:p>
        </w:tc>
        <w:tc>
          <w:tcPr>
            <w:tcW w:w="1417" w:type="dxa"/>
            <w:tcBorders>
              <w:top w:val="single" w:sz="4" w:space="0" w:color="auto"/>
              <w:left w:val="single" w:sz="4" w:space="0" w:color="auto"/>
              <w:bottom w:val="single" w:sz="4" w:space="0" w:color="auto"/>
              <w:right w:val="single" w:sz="4" w:space="0" w:color="auto"/>
            </w:tcBorders>
            <w:vAlign w:val="center"/>
          </w:tcPr>
          <w:p w14:paraId="1D72E182" w14:textId="77777777" w:rsidR="00733A8D" w:rsidRDefault="00733A8D" w:rsidP="00733A8D">
            <w:pPr>
              <w:pStyle w:val="aa"/>
              <w:rPr>
                <w:color w:val="000000"/>
              </w:rPr>
            </w:pPr>
            <w:r>
              <w:rPr>
                <w:rFonts w:hint="eastAsia"/>
                <w:color w:val="000000"/>
              </w:rPr>
              <w:t>0.152</w:t>
            </w:r>
          </w:p>
        </w:tc>
        <w:tc>
          <w:tcPr>
            <w:tcW w:w="2410" w:type="dxa"/>
            <w:vAlign w:val="center"/>
          </w:tcPr>
          <w:p w14:paraId="5B42039A" w14:textId="4C4874A5" w:rsidR="00733A8D" w:rsidRPr="00733A8D" w:rsidRDefault="00733A8D" w:rsidP="00733A8D">
            <w:pPr>
              <w:pStyle w:val="aa"/>
              <w:rPr>
                <w:color w:val="FF0000"/>
              </w:rPr>
            </w:pPr>
            <w:r w:rsidRPr="00733A8D">
              <w:rPr>
                <w:color w:val="FF0000"/>
              </w:rPr>
              <w:t>2.8</w:t>
            </w:r>
          </w:p>
        </w:tc>
      </w:tr>
      <w:tr w:rsidR="00733A8D" w14:paraId="14A361B6" w14:textId="77777777">
        <w:trPr>
          <w:cantSplit/>
          <w:trHeight w:val="397"/>
          <w:jc w:val="center"/>
        </w:trPr>
        <w:tc>
          <w:tcPr>
            <w:tcW w:w="562" w:type="dxa"/>
          </w:tcPr>
          <w:p w14:paraId="70A47452" w14:textId="77777777" w:rsidR="00733A8D" w:rsidRDefault="00733A8D" w:rsidP="00733A8D">
            <w:pPr>
              <w:pStyle w:val="aa"/>
              <w:numPr>
                <w:ilvl w:val="0"/>
                <w:numId w:val="8"/>
              </w:numPr>
            </w:pPr>
          </w:p>
        </w:tc>
        <w:tc>
          <w:tcPr>
            <w:tcW w:w="1985" w:type="dxa"/>
            <w:vAlign w:val="center"/>
          </w:tcPr>
          <w:p w14:paraId="700F66CC" w14:textId="77777777" w:rsidR="00733A8D" w:rsidRDefault="00733A8D" w:rsidP="00733A8D">
            <w:pPr>
              <w:pStyle w:val="aa"/>
            </w:pPr>
            <w:proofErr w:type="gramStart"/>
            <w:r>
              <w:t>茚</w:t>
            </w:r>
            <w:proofErr w:type="gramEnd"/>
            <w:r>
              <w:t>并</w:t>
            </w:r>
            <w:r>
              <w:t>(1,2,3-cd)</w:t>
            </w:r>
            <w:proofErr w:type="gramStart"/>
            <w:r>
              <w:rPr>
                <w:rFonts w:ascii="宋体" w:hAnsi="宋体"/>
              </w:rPr>
              <w:t>芘</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19E78770"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624399BE"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566E07DB" w14:textId="77777777" w:rsidR="00733A8D" w:rsidRDefault="00733A8D" w:rsidP="00733A8D">
            <w:pPr>
              <w:pStyle w:val="aa"/>
              <w:rPr>
                <w:color w:val="000000"/>
              </w:rPr>
            </w:pPr>
            <w:r>
              <w:rPr>
                <w:color w:val="000000"/>
              </w:rPr>
              <w:t>未检出</w:t>
            </w:r>
          </w:p>
        </w:tc>
        <w:tc>
          <w:tcPr>
            <w:tcW w:w="2410" w:type="dxa"/>
            <w:vAlign w:val="center"/>
          </w:tcPr>
          <w:p w14:paraId="563043BC" w14:textId="12AFB623" w:rsidR="00733A8D" w:rsidRPr="00733A8D" w:rsidRDefault="00733A8D" w:rsidP="00733A8D">
            <w:pPr>
              <w:pStyle w:val="aa"/>
              <w:rPr>
                <w:color w:val="FF0000"/>
              </w:rPr>
            </w:pPr>
            <w:r w:rsidRPr="00733A8D">
              <w:rPr>
                <w:color w:val="FF0000"/>
              </w:rPr>
              <w:t>15</w:t>
            </w:r>
          </w:p>
        </w:tc>
      </w:tr>
      <w:tr w:rsidR="00733A8D" w14:paraId="0450D297" w14:textId="77777777">
        <w:trPr>
          <w:cantSplit/>
          <w:trHeight w:val="397"/>
          <w:jc w:val="center"/>
        </w:trPr>
        <w:tc>
          <w:tcPr>
            <w:tcW w:w="562" w:type="dxa"/>
          </w:tcPr>
          <w:p w14:paraId="5AE8317F" w14:textId="77777777" w:rsidR="00733A8D" w:rsidRDefault="00733A8D" w:rsidP="00733A8D">
            <w:pPr>
              <w:pStyle w:val="aa"/>
              <w:numPr>
                <w:ilvl w:val="0"/>
                <w:numId w:val="8"/>
              </w:numPr>
            </w:pPr>
          </w:p>
        </w:tc>
        <w:tc>
          <w:tcPr>
            <w:tcW w:w="1985" w:type="dxa"/>
            <w:vAlign w:val="center"/>
          </w:tcPr>
          <w:p w14:paraId="18BFBFB0" w14:textId="77777777" w:rsidR="00733A8D" w:rsidRDefault="00733A8D" w:rsidP="00733A8D">
            <w:pPr>
              <w:pStyle w:val="aa"/>
            </w:pPr>
            <w:r>
              <w:t>1,2-</w:t>
            </w:r>
            <w:r>
              <w:rPr>
                <w:rFonts w:ascii="宋体" w:hAnsi="宋体"/>
              </w:rPr>
              <w:t>二氯乙烷</w:t>
            </w:r>
          </w:p>
        </w:tc>
        <w:tc>
          <w:tcPr>
            <w:tcW w:w="1559" w:type="dxa"/>
            <w:tcBorders>
              <w:top w:val="single" w:sz="4" w:space="0" w:color="auto"/>
              <w:left w:val="single" w:sz="4" w:space="0" w:color="auto"/>
              <w:bottom w:val="single" w:sz="4" w:space="0" w:color="auto"/>
              <w:right w:val="single" w:sz="4" w:space="0" w:color="auto"/>
            </w:tcBorders>
            <w:vAlign w:val="center"/>
          </w:tcPr>
          <w:p w14:paraId="0F2981A8"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465FBEC8"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6226D3B3" w14:textId="77777777" w:rsidR="00733A8D" w:rsidRDefault="00733A8D" w:rsidP="00733A8D">
            <w:pPr>
              <w:pStyle w:val="aa"/>
              <w:rPr>
                <w:color w:val="000000"/>
              </w:rPr>
            </w:pPr>
            <w:r>
              <w:rPr>
                <w:color w:val="000000"/>
              </w:rPr>
              <w:t>未检出</w:t>
            </w:r>
          </w:p>
        </w:tc>
        <w:tc>
          <w:tcPr>
            <w:tcW w:w="2410" w:type="dxa"/>
            <w:vAlign w:val="center"/>
          </w:tcPr>
          <w:p w14:paraId="06945A17" w14:textId="79EB082C" w:rsidR="00733A8D" w:rsidRPr="00733A8D" w:rsidRDefault="00733A8D" w:rsidP="00733A8D">
            <w:pPr>
              <w:pStyle w:val="aa"/>
              <w:rPr>
                <w:color w:val="FF0000"/>
              </w:rPr>
            </w:pPr>
            <w:r w:rsidRPr="00733A8D">
              <w:rPr>
                <w:color w:val="FF0000"/>
              </w:rPr>
              <w:t>5</w:t>
            </w:r>
          </w:p>
        </w:tc>
      </w:tr>
      <w:tr w:rsidR="00733A8D" w14:paraId="2EFBF4AB" w14:textId="77777777">
        <w:trPr>
          <w:cantSplit/>
          <w:trHeight w:val="397"/>
          <w:jc w:val="center"/>
        </w:trPr>
        <w:tc>
          <w:tcPr>
            <w:tcW w:w="562" w:type="dxa"/>
          </w:tcPr>
          <w:p w14:paraId="2BABA11B" w14:textId="77777777" w:rsidR="00733A8D" w:rsidRDefault="00733A8D" w:rsidP="00733A8D">
            <w:pPr>
              <w:pStyle w:val="aa"/>
              <w:numPr>
                <w:ilvl w:val="0"/>
                <w:numId w:val="8"/>
              </w:numPr>
            </w:pPr>
          </w:p>
        </w:tc>
        <w:tc>
          <w:tcPr>
            <w:tcW w:w="1985" w:type="dxa"/>
            <w:vAlign w:val="center"/>
          </w:tcPr>
          <w:p w14:paraId="72504FC3" w14:textId="77777777" w:rsidR="00733A8D" w:rsidRDefault="00733A8D" w:rsidP="00733A8D">
            <w:pPr>
              <w:pStyle w:val="aa"/>
            </w:pPr>
            <w:r>
              <w:t>二苯并</w:t>
            </w:r>
            <w:r>
              <w:t>(</w:t>
            </w:r>
            <w:proofErr w:type="spellStart"/>
            <w:r>
              <w:t>a,h</w:t>
            </w:r>
            <w:proofErr w:type="spellEnd"/>
            <w:r>
              <w:t>)</w:t>
            </w:r>
            <w:proofErr w:type="gramStart"/>
            <w:r>
              <w:rPr>
                <w:rFonts w:ascii="宋体" w:hAnsi="宋体"/>
              </w:rPr>
              <w:t>蒽</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0E10EC92"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3A5052EA"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3689A57D" w14:textId="77777777" w:rsidR="00733A8D" w:rsidRDefault="00733A8D" w:rsidP="00733A8D">
            <w:pPr>
              <w:pStyle w:val="aa"/>
              <w:rPr>
                <w:color w:val="000000"/>
              </w:rPr>
            </w:pPr>
            <w:r>
              <w:rPr>
                <w:color w:val="000000"/>
              </w:rPr>
              <w:t>未检出</w:t>
            </w:r>
          </w:p>
        </w:tc>
        <w:tc>
          <w:tcPr>
            <w:tcW w:w="2410" w:type="dxa"/>
            <w:vAlign w:val="center"/>
          </w:tcPr>
          <w:p w14:paraId="599E7504" w14:textId="48A5674F" w:rsidR="00733A8D" w:rsidRPr="00733A8D" w:rsidRDefault="00733A8D" w:rsidP="00733A8D">
            <w:pPr>
              <w:pStyle w:val="aa"/>
              <w:rPr>
                <w:color w:val="FF0000"/>
              </w:rPr>
            </w:pPr>
            <w:r w:rsidRPr="00733A8D">
              <w:rPr>
                <w:color w:val="FF0000"/>
              </w:rPr>
              <w:t>1.5</w:t>
            </w:r>
          </w:p>
        </w:tc>
      </w:tr>
      <w:tr w:rsidR="00733A8D" w14:paraId="14CCBD2D" w14:textId="77777777">
        <w:trPr>
          <w:cantSplit/>
          <w:trHeight w:val="397"/>
          <w:jc w:val="center"/>
        </w:trPr>
        <w:tc>
          <w:tcPr>
            <w:tcW w:w="562" w:type="dxa"/>
          </w:tcPr>
          <w:p w14:paraId="12E61246" w14:textId="77777777" w:rsidR="00733A8D" w:rsidRDefault="00733A8D" w:rsidP="00733A8D">
            <w:pPr>
              <w:pStyle w:val="aa"/>
              <w:numPr>
                <w:ilvl w:val="0"/>
                <w:numId w:val="8"/>
              </w:numPr>
            </w:pPr>
          </w:p>
        </w:tc>
        <w:tc>
          <w:tcPr>
            <w:tcW w:w="1985" w:type="dxa"/>
            <w:vAlign w:val="center"/>
          </w:tcPr>
          <w:p w14:paraId="1F57CC37" w14:textId="77777777" w:rsidR="00733A8D" w:rsidRDefault="00733A8D" w:rsidP="00733A8D">
            <w:pPr>
              <w:pStyle w:val="aa"/>
            </w:pPr>
            <w:r>
              <w:t>三氯乙烯</w:t>
            </w:r>
          </w:p>
        </w:tc>
        <w:tc>
          <w:tcPr>
            <w:tcW w:w="1559" w:type="dxa"/>
            <w:tcBorders>
              <w:top w:val="single" w:sz="4" w:space="0" w:color="auto"/>
              <w:left w:val="single" w:sz="4" w:space="0" w:color="auto"/>
              <w:bottom w:val="single" w:sz="4" w:space="0" w:color="auto"/>
              <w:right w:val="single" w:sz="4" w:space="0" w:color="auto"/>
            </w:tcBorders>
            <w:vAlign w:val="center"/>
          </w:tcPr>
          <w:p w14:paraId="06422A15"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335521C6"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63FD80F8" w14:textId="77777777" w:rsidR="00733A8D" w:rsidRDefault="00733A8D" w:rsidP="00733A8D">
            <w:pPr>
              <w:pStyle w:val="aa"/>
              <w:rPr>
                <w:color w:val="000000"/>
              </w:rPr>
            </w:pPr>
            <w:r>
              <w:rPr>
                <w:color w:val="000000"/>
              </w:rPr>
              <w:t>未检出</w:t>
            </w:r>
          </w:p>
        </w:tc>
        <w:tc>
          <w:tcPr>
            <w:tcW w:w="2410" w:type="dxa"/>
            <w:vAlign w:val="center"/>
          </w:tcPr>
          <w:p w14:paraId="0F499458" w14:textId="0C792E20" w:rsidR="00733A8D" w:rsidRPr="00733A8D" w:rsidRDefault="00733A8D" w:rsidP="00733A8D">
            <w:pPr>
              <w:pStyle w:val="aa"/>
              <w:rPr>
                <w:color w:val="FF0000"/>
              </w:rPr>
            </w:pPr>
            <w:r w:rsidRPr="00733A8D">
              <w:rPr>
                <w:color w:val="FF0000"/>
              </w:rPr>
              <w:t>2.8</w:t>
            </w:r>
          </w:p>
        </w:tc>
      </w:tr>
      <w:tr w:rsidR="00733A8D" w14:paraId="3927FB75" w14:textId="77777777">
        <w:trPr>
          <w:cantSplit/>
          <w:trHeight w:val="397"/>
          <w:jc w:val="center"/>
        </w:trPr>
        <w:tc>
          <w:tcPr>
            <w:tcW w:w="562" w:type="dxa"/>
          </w:tcPr>
          <w:p w14:paraId="0D822C96" w14:textId="77777777" w:rsidR="00733A8D" w:rsidRDefault="00733A8D" w:rsidP="00733A8D">
            <w:pPr>
              <w:pStyle w:val="aa"/>
              <w:numPr>
                <w:ilvl w:val="0"/>
                <w:numId w:val="8"/>
              </w:numPr>
            </w:pPr>
          </w:p>
        </w:tc>
        <w:tc>
          <w:tcPr>
            <w:tcW w:w="1985" w:type="dxa"/>
            <w:vAlign w:val="center"/>
          </w:tcPr>
          <w:p w14:paraId="55F523AC" w14:textId="77777777" w:rsidR="00733A8D" w:rsidRDefault="00733A8D" w:rsidP="00733A8D">
            <w:pPr>
              <w:pStyle w:val="aa"/>
            </w:pPr>
            <w:r>
              <w:t>1</w:t>
            </w:r>
            <w:r>
              <w:t>，</w:t>
            </w:r>
            <w:r>
              <w:t>2-</w:t>
            </w:r>
            <w:r>
              <w:t>二氯丙烷</w:t>
            </w:r>
          </w:p>
        </w:tc>
        <w:tc>
          <w:tcPr>
            <w:tcW w:w="1559" w:type="dxa"/>
            <w:tcBorders>
              <w:top w:val="single" w:sz="4" w:space="0" w:color="auto"/>
              <w:left w:val="single" w:sz="4" w:space="0" w:color="auto"/>
              <w:bottom w:val="single" w:sz="4" w:space="0" w:color="auto"/>
              <w:right w:val="single" w:sz="4" w:space="0" w:color="auto"/>
            </w:tcBorders>
            <w:vAlign w:val="center"/>
          </w:tcPr>
          <w:p w14:paraId="38666BA1"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4C3BD9C7"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2F1E7C6A" w14:textId="77777777" w:rsidR="00733A8D" w:rsidRDefault="00733A8D" w:rsidP="00733A8D">
            <w:pPr>
              <w:pStyle w:val="aa"/>
              <w:rPr>
                <w:color w:val="000000"/>
              </w:rPr>
            </w:pPr>
            <w:r>
              <w:rPr>
                <w:color w:val="000000"/>
              </w:rPr>
              <w:t>未检出</w:t>
            </w:r>
          </w:p>
        </w:tc>
        <w:tc>
          <w:tcPr>
            <w:tcW w:w="2410" w:type="dxa"/>
            <w:vAlign w:val="center"/>
          </w:tcPr>
          <w:p w14:paraId="3F97AF2C" w14:textId="1FEB2EBC" w:rsidR="00733A8D" w:rsidRPr="00733A8D" w:rsidRDefault="00733A8D" w:rsidP="00733A8D">
            <w:pPr>
              <w:pStyle w:val="aa"/>
              <w:rPr>
                <w:color w:val="FF0000"/>
              </w:rPr>
            </w:pPr>
            <w:r w:rsidRPr="00733A8D">
              <w:rPr>
                <w:color w:val="FF0000"/>
              </w:rPr>
              <w:t>5</w:t>
            </w:r>
          </w:p>
        </w:tc>
      </w:tr>
      <w:tr w:rsidR="00733A8D" w14:paraId="4E1DF3FA" w14:textId="77777777">
        <w:trPr>
          <w:cantSplit/>
          <w:trHeight w:val="397"/>
          <w:jc w:val="center"/>
        </w:trPr>
        <w:tc>
          <w:tcPr>
            <w:tcW w:w="562" w:type="dxa"/>
          </w:tcPr>
          <w:p w14:paraId="4DE6947D" w14:textId="77777777" w:rsidR="00733A8D" w:rsidRDefault="00733A8D" w:rsidP="00733A8D">
            <w:pPr>
              <w:pStyle w:val="aa"/>
              <w:numPr>
                <w:ilvl w:val="0"/>
                <w:numId w:val="8"/>
              </w:numPr>
            </w:pPr>
          </w:p>
        </w:tc>
        <w:tc>
          <w:tcPr>
            <w:tcW w:w="1985" w:type="dxa"/>
            <w:vAlign w:val="center"/>
          </w:tcPr>
          <w:p w14:paraId="21DB6936" w14:textId="77777777" w:rsidR="00733A8D" w:rsidRDefault="00733A8D" w:rsidP="00733A8D">
            <w:pPr>
              <w:pStyle w:val="aa"/>
            </w:pPr>
            <w:r>
              <w:t>甲苯</w:t>
            </w:r>
          </w:p>
        </w:tc>
        <w:tc>
          <w:tcPr>
            <w:tcW w:w="1559" w:type="dxa"/>
            <w:tcBorders>
              <w:top w:val="single" w:sz="4" w:space="0" w:color="auto"/>
              <w:left w:val="single" w:sz="4" w:space="0" w:color="auto"/>
              <w:bottom w:val="single" w:sz="4" w:space="0" w:color="auto"/>
              <w:right w:val="single" w:sz="4" w:space="0" w:color="auto"/>
            </w:tcBorders>
            <w:vAlign w:val="center"/>
          </w:tcPr>
          <w:p w14:paraId="7960025F"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7347FAD5"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2B6EB531" w14:textId="77777777" w:rsidR="00733A8D" w:rsidRDefault="00733A8D" w:rsidP="00733A8D">
            <w:pPr>
              <w:pStyle w:val="aa"/>
              <w:rPr>
                <w:color w:val="000000"/>
              </w:rPr>
            </w:pPr>
            <w:r>
              <w:rPr>
                <w:color w:val="000000"/>
              </w:rPr>
              <w:t>未检出</w:t>
            </w:r>
          </w:p>
        </w:tc>
        <w:tc>
          <w:tcPr>
            <w:tcW w:w="2410" w:type="dxa"/>
            <w:vAlign w:val="center"/>
          </w:tcPr>
          <w:p w14:paraId="5129DD5C" w14:textId="1C6CA31D" w:rsidR="00733A8D" w:rsidRPr="00733A8D" w:rsidRDefault="00733A8D" w:rsidP="00733A8D">
            <w:pPr>
              <w:pStyle w:val="aa"/>
              <w:rPr>
                <w:color w:val="FF0000"/>
              </w:rPr>
            </w:pPr>
            <w:r w:rsidRPr="00733A8D">
              <w:rPr>
                <w:color w:val="FF0000"/>
              </w:rPr>
              <w:t>1200</w:t>
            </w:r>
          </w:p>
        </w:tc>
      </w:tr>
      <w:tr w:rsidR="00733A8D" w14:paraId="6AA8A2C3" w14:textId="77777777">
        <w:trPr>
          <w:cantSplit/>
          <w:trHeight w:val="397"/>
          <w:jc w:val="center"/>
        </w:trPr>
        <w:tc>
          <w:tcPr>
            <w:tcW w:w="562" w:type="dxa"/>
          </w:tcPr>
          <w:p w14:paraId="6E25AAB0" w14:textId="77777777" w:rsidR="00733A8D" w:rsidRDefault="00733A8D" w:rsidP="00733A8D">
            <w:pPr>
              <w:pStyle w:val="aa"/>
              <w:numPr>
                <w:ilvl w:val="0"/>
                <w:numId w:val="8"/>
              </w:numPr>
            </w:pPr>
          </w:p>
        </w:tc>
        <w:tc>
          <w:tcPr>
            <w:tcW w:w="1985" w:type="dxa"/>
            <w:vAlign w:val="center"/>
          </w:tcPr>
          <w:p w14:paraId="36121F38" w14:textId="77777777" w:rsidR="00733A8D" w:rsidRDefault="00733A8D" w:rsidP="00733A8D">
            <w:pPr>
              <w:pStyle w:val="aa"/>
            </w:pPr>
            <w:r>
              <w:t>1</w:t>
            </w:r>
            <w:r>
              <w:t>，</w:t>
            </w:r>
            <w:r>
              <w:t>1</w:t>
            </w:r>
            <w:r>
              <w:t>，</w:t>
            </w:r>
            <w:r>
              <w:t>2-</w:t>
            </w:r>
            <w:r>
              <w:t>三氯乙烷</w:t>
            </w:r>
          </w:p>
        </w:tc>
        <w:tc>
          <w:tcPr>
            <w:tcW w:w="1559" w:type="dxa"/>
            <w:tcBorders>
              <w:top w:val="single" w:sz="4" w:space="0" w:color="auto"/>
              <w:left w:val="single" w:sz="4" w:space="0" w:color="auto"/>
              <w:bottom w:val="single" w:sz="4" w:space="0" w:color="auto"/>
              <w:right w:val="single" w:sz="4" w:space="0" w:color="auto"/>
            </w:tcBorders>
            <w:vAlign w:val="center"/>
          </w:tcPr>
          <w:p w14:paraId="704475CB"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0D67CD68"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623FCE8B" w14:textId="77777777" w:rsidR="00733A8D" w:rsidRDefault="00733A8D" w:rsidP="00733A8D">
            <w:pPr>
              <w:pStyle w:val="aa"/>
              <w:rPr>
                <w:color w:val="000000"/>
              </w:rPr>
            </w:pPr>
            <w:r>
              <w:rPr>
                <w:color w:val="000000"/>
              </w:rPr>
              <w:t>未检出</w:t>
            </w:r>
          </w:p>
        </w:tc>
        <w:tc>
          <w:tcPr>
            <w:tcW w:w="2410" w:type="dxa"/>
            <w:vAlign w:val="center"/>
          </w:tcPr>
          <w:p w14:paraId="44E39A70" w14:textId="0EBA4796" w:rsidR="00733A8D" w:rsidRPr="00733A8D" w:rsidRDefault="00733A8D" w:rsidP="00733A8D">
            <w:pPr>
              <w:pStyle w:val="aa"/>
              <w:rPr>
                <w:color w:val="FF0000"/>
              </w:rPr>
            </w:pPr>
            <w:r w:rsidRPr="00733A8D">
              <w:rPr>
                <w:color w:val="FF0000"/>
              </w:rPr>
              <w:t>2.8</w:t>
            </w:r>
          </w:p>
        </w:tc>
      </w:tr>
      <w:tr w:rsidR="00733A8D" w14:paraId="37BC5CDF" w14:textId="77777777">
        <w:trPr>
          <w:cantSplit/>
          <w:trHeight w:val="397"/>
          <w:jc w:val="center"/>
        </w:trPr>
        <w:tc>
          <w:tcPr>
            <w:tcW w:w="562" w:type="dxa"/>
          </w:tcPr>
          <w:p w14:paraId="6278F824" w14:textId="77777777" w:rsidR="00733A8D" w:rsidRDefault="00733A8D" w:rsidP="00733A8D">
            <w:pPr>
              <w:pStyle w:val="aa"/>
              <w:numPr>
                <w:ilvl w:val="0"/>
                <w:numId w:val="8"/>
              </w:numPr>
            </w:pPr>
          </w:p>
        </w:tc>
        <w:tc>
          <w:tcPr>
            <w:tcW w:w="1985" w:type="dxa"/>
            <w:vAlign w:val="center"/>
          </w:tcPr>
          <w:p w14:paraId="55D46D18" w14:textId="77777777" w:rsidR="00733A8D" w:rsidRDefault="00733A8D" w:rsidP="00733A8D">
            <w:pPr>
              <w:pStyle w:val="aa"/>
            </w:pPr>
            <w:r>
              <w:t>氯苯</w:t>
            </w:r>
          </w:p>
        </w:tc>
        <w:tc>
          <w:tcPr>
            <w:tcW w:w="1559" w:type="dxa"/>
            <w:tcBorders>
              <w:top w:val="single" w:sz="4" w:space="0" w:color="auto"/>
              <w:left w:val="single" w:sz="4" w:space="0" w:color="auto"/>
              <w:bottom w:val="single" w:sz="4" w:space="0" w:color="auto"/>
              <w:right w:val="single" w:sz="4" w:space="0" w:color="auto"/>
            </w:tcBorders>
            <w:vAlign w:val="center"/>
          </w:tcPr>
          <w:p w14:paraId="516A20C3"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6F77BA05"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5F284235" w14:textId="77777777" w:rsidR="00733A8D" w:rsidRDefault="00733A8D" w:rsidP="00733A8D">
            <w:pPr>
              <w:pStyle w:val="aa"/>
              <w:rPr>
                <w:color w:val="000000"/>
              </w:rPr>
            </w:pPr>
            <w:r>
              <w:rPr>
                <w:color w:val="000000"/>
              </w:rPr>
              <w:t>未检出</w:t>
            </w:r>
          </w:p>
        </w:tc>
        <w:tc>
          <w:tcPr>
            <w:tcW w:w="2410" w:type="dxa"/>
            <w:vAlign w:val="center"/>
          </w:tcPr>
          <w:p w14:paraId="2680D6C7" w14:textId="1B58F3E0" w:rsidR="00733A8D" w:rsidRPr="00733A8D" w:rsidRDefault="00733A8D" w:rsidP="00733A8D">
            <w:pPr>
              <w:pStyle w:val="aa"/>
              <w:rPr>
                <w:color w:val="FF0000"/>
              </w:rPr>
            </w:pPr>
            <w:r w:rsidRPr="00733A8D">
              <w:rPr>
                <w:color w:val="FF0000"/>
              </w:rPr>
              <w:t>270</w:t>
            </w:r>
          </w:p>
        </w:tc>
      </w:tr>
      <w:tr w:rsidR="00733A8D" w14:paraId="2E4ED0CF" w14:textId="77777777">
        <w:trPr>
          <w:cantSplit/>
          <w:trHeight w:val="397"/>
          <w:jc w:val="center"/>
        </w:trPr>
        <w:tc>
          <w:tcPr>
            <w:tcW w:w="562" w:type="dxa"/>
          </w:tcPr>
          <w:p w14:paraId="5043A2EA" w14:textId="77777777" w:rsidR="00733A8D" w:rsidRDefault="00733A8D" w:rsidP="00733A8D">
            <w:pPr>
              <w:pStyle w:val="aa"/>
              <w:numPr>
                <w:ilvl w:val="0"/>
                <w:numId w:val="8"/>
              </w:numPr>
            </w:pPr>
          </w:p>
        </w:tc>
        <w:tc>
          <w:tcPr>
            <w:tcW w:w="1985" w:type="dxa"/>
            <w:vAlign w:val="center"/>
          </w:tcPr>
          <w:p w14:paraId="4DCDC4EC" w14:textId="77777777" w:rsidR="00733A8D" w:rsidRDefault="00733A8D" w:rsidP="00733A8D">
            <w:pPr>
              <w:pStyle w:val="aa"/>
            </w:pPr>
            <w:r>
              <w:t>1</w:t>
            </w:r>
            <w:r>
              <w:t>，</w:t>
            </w:r>
            <w:r>
              <w:t>1</w:t>
            </w:r>
            <w:r>
              <w:t>，</w:t>
            </w:r>
            <w:r>
              <w:t>1</w:t>
            </w:r>
            <w:r>
              <w:t>，</w:t>
            </w:r>
            <w:r>
              <w:t>2-</w:t>
            </w:r>
            <w:r>
              <w:t>四氯乙烷</w:t>
            </w:r>
          </w:p>
        </w:tc>
        <w:tc>
          <w:tcPr>
            <w:tcW w:w="1559" w:type="dxa"/>
            <w:tcBorders>
              <w:top w:val="single" w:sz="4" w:space="0" w:color="auto"/>
              <w:left w:val="single" w:sz="4" w:space="0" w:color="auto"/>
              <w:bottom w:val="single" w:sz="4" w:space="0" w:color="auto"/>
              <w:right w:val="single" w:sz="4" w:space="0" w:color="auto"/>
            </w:tcBorders>
            <w:vAlign w:val="center"/>
          </w:tcPr>
          <w:p w14:paraId="6A086A5F"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5FE5BA24"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0B22EC0B" w14:textId="77777777" w:rsidR="00733A8D" w:rsidRDefault="00733A8D" w:rsidP="00733A8D">
            <w:pPr>
              <w:pStyle w:val="aa"/>
              <w:rPr>
                <w:color w:val="000000"/>
              </w:rPr>
            </w:pPr>
            <w:r>
              <w:rPr>
                <w:color w:val="000000"/>
              </w:rPr>
              <w:t>未检出</w:t>
            </w:r>
          </w:p>
        </w:tc>
        <w:tc>
          <w:tcPr>
            <w:tcW w:w="2410" w:type="dxa"/>
            <w:vAlign w:val="center"/>
          </w:tcPr>
          <w:p w14:paraId="55C62A3A" w14:textId="3E909C8F" w:rsidR="00733A8D" w:rsidRPr="00733A8D" w:rsidRDefault="00733A8D" w:rsidP="00733A8D">
            <w:pPr>
              <w:pStyle w:val="aa"/>
              <w:rPr>
                <w:color w:val="FF0000"/>
              </w:rPr>
            </w:pPr>
            <w:r w:rsidRPr="00733A8D">
              <w:rPr>
                <w:color w:val="FF0000"/>
              </w:rPr>
              <w:t>10</w:t>
            </w:r>
          </w:p>
        </w:tc>
      </w:tr>
      <w:tr w:rsidR="00733A8D" w14:paraId="7C520384" w14:textId="77777777">
        <w:trPr>
          <w:cantSplit/>
          <w:trHeight w:val="397"/>
          <w:jc w:val="center"/>
        </w:trPr>
        <w:tc>
          <w:tcPr>
            <w:tcW w:w="562" w:type="dxa"/>
          </w:tcPr>
          <w:p w14:paraId="20AD5198" w14:textId="77777777" w:rsidR="00733A8D" w:rsidRDefault="00733A8D" w:rsidP="00733A8D">
            <w:pPr>
              <w:pStyle w:val="aa"/>
              <w:numPr>
                <w:ilvl w:val="0"/>
                <w:numId w:val="8"/>
              </w:numPr>
            </w:pPr>
          </w:p>
        </w:tc>
        <w:tc>
          <w:tcPr>
            <w:tcW w:w="1985" w:type="dxa"/>
            <w:vAlign w:val="center"/>
          </w:tcPr>
          <w:p w14:paraId="341FF721" w14:textId="77777777" w:rsidR="00733A8D" w:rsidRDefault="00733A8D" w:rsidP="00733A8D">
            <w:pPr>
              <w:pStyle w:val="aa"/>
              <w:rPr>
                <w:color w:val="000000"/>
              </w:rPr>
            </w:pPr>
            <w:r>
              <w:t>乙苯</w:t>
            </w:r>
          </w:p>
        </w:tc>
        <w:tc>
          <w:tcPr>
            <w:tcW w:w="1559" w:type="dxa"/>
            <w:tcBorders>
              <w:top w:val="single" w:sz="4" w:space="0" w:color="auto"/>
              <w:left w:val="single" w:sz="4" w:space="0" w:color="auto"/>
              <w:bottom w:val="single" w:sz="4" w:space="0" w:color="auto"/>
              <w:right w:val="single" w:sz="4" w:space="0" w:color="auto"/>
            </w:tcBorders>
            <w:vAlign w:val="center"/>
          </w:tcPr>
          <w:p w14:paraId="49588EB2"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6567171B"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3EEE5BD9" w14:textId="77777777" w:rsidR="00733A8D" w:rsidRDefault="00733A8D" w:rsidP="00733A8D">
            <w:pPr>
              <w:pStyle w:val="aa"/>
              <w:rPr>
                <w:color w:val="000000"/>
              </w:rPr>
            </w:pPr>
            <w:r>
              <w:rPr>
                <w:color w:val="000000"/>
              </w:rPr>
              <w:t>未检出</w:t>
            </w:r>
          </w:p>
        </w:tc>
        <w:tc>
          <w:tcPr>
            <w:tcW w:w="2410" w:type="dxa"/>
            <w:vAlign w:val="center"/>
          </w:tcPr>
          <w:p w14:paraId="59466308" w14:textId="4CD2FF07" w:rsidR="00733A8D" w:rsidRPr="00733A8D" w:rsidRDefault="00733A8D" w:rsidP="00733A8D">
            <w:pPr>
              <w:pStyle w:val="aa"/>
              <w:rPr>
                <w:color w:val="FF0000"/>
              </w:rPr>
            </w:pPr>
            <w:r w:rsidRPr="00733A8D">
              <w:rPr>
                <w:color w:val="FF0000"/>
              </w:rPr>
              <w:t>28</w:t>
            </w:r>
          </w:p>
        </w:tc>
      </w:tr>
      <w:tr w:rsidR="00733A8D" w14:paraId="402A8095" w14:textId="77777777">
        <w:trPr>
          <w:cantSplit/>
          <w:trHeight w:val="397"/>
          <w:jc w:val="center"/>
        </w:trPr>
        <w:tc>
          <w:tcPr>
            <w:tcW w:w="562" w:type="dxa"/>
          </w:tcPr>
          <w:p w14:paraId="715DE872" w14:textId="77777777" w:rsidR="00733A8D" w:rsidRDefault="00733A8D" w:rsidP="00733A8D">
            <w:pPr>
              <w:pStyle w:val="aa"/>
              <w:numPr>
                <w:ilvl w:val="0"/>
                <w:numId w:val="8"/>
              </w:numPr>
            </w:pPr>
          </w:p>
        </w:tc>
        <w:tc>
          <w:tcPr>
            <w:tcW w:w="1985" w:type="dxa"/>
            <w:vAlign w:val="center"/>
          </w:tcPr>
          <w:p w14:paraId="3AAB433E" w14:textId="77777777" w:rsidR="00733A8D" w:rsidRDefault="00733A8D" w:rsidP="00733A8D">
            <w:pPr>
              <w:pStyle w:val="aa"/>
            </w:pPr>
            <w:r>
              <w:t>间</w:t>
            </w:r>
            <w:r>
              <w:t>/</w:t>
            </w:r>
            <w:r>
              <w:rPr>
                <w:rFonts w:ascii="宋体" w:hAnsi="宋体"/>
              </w:rPr>
              <w:t>对</w:t>
            </w:r>
            <w:r>
              <w:t>-</w:t>
            </w:r>
            <w:r>
              <w:rPr>
                <w:rFonts w:ascii="宋体" w:hAnsi="宋体"/>
              </w:rPr>
              <w:t>二甲苯</w:t>
            </w:r>
          </w:p>
        </w:tc>
        <w:tc>
          <w:tcPr>
            <w:tcW w:w="1559" w:type="dxa"/>
            <w:tcBorders>
              <w:top w:val="single" w:sz="4" w:space="0" w:color="auto"/>
              <w:left w:val="single" w:sz="4" w:space="0" w:color="auto"/>
              <w:bottom w:val="single" w:sz="4" w:space="0" w:color="auto"/>
              <w:right w:val="single" w:sz="4" w:space="0" w:color="auto"/>
            </w:tcBorders>
            <w:vAlign w:val="center"/>
          </w:tcPr>
          <w:p w14:paraId="573F75AB"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3891FA49"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533BA234" w14:textId="77777777" w:rsidR="00733A8D" w:rsidRDefault="00733A8D" w:rsidP="00733A8D">
            <w:pPr>
              <w:pStyle w:val="aa"/>
              <w:rPr>
                <w:color w:val="000000"/>
              </w:rPr>
            </w:pPr>
            <w:r>
              <w:rPr>
                <w:color w:val="000000"/>
              </w:rPr>
              <w:t>未检出</w:t>
            </w:r>
          </w:p>
        </w:tc>
        <w:tc>
          <w:tcPr>
            <w:tcW w:w="2410" w:type="dxa"/>
            <w:vAlign w:val="center"/>
          </w:tcPr>
          <w:p w14:paraId="31CA7D02" w14:textId="558E8AA8" w:rsidR="00733A8D" w:rsidRPr="00733A8D" w:rsidRDefault="00733A8D" w:rsidP="00733A8D">
            <w:pPr>
              <w:pStyle w:val="aa"/>
              <w:rPr>
                <w:color w:val="FF0000"/>
              </w:rPr>
            </w:pPr>
            <w:r w:rsidRPr="00733A8D">
              <w:rPr>
                <w:color w:val="FF0000"/>
              </w:rPr>
              <w:t>570</w:t>
            </w:r>
          </w:p>
        </w:tc>
      </w:tr>
      <w:tr w:rsidR="00733A8D" w14:paraId="1CFC9AAF" w14:textId="77777777">
        <w:trPr>
          <w:cantSplit/>
          <w:trHeight w:val="397"/>
          <w:jc w:val="center"/>
        </w:trPr>
        <w:tc>
          <w:tcPr>
            <w:tcW w:w="562" w:type="dxa"/>
          </w:tcPr>
          <w:p w14:paraId="39939937" w14:textId="77777777" w:rsidR="00733A8D" w:rsidRDefault="00733A8D" w:rsidP="00733A8D">
            <w:pPr>
              <w:pStyle w:val="aa"/>
              <w:numPr>
                <w:ilvl w:val="0"/>
                <w:numId w:val="8"/>
              </w:numPr>
            </w:pPr>
          </w:p>
        </w:tc>
        <w:tc>
          <w:tcPr>
            <w:tcW w:w="1985" w:type="dxa"/>
            <w:vAlign w:val="center"/>
          </w:tcPr>
          <w:p w14:paraId="6E699896" w14:textId="77777777" w:rsidR="00733A8D" w:rsidRDefault="00733A8D" w:rsidP="00733A8D">
            <w:pPr>
              <w:pStyle w:val="aa"/>
            </w:pPr>
            <w:r>
              <w:t>邻二甲苯</w:t>
            </w:r>
            <w:r>
              <w:t>/</w:t>
            </w:r>
            <w:r>
              <w:rPr>
                <w:rFonts w:ascii="宋体" w:hAnsi="宋体"/>
              </w:rPr>
              <w:t>苯乙烯</w:t>
            </w:r>
          </w:p>
        </w:tc>
        <w:tc>
          <w:tcPr>
            <w:tcW w:w="1559" w:type="dxa"/>
            <w:tcBorders>
              <w:top w:val="single" w:sz="4" w:space="0" w:color="auto"/>
              <w:left w:val="single" w:sz="4" w:space="0" w:color="auto"/>
              <w:bottom w:val="single" w:sz="4" w:space="0" w:color="auto"/>
              <w:right w:val="single" w:sz="4" w:space="0" w:color="auto"/>
            </w:tcBorders>
            <w:vAlign w:val="center"/>
          </w:tcPr>
          <w:p w14:paraId="640FA8E1"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47CE9947"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5BDB14F4" w14:textId="77777777" w:rsidR="00733A8D" w:rsidRDefault="00733A8D" w:rsidP="00733A8D">
            <w:pPr>
              <w:pStyle w:val="aa"/>
              <w:rPr>
                <w:color w:val="000000"/>
              </w:rPr>
            </w:pPr>
            <w:r>
              <w:rPr>
                <w:color w:val="000000"/>
              </w:rPr>
              <w:t>未检出</w:t>
            </w:r>
          </w:p>
        </w:tc>
        <w:tc>
          <w:tcPr>
            <w:tcW w:w="2410" w:type="dxa"/>
            <w:vAlign w:val="center"/>
          </w:tcPr>
          <w:p w14:paraId="7EBFBE83" w14:textId="586A2413" w:rsidR="00733A8D" w:rsidRPr="00733A8D" w:rsidRDefault="00733A8D" w:rsidP="00733A8D">
            <w:pPr>
              <w:pStyle w:val="aa"/>
              <w:rPr>
                <w:color w:val="FF0000"/>
              </w:rPr>
            </w:pPr>
            <w:r w:rsidRPr="00733A8D">
              <w:rPr>
                <w:color w:val="FF0000"/>
              </w:rPr>
              <w:t>640</w:t>
            </w:r>
          </w:p>
        </w:tc>
      </w:tr>
      <w:tr w:rsidR="00733A8D" w14:paraId="4B3A6084" w14:textId="77777777">
        <w:trPr>
          <w:cantSplit/>
          <w:trHeight w:val="397"/>
          <w:jc w:val="center"/>
        </w:trPr>
        <w:tc>
          <w:tcPr>
            <w:tcW w:w="562" w:type="dxa"/>
          </w:tcPr>
          <w:p w14:paraId="21C6DF0D" w14:textId="77777777" w:rsidR="00733A8D" w:rsidRDefault="00733A8D" w:rsidP="00733A8D">
            <w:pPr>
              <w:pStyle w:val="aa"/>
              <w:numPr>
                <w:ilvl w:val="0"/>
                <w:numId w:val="8"/>
              </w:numPr>
            </w:pPr>
          </w:p>
        </w:tc>
        <w:tc>
          <w:tcPr>
            <w:tcW w:w="1985" w:type="dxa"/>
            <w:vAlign w:val="center"/>
          </w:tcPr>
          <w:p w14:paraId="6567C764" w14:textId="77777777" w:rsidR="00733A8D" w:rsidRDefault="00733A8D" w:rsidP="00733A8D">
            <w:pPr>
              <w:pStyle w:val="aa"/>
            </w:pPr>
            <w:r>
              <w:t>1</w:t>
            </w:r>
            <w:r>
              <w:t>，</w:t>
            </w:r>
            <w:r>
              <w:t>1</w:t>
            </w:r>
            <w:r>
              <w:t>，</w:t>
            </w:r>
            <w:r>
              <w:t>2</w:t>
            </w:r>
            <w:r>
              <w:t>，</w:t>
            </w:r>
            <w:r>
              <w:t>2-</w:t>
            </w:r>
            <w:r>
              <w:t>四氯乙烷</w:t>
            </w:r>
          </w:p>
        </w:tc>
        <w:tc>
          <w:tcPr>
            <w:tcW w:w="1559" w:type="dxa"/>
            <w:tcBorders>
              <w:top w:val="single" w:sz="4" w:space="0" w:color="auto"/>
              <w:left w:val="single" w:sz="4" w:space="0" w:color="auto"/>
              <w:bottom w:val="single" w:sz="4" w:space="0" w:color="auto"/>
              <w:right w:val="single" w:sz="4" w:space="0" w:color="auto"/>
            </w:tcBorders>
            <w:vAlign w:val="center"/>
          </w:tcPr>
          <w:p w14:paraId="59594714"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5108BEDA"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578EA34F" w14:textId="77777777" w:rsidR="00733A8D" w:rsidRDefault="00733A8D" w:rsidP="00733A8D">
            <w:pPr>
              <w:pStyle w:val="aa"/>
              <w:rPr>
                <w:color w:val="000000"/>
              </w:rPr>
            </w:pPr>
            <w:r>
              <w:rPr>
                <w:color w:val="000000"/>
              </w:rPr>
              <w:t>未检出</w:t>
            </w:r>
          </w:p>
        </w:tc>
        <w:tc>
          <w:tcPr>
            <w:tcW w:w="2410" w:type="dxa"/>
            <w:vAlign w:val="center"/>
          </w:tcPr>
          <w:p w14:paraId="161C000B" w14:textId="7AF6CCF5" w:rsidR="00733A8D" w:rsidRPr="00733A8D" w:rsidRDefault="00733A8D" w:rsidP="00733A8D">
            <w:pPr>
              <w:pStyle w:val="aa"/>
              <w:rPr>
                <w:color w:val="FF0000"/>
              </w:rPr>
            </w:pPr>
            <w:r w:rsidRPr="00733A8D">
              <w:rPr>
                <w:color w:val="FF0000"/>
              </w:rPr>
              <w:t>6.8</w:t>
            </w:r>
          </w:p>
        </w:tc>
      </w:tr>
      <w:tr w:rsidR="00733A8D" w14:paraId="34975A2E" w14:textId="77777777">
        <w:trPr>
          <w:cantSplit/>
          <w:trHeight w:val="397"/>
          <w:jc w:val="center"/>
        </w:trPr>
        <w:tc>
          <w:tcPr>
            <w:tcW w:w="562" w:type="dxa"/>
          </w:tcPr>
          <w:p w14:paraId="19957C7A" w14:textId="77777777" w:rsidR="00733A8D" w:rsidRDefault="00733A8D" w:rsidP="00733A8D">
            <w:pPr>
              <w:pStyle w:val="aa"/>
              <w:numPr>
                <w:ilvl w:val="0"/>
                <w:numId w:val="8"/>
              </w:numPr>
            </w:pPr>
          </w:p>
        </w:tc>
        <w:tc>
          <w:tcPr>
            <w:tcW w:w="1985" w:type="dxa"/>
            <w:vAlign w:val="center"/>
          </w:tcPr>
          <w:p w14:paraId="16D5039A" w14:textId="77777777" w:rsidR="00733A8D" w:rsidRDefault="00733A8D" w:rsidP="00733A8D">
            <w:pPr>
              <w:pStyle w:val="aa"/>
            </w:pPr>
            <w:r>
              <w:t>1</w:t>
            </w:r>
            <w:r>
              <w:t>，</w:t>
            </w:r>
            <w:r>
              <w:t>2</w:t>
            </w:r>
            <w:r>
              <w:t>，</w:t>
            </w:r>
            <w:r>
              <w:t>3-</w:t>
            </w:r>
            <w:r>
              <w:t>三氯丙烷</w:t>
            </w:r>
          </w:p>
        </w:tc>
        <w:tc>
          <w:tcPr>
            <w:tcW w:w="1559" w:type="dxa"/>
            <w:tcBorders>
              <w:top w:val="single" w:sz="4" w:space="0" w:color="auto"/>
              <w:left w:val="single" w:sz="4" w:space="0" w:color="auto"/>
              <w:bottom w:val="single" w:sz="4" w:space="0" w:color="auto"/>
              <w:right w:val="single" w:sz="4" w:space="0" w:color="auto"/>
            </w:tcBorders>
            <w:vAlign w:val="center"/>
          </w:tcPr>
          <w:p w14:paraId="04F7F607"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37A61E2B"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7AE0373A" w14:textId="77777777" w:rsidR="00733A8D" w:rsidRDefault="00733A8D" w:rsidP="00733A8D">
            <w:pPr>
              <w:pStyle w:val="aa"/>
              <w:rPr>
                <w:color w:val="000000"/>
              </w:rPr>
            </w:pPr>
            <w:r>
              <w:rPr>
                <w:color w:val="000000"/>
              </w:rPr>
              <w:t>未检出</w:t>
            </w:r>
          </w:p>
        </w:tc>
        <w:tc>
          <w:tcPr>
            <w:tcW w:w="2410" w:type="dxa"/>
            <w:vAlign w:val="center"/>
          </w:tcPr>
          <w:p w14:paraId="06B3A396" w14:textId="6921CDF6" w:rsidR="00733A8D" w:rsidRPr="00733A8D" w:rsidRDefault="00733A8D" w:rsidP="00733A8D">
            <w:pPr>
              <w:pStyle w:val="aa"/>
              <w:rPr>
                <w:color w:val="FF0000"/>
              </w:rPr>
            </w:pPr>
            <w:r w:rsidRPr="00733A8D">
              <w:rPr>
                <w:color w:val="FF0000"/>
              </w:rPr>
              <w:t>0.5</w:t>
            </w:r>
          </w:p>
        </w:tc>
      </w:tr>
      <w:tr w:rsidR="00733A8D" w14:paraId="5DB2B8D2" w14:textId="77777777">
        <w:trPr>
          <w:cantSplit/>
          <w:trHeight w:val="397"/>
          <w:jc w:val="center"/>
        </w:trPr>
        <w:tc>
          <w:tcPr>
            <w:tcW w:w="562" w:type="dxa"/>
          </w:tcPr>
          <w:p w14:paraId="2D6B6264" w14:textId="77777777" w:rsidR="00733A8D" w:rsidRDefault="00733A8D" w:rsidP="00733A8D">
            <w:pPr>
              <w:pStyle w:val="aa"/>
              <w:numPr>
                <w:ilvl w:val="0"/>
                <w:numId w:val="8"/>
              </w:numPr>
            </w:pPr>
          </w:p>
        </w:tc>
        <w:tc>
          <w:tcPr>
            <w:tcW w:w="1985" w:type="dxa"/>
            <w:vAlign w:val="center"/>
          </w:tcPr>
          <w:p w14:paraId="0BAA5B57" w14:textId="77777777" w:rsidR="00733A8D" w:rsidRDefault="00733A8D" w:rsidP="00733A8D">
            <w:pPr>
              <w:pStyle w:val="aa"/>
            </w:pPr>
            <w:r>
              <w:t>1</w:t>
            </w:r>
            <w:r>
              <w:rPr>
                <w:rFonts w:ascii="宋体" w:hAnsi="宋体"/>
              </w:rPr>
              <w:t>，</w:t>
            </w:r>
            <w:r>
              <w:t>4-</w:t>
            </w:r>
            <w:r>
              <w:rPr>
                <w:rFonts w:ascii="宋体" w:hAnsi="宋体"/>
              </w:rPr>
              <w:t>二氯苯</w:t>
            </w:r>
          </w:p>
        </w:tc>
        <w:tc>
          <w:tcPr>
            <w:tcW w:w="1559" w:type="dxa"/>
            <w:tcBorders>
              <w:top w:val="single" w:sz="4" w:space="0" w:color="auto"/>
              <w:left w:val="single" w:sz="4" w:space="0" w:color="auto"/>
              <w:bottom w:val="single" w:sz="4" w:space="0" w:color="auto"/>
              <w:right w:val="single" w:sz="4" w:space="0" w:color="auto"/>
            </w:tcBorders>
            <w:vAlign w:val="center"/>
          </w:tcPr>
          <w:p w14:paraId="217ED73F"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1A146009"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1AB4EC13" w14:textId="77777777" w:rsidR="00733A8D" w:rsidRDefault="00733A8D" w:rsidP="00733A8D">
            <w:pPr>
              <w:pStyle w:val="aa"/>
              <w:rPr>
                <w:color w:val="000000"/>
              </w:rPr>
            </w:pPr>
            <w:r>
              <w:rPr>
                <w:color w:val="000000"/>
              </w:rPr>
              <w:t>未检出</w:t>
            </w:r>
          </w:p>
        </w:tc>
        <w:tc>
          <w:tcPr>
            <w:tcW w:w="2410" w:type="dxa"/>
            <w:vAlign w:val="center"/>
          </w:tcPr>
          <w:p w14:paraId="29D14E39" w14:textId="50E7330E" w:rsidR="00733A8D" w:rsidRPr="00733A8D" w:rsidRDefault="00733A8D" w:rsidP="00733A8D">
            <w:pPr>
              <w:pStyle w:val="aa"/>
              <w:rPr>
                <w:color w:val="FF0000"/>
              </w:rPr>
            </w:pPr>
            <w:r w:rsidRPr="00733A8D">
              <w:rPr>
                <w:color w:val="FF0000"/>
              </w:rPr>
              <w:t>20</w:t>
            </w:r>
          </w:p>
        </w:tc>
      </w:tr>
      <w:tr w:rsidR="00733A8D" w14:paraId="24C225A9" w14:textId="77777777">
        <w:trPr>
          <w:cantSplit/>
          <w:trHeight w:val="397"/>
          <w:jc w:val="center"/>
        </w:trPr>
        <w:tc>
          <w:tcPr>
            <w:tcW w:w="562" w:type="dxa"/>
          </w:tcPr>
          <w:p w14:paraId="2C694182" w14:textId="77777777" w:rsidR="00733A8D" w:rsidRDefault="00733A8D" w:rsidP="00733A8D">
            <w:pPr>
              <w:pStyle w:val="aa"/>
              <w:numPr>
                <w:ilvl w:val="0"/>
                <w:numId w:val="8"/>
              </w:numPr>
            </w:pPr>
          </w:p>
        </w:tc>
        <w:tc>
          <w:tcPr>
            <w:tcW w:w="1985" w:type="dxa"/>
            <w:vAlign w:val="center"/>
          </w:tcPr>
          <w:p w14:paraId="5D02DD4F" w14:textId="77777777" w:rsidR="00733A8D" w:rsidRDefault="00733A8D" w:rsidP="00733A8D">
            <w:pPr>
              <w:pStyle w:val="aa"/>
            </w:pPr>
            <w:r>
              <w:t>1</w:t>
            </w:r>
            <w:r>
              <w:rPr>
                <w:rFonts w:ascii="宋体" w:hAnsi="宋体"/>
              </w:rPr>
              <w:t>，</w:t>
            </w:r>
            <w:r>
              <w:t>2-</w:t>
            </w:r>
            <w:r>
              <w:rPr>
                <w:rFonts w:ascii="宋体" w:hAnsi="宋体"/>
              </w:rPr>
              <w:t>二氯苯</w:t>
            </w:r>
          </w:p>
        </w:tc>
        <w:tc>
          <w:tcPr>
            <w:tcW w:w="1559" w:type="dxa"/>
            <w:tcBorders>
              <w:top w:val="single" w:sz="4" w:space="0" w:color="auto"/>
              <w:left w:val="single" w:sz="4" w:space="0" w:color="auto"/>
              <w:bottom w:val="single" w:sz="4" w:space="0" w:color="auto"/>
              <w:right w:val="single" w:sz="4" w:space="0" w:color="auto"/>
            </w:tcBorders>
            <w:vAlign w:val="center"/>
          </w:tcPr>
          <w:p w14:paraId="51F10BAC" w14:textId="77777777" w:rsidR="00733A8D" w:rsidRDefault="00733A8D" w:rsidP="00733A8D">
            <w:pPr>
              <w:pStyle w:val="aa"/>
              <w:rPr>
                <w:color w:val="000000"/>
              </w:rPr>
            </w:pPr>
            <w:r>
              <w:rPr>
                <w:color w:val="000000"/>
              </w:rPr>
              <w:t>未检出</w:t>
            </w:r>
          </w:p>
        </w:tc>
        <w:tc>
          <w:tcPr>
            <w:tcW w:w="1418" w:type="dxa"/>
            <w:tcBorders>
              <w:top w:val="single" w:sz="4" w:space="0" w:color="auto"/>
              <w:left w:val="single" w:sz="4" w:space="0" w:color="auto"/>
              <w:bottom w:val="single" w:sz="4" w:space="0" w:color="auto"/>
              <w:right w:val="single" w:sz="4" w:space="0" w:color="auto"/>
            </w:tcBorders>
            <w:vAlign w:val="center"/>
          </w:tcPr>
          <w:p w14:paraId="27599582" w14:textId="77777777" w:rsidR="00733A8D" w:rsidRDefault="00733A8D" w:rsidP="00733A8D">
            <w:pPr>
              <w:pStyle w:val="aa"/>
              <w:rPr>
                <w:color w:val="000000"/>
              </w:rPr>
            </w:pPr>
            <w:r>
              <w:rPr>
                <w:color w:val="000000"/>
              </w:rPr>
              <w:t>未检出</w:t>
            </w:r>
          </w:p>
        </w:tc>
        <w:tc>
          <w:tcPr>
            <w:tcW w:w="1417" w:type="dxa"/>
            <w:tcBorders>
              <w:top w:val="single" w:sz="4" w:space="0" w:color="auto"/>
              <w:left w:val="single" w:sz="4" w:space="0" w:color="auto"/>
              <w:bottom w:val="single" w:sz="4" w:space="0" w:color="auto"/>
              <w:right w:val="single" w:sz="4" w:space="0" w:color="auto"/>
            </w:tcBorders>
            <w:vAlign w:val="center"/>
          </w:tcPr>
          <w:p w14:paraId="32C975C4" w14:textId="77777777" w:rsidR="00733A8D" w:rsidRDefault="00733A8D" w:rsidP="00733A8D">
            <w:pPr>
              <w:pStyle w:val="aa"/>
              <w:rPr>
                <w:color w:val="000000"/>
              </w:rPr>
            </w:pPr>
            <w:r>
              <w:rPr>
                <w:color w:val="000000"/>
              </w:rPr>
              <w:t>未检出</w:t>
            </w:r>
          </w:p>
        </w:tc>
        <w:tc>
          <w:tcPr>
            <w:tcW w:w="2410" w:type="dxa"/>
            <w:vAlign w:val="center"/>
          </w:tcPr>
          <w:p w14:paraId="75B7BC5D" w14:textId="509E6E03" w:rsidR="00733A8D" w:rsidRPr="00733A8D" w:rsidRDefault="00733A8D" w:rsidP="00733A8D">
            <w:pPr>
              <w:pStyle w:val="aa"/>
              <w:rPr>
                <w:color w:val="FF0000"/>
              </w:rPr>
            </w:pPr>
            <w:r w:rsidRPr="00733A8D">
              <w:rPr>
                <w:color w:val="FF0000"/>
              </w:rPr>
              <w:t>560</w:t>
            </w:r>
          </w:p>
        </w:tc>
      </w:tr>
    </w:tbl>
    <w:p w14:paraId="13DBD3A0" w14:textId="7B2F9B46" w:rsidR="00E579B9" w:rsidRDefault="006A1398">
      <w:pPr>
        <w:sectPr w:rsidR="00E579B9">
          <w:headerReference w:type="even" r:id="rId44"/>
          <w:headerReference w:type="default" r:id="rId45"/>
          <w:footerReference w:type="even" r:id="rId46"/>
          <w:footerReference w:type="default" r:id="rId47"/>
          <w:headerReference w:type="first" r:id="rId48"/>
          <w:footerReference w:type="first" r:id="rId49"/>
          <w:pgSz w:w="11906" w:h="16838"/>
          <w:pgMar w:top="1440" w:right="1800" w:bottom="1440" w:left="1800" w:header="851" w:footer="992" w:gutter="0"/>
          <w:cols w:space="425"/>
          <w:docGrid w:type="lines" w:linePitch="312"/>
        </w:sectPr>
      </w:pPr>
      <w:r>
        <w:rPr>
          <w:rFonts w:hint="eastAsia"/>
        </w:rPr>
        <w:t>由上表</w:t>
      </w:r>
      <w:r>
        <w:t>可知</w:t>
      </w:r>
      <w:r>
        <w:rPr>
          <w:rFonts w:hint="eastAsia"/>
        </w:rPr>
        <w:t>各项检测因子均</w:t>
      </w:r>
      <w:r>
        <w:t>能满足《土壤环境质量</w:t>
      </w:r>
      <w:r>
        <w:t>-</w:t>
      </w:r>
      <w:r>
        <w:t>建设用地土壤污染风险管控标准（试行）》（</w:t>
      </w:r>
      <w:r>
        <w:t>GB36600-2018</w:t>
      </w:r>
      <w:r>
        <w:t>）</w:t>
      </w:r>
      <w:r>
        <w:rPr>
          <w:rFonts w:hint="eastAsia"/>
        </w:rPr>
        <w:t>中第二类用地筛选值的</w:t>
      </w:r>
      <w:r>
        <w:t>要求，因此</w:t>
      </w:r>
      <w:r>
        <w:rPr>
          <w:rFonts w:hint="eastAsia"/>
        </w:rPr>
        <w:t>，矿区</w:t>
      </w:r>
      <w:r>
        <w:t>内土壤未受到污染影响</w:t>
      </w:r>
      <w:r>
        <w:rPr>
          <w:rFonts w:hint="eastAsia"/>
        </w:rPr>
        <w:t>，</w:t>
      </w:r>
      <w:r>
        <w:t>土壤环境现状总体良好。</w:t>
      </w:r>
    </w:p>
    <w:p w14:paraId="389B6895" w14:textId="77777777" w:rsidR="00E579B9" w:rsidRDefault="006A1398">
      <w:pPr>
        <w:pStyle w:val="1"/>
      </w:pPr>
      <w:bookmarkStart w:id="210" w:name="_Toc531939570"/>
      <w:bookmarkStart w:id="211" w:name="_Toc531939359"/>
      <w:bookmarkStart w:id="212" w:name="_Toc33021805"/>
      <w:bookmarkStart w:id="213" w:name="_Toc531939589"/>
      <w:bookmarkStart w:id="214" w:name="_Toc181089240"/>
      <w:bookmarkStart w:id="215" w:name="_Toc180680499"/>
      <w:bookmarkStart w:id="216" w:name="_Toc181088834"/>
      <w:bookmarkStart w:id="217" w:name="_Toc187038739"/>
      <w:bookmarkStart w:id="218" w:name="_Toc304130811"/>
      <w:bookmarkStart w:id="219" w:name="_Toc531939378"/>
      <w:bookmarkEnd w:id="170"/>
      <w:bookmarkEnd w:id="208"/>
      <w:bookmarkEnd w:id="209"/>
      <w:r>
        <w:rPr>
          <w:rFonts w:hint="eastAsia"/>
        </w:rPr>
        <w:lastRenderedPageBreak/>
        <w:t>第五章环境影响预测与评价</w:t>
      </w:r>
      <w:bookmarkEnd w:id="210"/>
      <w:bookmarkEnd w:id="211"/>
      <w:bookmarkEnd w:id="212"/>
    </w:p>
    <w:p w14:paraId="3D07FB10" w14:textId="77777777" w:rsidR="00E579B9" w:rsidRDefault="006A1398">
      <w:pPr>
        <w:pStyle w:val="2"/>
        <w:ind w:firstLine="560"/>
      </w:pPr>
      <w:bookmarkStart w:id="220" w:name="_Toc7454"/>
      <w:bookmarkStart w:id="221" w:name="_Toc531939571"/>
      <w:bookmarkStart w:id="222" w:name="_Toc531939360"/>
      <w:bookmarkStart w:id="223" w:name="_Toc33021806"/>
      <w:r>
        <w:rPr>
          <w:rFonts w:hint="eastAsia"/>
        </w:rPr>
        <w:t>5.1</w:t>
      </w:r>
      <w:r>
        <w:t>建设期环境影响分析</w:t>
      </w:r>
      <w:bookmarkEnd w:id="220"/>
      <w:bookmarkEnd w:id="221"/>
      <w:bookmarkEnd w:id="222"/>
      <w:bookmarkEnd w:id="223"/>
    </w:p>
    <w:p w14:paraId="763773F8" w14:textId="77777777" w:rsidR="00E579B9" w:rsidRDefault="006A1398">
      <w:r>
        <w:t>本项目基建时间约</w:t>
      </w:r>
      <w:r>
        <w:t>6</w:t>
      </w:r>
      <w:r>
        <w:t>个月，主要进行采区表土剥离</w:t>
      </w:r>
      <w:r>
        <w:rPr>
          <w:rFonts w:hint="eastAsia"/>
        </w:rPr>
        <w:t>、</w:t>
      </w:r>
      <w:r>
        <w:t>矿区道路</w:t>
      </w:r>
      <w:r>
        <w:rPr>
          <w:rFonts w:hint="eastAsia"/>
        </w:rPr>
        <w:t>等工程</w:t>
      </w:r>
      <w:r>
        <w:t>的建设，建设期</w:t>
      </w:r>
      <w:r>
        <w:rPr>
          <w:rFonts w:hint="eastAsia"/>
        </w:rPr>
        <w:t>主要的</w:t>
      </w:r>
      <w:r>
        <w:t>环境影响</w:t>
      </w:r>
      <w:r>
        <w:rPr>
          <w:rFonts w:hint="eastAsia"/>
        </w:rPr>
        <w:t>为运输车辆引起的扬尘；施工人员产生的生活污水；施工机械和运输车辆的噪声；施工期产生的固体废物；施工矿区建设对生态环境的影响</w:t>
      </w:r>
      <w:r>
        <w:t>。</w:t>
      </w:r>
    </w:p>
    <w:p w14:paraId="4868E528" w14:textId="77777777" w:rsidR="00E579B9" w:rsidRDefault="006A1398">
      <w:pPr>
        <w:pStyle w:val="3"/>
        <w:ind w:firstLine="560"/>
      </w:pPr>
      <w:bookmarkStart w:id="224" w:name="_Toc531939361"/>
      <w:bookmarkStart w:id="225" w:name="_Toc531939572"/>
      <w:bookmarkStart w:id="226" w:name="_Toc30924"/>
      <w:r>
        <w:t>5.1.1</w:t>
      </w:r>
      <w:r>
        <w:t>建设</w:t>
      </w:r>
      <w:proofErr w:type="gramStart"/>
      <w:r>
        <w:t>期环境</w:t>
      </w:r>
      <w:proofErr w:type="gramEnd"/>
      <w:r>
        <w:t>空气影响分析</w:t>
      </w:r>
      <w:bookmarkEnd w:id="224"/>
      <w:bookmarkEnd w:id="225"/>
      <w:bookmarkEnd w:id="226"/>
    </w:p>
    <w:p w14:paraId="7B2C174E" w14:textId="77777777" w:rsidR="00E579B9" w:rsidRDefault="006A1398">
      <w:pPr>
        <w:pStyle w:val="226"/>
      </w:pPr>
      <w:bookmarkStart w:id="227" w:name="_Toc30850"/>
      <w:r>
        <w:rPr>
          <w:rFonts w:hint="eastAsia"/>
        </w:rPr>
        <w:t>建设期大气污染源主要为采区剥离地表、运矿道路裸露地表的风蚀扬尘，建筑材料运输、装卸、堆放中的扬尘，土方运输车辆行驶产生的扬尘等，污染物为无组织排放。</w:t>
      </w:r>
    </w:p>
    <w:p w14:paraId="6586FB21" w14:textId="77777777" w:rsidR="00E579B9" w:rsidRDefault="006A1398">
      <w:pPr>
        <w:pStyle w:val="226"/>
      </w:pPr>
      <w:r>
        <w:rPr>
          <w:rFonts w:hint="eastAsia"/>
        </w:rPr>
        <w:t>施工扬尘的污染程度与风速、粉尘颗粒、粉尘含水量和汽车行驶速度等因素有关，汽车行驶速度和风速增大，产生的起尘量呈正比或级数增加，粉尘污染范围相应扩大。施工扬尘会造成局部地段降尘量增多，对施工现场周围的大气环境会产生一定的影响。</w:t>
      </w:r>
    </w:p>
    <w:p w14:paraId="065CFB22" w14:textId="77777777" w:rsidR="00E579B9" w:rsidRDefault="006A1398">
      <w:pPr>
        <w:pStyle w:val="226"/>
      </w:pPr>
      <w:r>
        <w:rPr>
          <w:rFonts w:hint="eastAsia"/>
        </w:rPr>
        <w:t>根据现场调查情况，项目露采区周边最近的居民点为一采区东侧</w:t>
      </w:r>
      <w:r>
        <w:rPr>
          <w:rFonts w:hint="eastAsia"/>
        </w:rPr>
        <w:t>457m</w:t>
      </w:r>
      <w:r>
        <w:rPr>
          <w:rFonts w:hint="eastAsia"/>
        </w:rPr>
        <w:t>处的傅</w:t>
      </w:r>
      <w:proofErr w:type="gramStart"/>
      <w:r>
        <w:t>埂</w:t>
      </w:r>
      <w:proofErr w:type="gramEnd"/>
      <w:r>
        <w:rPr>
          <w:rFonts w:hint="eastAsia"/>
        </w:rPr>
        <w:t>，距离较远，预计施工扬尘对项目周边敏感点的影响较小；</w:t>
      </w:r>
      <w:r>
        <w:t>项目</w:t>
      </w:r>
      <w:r>
        <w:rPr>
          <w:rFonts w:hint="eastAsia"/>
        </w:rPr>
        <w:t>运输道路沿线有居民分布，建设</w:t>
      </w:r>
      <w:proofErr w:type="gramStart"/>
      <w:r>
        <w:t>期车辆</w:t>
      </w:r>
      <w:proofErr w:type="gramEnd"/>
      <w:r>
        <w:t>运输扬尘对沿线居民</w:t>
      </w:r>
      <w:r>
        <w:rPr>
          <w:rFonts w:hint="eastAsia"/>
        </w:rPr>
        <w:t>会</w:t>
      </w:r>
      <w:r>
        <w:t>造成</w:t>
      </w:r>
      <w:r>
        <w:rPr>
          <w:rFonts w:hint="eastAsia"/>
        </w:rPr>
        <w:t>一定的</w:t>
      </w:r>
      <w:r>
        <w:t>影响</w:t>
      </w:r>
      <w:r>
        <w:rPr>
          <w:rFonts w:hint="eastAsia"/>
        </w:rPr>
        <w:t>。</w:t>
      </w:r>
      <w:r>
        <w:t>为减轻建设期扬尘对环境的影响，评价要求建设单位采取以下措施：</w:t>
      </w:r>
    </w:p>
    <w:p w14:paraId="381AE82C" w14:textId="77777777" w:rsidR="00E579B9" w:rsidRDefault="006A1398">
      <w:pPr>
        <w:pStyle w:val="226"/>
      </w:pPr>
      <w:r>
        <w:rPr>
          <w:rFonts w:hint="eastAsia"/>
        </w:rPr>
        <w:t>①所有施工现场必须做到“八个百分百”：即工地周边</w:t>
      </w:r>
      <w:r>
        <w:t>100%</w:t>
      </w:r>
      <w:r>
        <w:rPr>
          <w:rFonts w:hint="eastAsia"/>
        </w:rPr>
        <w:t>围挡、各类物料堆放</w:t>
      </w:r>
      <w:r>
        <w:t>100%</w:t>
      </w:r>
      <w:r>
        <w:rPr>
          <w:rFonts w:hint="eastAsia"/>
        </w:rPr>
        <w:t>覆盖、土方开挖及拆迁作业</w:t>
      </w:r>
      <w:r>
        <w:t>100%</w:t>
      </w:r>
      <w:r>
        <w:rPr>
          <w:rFonts w:hint="eastAsia"/>
        </w:rPr>
        <w:t>湿法作业、出入车辆</w:t>
      </w:r>
      <w:r>
        <w:t>100%</w:t>
      </w:r>
      <w:r>
        <w:rPr>
          <w:rFonts w:hint="eastAsia"/>
        </w:rPr>
        <w:t>清洗、施工现场路面</w:t>
      </w:r>
      <w:r>
        <w:t>100%</w:t>
      </w:r>
      <w:r>
        <w:rPr>
          <w:rFonts w:hint="eastAsia"/>
        </w:rPr>
        <w:t>硬化、渣土车辆</w:t>
      </w:r>
      <w:r>
        <w:t>100%</w:t>
      </w:r>
      <w:r>
        <w:rPr>
          <w:rFonts w:hint="eastAsia"/>
        </w:rPr>
        <w:t>密闭运输、建筑面积</w:t>
      </w:r>
      <w:r>
        <w:t>1</w:t>
      </w:r>
      <w:r>
        <w:rPr>
          <w:rFonts w:hint="eastAsia"/>
        </w:rPr>
        <w:t>万平方米以上及涉土石方作业的施工工地</w:t>
      </w:r>
      <w:r>
        <w:t>100%</w:t>
      </w:r>
      <w:r>
        <w:rPr>
          <w:rFonts w:hint="eastAsia"/>
        </w:rPr>
        <w:t>安装在线视频监控、工地内非道路移动机械使用油品及车辆</w:t>
      </w:r>
      <w:r>
        <w:t>100%</w:t>
      </w:r>
      <w:r>
        <w:rPr>
          <w:rFonts w:hint="eastAsia"/>
        </w:rPr>
        <w:t>达标。具体措施为：本项目在破碎车间施工场地四周设置不低于</w:t>
      </w:r>
      <w:r>
        <w:t>2m</w:t>
      </w:r>
      <w:r>
        <w:rPr>
          <w:rFonts w:hint="eastAsia"/>
        </w:rPr>
        <w:t>高的围挡，采区露天采场在作业区域四周设置移动式围挡；易产生扬尘的施工材料加盖</w:t>
      </w:r>
      <w:proofErr w:type="gramStart"/>
      <w:r>
        <w:rPr>
          <w:rFonts w:hint="eastAsia"/>
        </w:rPr>
        <w:t>抑</w:t>
      </w:r>
      <w:proofErr w:type="gramEnd"/>
      <w:r>
        <w:rPr>
          <w:rFonts w:hint="eastAsia"/>
        </w:rPr>
        <w:t>尘网；表土及时运至表土堆场，并用</w:t>
      </w:r>
      <w:proofErr w:type="gramStart"/>
      <w:r>
        <w:rPr>
          <w:rFonts w:hint="eastAsia"/>
        </w:rPr>
        <w:t>抑</w:t>
      </w:r>
      <w:proofErr w:type="gramEnd"/>
      <w:r>
        <w:rPr>
          <w:rFonts w:hint="eastAsia"/>
        </w:rPr>
        <w:t>尘网全覆盖；本项目配</w:t>
      </w:r>
      <w:r>
        <w:rPr>
          <w:rFonts w:hint="eastAsia"/>
        </w:rPr>
        <w:lastRenderedPageBreak/>
        <w:t>备雾炮车在采场基建剥离前及剥离过程中对工作面进行喷雾洒水保证</w:t>
      </w:r>
      <w:r>
        <w:t>100%</w:t>
      </w:r>
      <w:r>
        <w:rPr>
          <w:rFonts w:hint="eastAsia"/>
        </w:rPr>
        <w:t>湿法作业；采区出口处及破碎站均设置车辆冲洗装置对进出车辆进行清洗，冲洗废水沉淀后回用不外排；场外运输道路全部硬化</w:t>
      </w:r>
      <w:r>
        <w:t>(</w:t>
      </w:r>
      <w:r>
        <w:rPr>
          <w:rFonts w:hint="eastAsia"/>
        </w:rPr>
        <w:t>沥青路面</w:t>
      </w:r>
      <w:r>
        <w:t>)</w:t>
      </w:r>
      <w:r>
        <w:rPr>
          <w:rFonts w:hint="eastAsia"/>
        </w:rPr>
        <w:t>，配备辆洒水车（定期对运输道路进行洒水降尘；运输物料的车辆不得超载，加盖帆布篷；采区露天采场及破碎场地均在建设</w:t>
      </w:r>
      <w:proofErr w:type="gramStart"/>
      <w:r>
        <w:rPr>
          <w:rFonts w:hint="eastAsia"/>
        </w:rPr>
        <w:t>期施工</w:t>
      </w:r>
      <w:proofErr w:type="gramEnd"/>
      <w:r>
        <w:rPr>
          <w:rFonts w:hint="eastAsia"/>
        </w:rPr>
        <w:t>场地安装在线视频监控（</w:t>
      </w:r>
      <w:r>
        <w:t>4</w:t>
      </w:r>
      <w:r>
        <w:rPr>
          <w:rFonts w:hint="eastAsia"/>
        </w:rPr>
        <w:t>套）；本项目选用先进的矿山机械，企业选择正规企业供油，保证油品及车辆尾气达标排放。符合“八个百分百”要求。</w:t>
      </w:r>
    </w:p>
    <w:p w14:paraId="7B49A8E3" w14:textId="77777777" w:rsidR="00E579B9" w:rsidRDefault="006A1398">
      <w:pPr>
        <w:pStyle w:val="226"/>
      </w:pPr>
      <w:r>
        <w:rPr>
          <w:rFonts w:hint="eastAsia"/>
        </w:rPr>
        <w:t>②尽量缩短施工期，缩小施工影响范围，及时恢复场地植被，干燥、大风天气施工必须采取</w:t>
      </w:r>
      <w:proofErr w:type="gramStart"/>
      <w:r>
        <w:rPr>
          <w:rFonts w:hint="eastAsia"/>
        </w:rPr>
        <w:t>洒水抑尘措施</w:t>
      </w:r>
      <w:proofErr w:type="gramEnd"/>
      <w:r>
        <w:rPr>
          <w:rFonts w:hint="eastAsia"/>
        </w:rPr>
        <w:t>。</w:t>
      </w:r>
    </w:p>
    <w:p w14:paraId="53E1028D" w14:textId="77777777" w:rsidR="00E579B9" w:rsidRDefault="006A1398">
      <w:pPr>
        <w:pStyle w:val="226"/>
      </w:pPr>
      <w:r>
        <w:rPr>
          <w:rFonts w:hint="eastAsia"/>
        </w:rPr>
        <w:t>③在离居民点较近的运矿道路等施工现场应采用遮挡措施，围挡高度应不低于</w:t>
      </w:r>
      <w:r>
        <w:t>2.5m</w:t>
      </w:r>
      <w:r>
        <w:rPr>
          <w:rFonts w:hint="eastAsia"/>
        </w:rPr>
        <w:t>；通过采取洒水、覆盖等措施，使得在各工程土方作业时，达到作业区目测扬尘高度小于</w:t>
      </w:r>
      <w:r>
        <w:t>2m</w:t>
      </w:r>
      <w:r>
        <w:rPr>
          <w:rFonts w:hint="eastAsia"/>
        </w:rPr>
        <w:t>。</w:t>
      </w:r>
    </w:p>
    <w:p w14:paraId="7A2BBF40" w14:textId="77777777" w:rsidR="00E579B9" w:rsidRDefault="006A1398">
      <w:pPr>
        <w:pStyle w:val="226"/>
      </w:pPr>
      <w:r>
        <w:rPr>
          <w:rFonts w:hint="eastAsia"/>
        </w:rPr>
        <w:t>④矿区运输道路全部硬化，同时设置洒水车对运输道路进行定期清扫、洒水。增设洗车平台，对进出采区、加工区车辆进行清洗。同时要求文明装卸物料，运输物料的车辆应限速，不得超载，并采取遮盖、密闭措施，减少沿途抛洒。</w:t>
      </w:r>
    </w:p>
    <w:p w14:paraId="7B54E6E5" w14:textId="77777777" w:rsidR="00E579B9" w:rsidRDefault="006A1398">
      <w:pPr>
        <w:pStyle w:val="226"/>
      </w:pPr>
      <w:r>
        <w:t>采取以上措施后，</w:t>
      </w:r>
      <w:r>
        <w:rPr>
          <w:rFonts w:hint="eastAsia"/>
        </w:rPr>
        <w:t>项目</w:t>
      </w:r>
      <w:r>
        <w:rPr>
          <w:rFonts w:ascii="宋体" w:hAnsi="Calibri" w:hint="eastAsia"/>
          <w:kern w:val="0"/>
        </w:rPr>
        <w:t>建设期扬尘对周围环境空气影响可得到有效控制，</w:t>
      </w:r>
      <w:r>
        <w:t>对周边环境空气的影响</w:t>
      </w:r>
      <w:r>
        <w:rPr>
          <w:rFonts w:hint="eastAsia"/>
        </w:rPr>
        <w:t>将大大降低</w:t>
      </w:r>
      <w:r>
        <w:t>。随着施工期的结束，建设期扬尘影响也会随之消失。</w:t>
      </w:r>
    </w:p>
    <w:p w14:paraId="032AC7B8" w14:textId="77777777" w:rsidR="00E579B9" w:rsidRDefault="006A1398">
      <w:pPr>
        <w:pStyle w:val="3"/>
        <w:ind w:firstLine="560"/>
      </w:pPr>
      <w:bookmarkStart w:id="228" w:name="_Toc531939573"/>
      <w:bookmarkStart w:id="229" w:name="_Toc531939362"/>
      <w:r>
        <w:rPr>
          <w:rFonts w:hint="eastAsia"/>
        </w:rPr>
        <w:t>5.1</w:t>
      </w:r>
      <w:r>
        <w:t>.2</w:t>
      </w:r>
      <w:r>
        <w:t>建设期水环境影响分析</w:t>
      </w:r>
      <w:bookmarkEnd w:id="227"/>
      <w:bookmarkEnd w:id="228"/>
      <w:bookmarkEnd w:id="229"/>
    </w:p>
    <w:p w14:paraId="1B3CA04F" w14:textId="77777777" w:rsidR="00E579B9" w:rsidRDefault="006A1398">
      <w:pPr>
        <w:pStyle w:val="226"/>
      </w:pPr>
      <w:bookmarkStart w:id="230" w:name="_Toc6667"/>
      <w:r>
        <w:rPr>
          <w:rFonts w:hint="eastAsia"/>
        </w:rPr>
        <w:t>建设期主要为水污染源主要为施工废水以及施工队伍的生活污水等。</w:t>
      </w:r>
    </w:p>
    <w:p w14:paraId="7FDEAE98" w14:textId="77777777" w:rsidR="00E579B9" w:rsidRDefault="006A1398">
      <w:pPr>
        <w:pStyle w:val="226"/>
      </w:pPr>
      <w:r>
        <w:t>建设</w:t>
      </w:r>
      <w:proofErr w:type="gramStart"/>
      <w:r>
        <w:t>期</w:t>
      </w:r>
      <w:r>
        <w:rPr>
          <w:rFonts w:hint="eastAsia"/>
        </w:rPr>
        <w:t>施工</w:t>
      </w:r>
      <w:proofErr w:type="gramEnd"/>
      <w:r>
        <w:t>废水主要</w:t>
      </w:r>
      <w:r>
        <w:rPr>
          <w:rFonts w:hint="eastAsia"/>
        </w:rPr>
        <w:t>为施工设备清洗以及车辆冲洗废水</w:t>
      </w:r>
      <w:r>
        <w:t>，主要污染物为</w:t>
      </w:r>
      <w:r>
        <w:t>SS</w:t>
      </w:r>
      <w:r>
        <w:rPr>
          <w:rFonts w:hint="eastAsia"/>
        </w:rPr>
        <w:t>。评价建议在矿区出入口处设一座洗车台，用于施工设备清洗及车辆冲洗，并设置容积为</w:t>
      </w:r>
      <w:r>
        <w:t>5m</w:t>
      </w:r>
      <w:r>
        <w:rPr>
          <w:vertAlign w:val="superscript"/>
        </w:rPr>
        <w:t>3</w:t>
      </w:r>
      <w:r>
        <w:rPr>
          <w:rFonts w:hint="eastAsia"/>
        </w:rPr>
        <w:t>沉淀池，清洗废水经收集沉淀后重复利用或洒水抑尘，不外排。</w:t>
      </w:r>
    </w:p>
    <w:p w14:paraId="1CDD0165" w14:textId="77777777" w:rsidR="00E579B9" w:rsidRDefault="006A1398">
      <w:pPr>
        <w:rPr>
          <w:rFonts w:ascii="宋体" w:hAnsi="宋体"/>
          <w:szCs w:val="24"/>
        </w:rPr>
      </w:pPr>
      <w:r>
        <w:rPr>
          <w:rFonts w:ascii="宋体" w:hAnsi="宋体" w:hint="eastAsia"/>
          <w:szCs w:val="24"/>
        </w:rPr>
        <w:t>本项目建设期预计进场工人约</w:t>
      </w:r>
      <w:r>
        <w:rPr>
          <w:szCs w:val="24"/>
        </w:rPr>
        <w:t>20</w:t>
      </w:r>
      <w:r>
        <w:rPr>
          <w:rFonts w:ascii="宋体" w:hAnsi="宋体" w:hint="eastAsia"/>
          <w:spacing w:val="-20"/>
          <w:szCs w:val="24"/>
        </w:rPr>
        <w:t>人，建</w:t>
      </w:r>
      <w:r>
        <w:rPr>
          <w:rFonts w:ascii="宋体" w:hAnsi="宋体"/>
          <w:spacing w:val="2"/>
          <w:szCs w:val="24"/>
        </w:rPr>
        <w:t>设期日排放污水量</w:t>
      </w:r>
      <w:r>
        <w:rPr>
          <w:szCs w:val="24"/>
        </w:rPr>
        <w:t>0.8m</w:t>
      </w:r>
      <w:r>
        <w:rPr>
          <w:position w:val="8"/>
          <w:szCs w:val="24"/>
          <w:vertAlign w:val="superscript"/>
        </w:rPr>
        <w:t>3</w:t>
      </w:r>
      <w:r>
        <w:rPr>
          <w:szCs w:val="24"/>
        </w:rPr>
        <w:t>/d</w:t>
      </w:r>
      <w:r>
        <w:rPr>
          <w:rFonts w:ascii="宋体" w:hAnsi="宋体"/>
          <w:szCs w:val="24"/>
        </w:rPr>
        <w:t>，粪污水由周围村民拉走用于肥田。建设期水污染源主要为施工人员的洗漱废水，废水量较小，主要污染物为</w:t>
      </w:r>
      <w:r>
        <w:rPr>
          <w:szCs w:val="24"/>
        </w:rPr>
        <w:t>COD</w:t>
      </w:r>
      <w:r>
        <w:rPr>
          <w:rFonts w:ascii="宋体" w:hAnsi="宋体"/>
          <w:szCs w:val="24"/>
        </w:rPr>
        <w:t>和</w:t>
      </w:r>
      <w:r>
        <w:rPr>
          <w:szCs w:val="24"/>
        </w:rPr>
        <w:t>NH</w:t>
      </w:r>
      <w:r>
        <w:rPr>
          <w:szCs w:val="24"/>
          <w:vertAlign w:val="subscript"/>
        </w:rPr>
        <w:t>3</w:t>
      </w:r>
      <w:r>
        <w:rPr>
          <w:szCs w:val="24"/>
        </w:rPr>
        <w:t>-N</w:t>
      </w:r>
      <w:r>
        <w:rPr>
          <w:rFonts w:ascii="宋体" w:hAnsi="宋体"/>
          <w:szCs w:val="24"/>
        </w:rPr>
        <w:t>等，经收集池收集后用于洒水降尘，不外排。</w:t>
      </w:r>
    </w:p>
    <w:p w14:paraId="658B430D" w14:textId="77777777" w:rsidR="00E579B9" w:rsidRDefault="006A1398">
      <w:pPr>
        <w:pStyle w:val="226"/>
      </w:pPr>
      <w:r>
        <w:rPr>
          <w:rFonts w:hint="eastAsia"/>
        </w:rPr>
        <w:lastRenderedPageBreak/>
        <w:t>通过上述措施，建设期废水进行综合利用，不进入地表水系，对周边水环境的影响较小。</w:t>
      </w:r>
    </w:p>
    <w:p w14:paraId="2A982EE1" w14:textId="77777777" w:rsidR="00E579B9" w:rsidRDefault="006A1398">
      <w:pPr>
        <w:pStyle w:val="3"/>
        <w:ind w:firstLine="560"/>
      </w:pPr>
      <w:r>
        <w:rPr>
          <w:rFonts w:hint="eastAsia"/>
        </w:rPr>
        <w:t>5.1</w:t>
      </w:r>
      <w:r>
        <w:t>.3</w:t>
      </w:r>
      <w:proofErr w:type="gramStart"/>
      <w:r>
        <w:t>建设期声环境影响</w:t>
      </w:r>
      <w:proofErr w:type="gramEnd"/>
      <w:r>
        <w:t>分析</w:t>
      </w:r>
      <w:bookmarkEnd w:id="230"/>
    </w:p>
    <w:p w14:paraId="2B4B2975" w14:textId="77777777" w:rsidR="00E579B9" w:rsidRDefault="006A1398">
      <w:pPr>
        <w:pStyle w:val="226"/>
      </w:pPr>
      <w:r>
        <w:rPr>
          <w:rFonts w:hint="eastAsia"/>
        </w:rPr>
        <w:t>矿区建设施工过程中，主要噪声源来自采区施工现场的各种机械设备运行噪声、物料运输的交通噪声以及施工人员的活动噪声。</w:t>
      </w:r>
    </w:p>
    <w:p w14:paraId="7D823E6C" w14:textId="77777777" w:rsidR="00E579B9" w:rsidRDefault="006A1398">
      <w:pPr>
        <w:pStyle w:val="226"/>
      </w:pPr>
      <w:r>
        <w:rPr>
          <w:rFonts w:hint="eastAsia"/>
        </w:rPr>
        <w:t>建设期的主要噪声源及声级值见表</w:t>
      </w:r>
      <w:r>
        <w:rPr>
          <w:rFonts w:hint="eastAsia"/>
        </w:rPr>
        <w:t>5</w:t>
      </w:r>
      <w:r>
        <w:t>.1-1</w:t>
      </w:r>
      <w:r>
        <w:rPr>
          <w:rFonts w:hint="eastAsia"/>
        </w:rPr>
        <w:t>。</w:t>
      </w:r>
    </w:p>
    <w:p w14:paraId="08A1BC09" w14:textId="77777777" w:rsidR="00E579B9" w:rsidRDefault="006A1398">
      <w:pPr>
        <w:pStyle w:val="226"/>
        <w:jc w:val="center"/>
        <w:rPr>
          <w:rFonts w:eastAsia="黑体" w:cs="Times New Roman"/>
        </w:rPr>
      </w:pPr>
      <w:r>
        <w:rPr>
          <w:rFonts w:eastAsia="黑体" w:cs="Times New Roman"/>
        </w:rPr>
        <w:t>表</w:t>
      </w:r>
      <w:r>
        <w:rPr>
          <w:rFonts w:eastAsia="黑体" w:cs="Times New Roman" w:hint="eastAsia"/>
        </w:rPr>
        <w:t>5</w:t>
      </w:r>
      <w:r>
        <w:rPr>
          <w:rFonts w:eastAsia="黑体" w:cs="Times New Roman"/>
        </w:rPr>
        <w:t>.1</w:t>
      </w:r>
      <w:r>
        <w:rPr>
          <w:rFonts w:eastAsia="黑体" w:cs="Times New Roman" w:hint="eastAsia"/>
        </w:rPr>
        <w:t>-1</w:t>
      </w:r>
      <w:r>
        <w:rPr>
          <w:rFonts w:eastAsia="黑体" w:cs="Times New Roman" w:hint="eastAsia"/>
        </w:rPr>
        <w:t>建设期主要噪声</w:t>
      </w:r>
      <w:proofErr w:type="gramStart"/>
      <w:r>
        <w:rPr>
          <w:rFonts w:eastAsia="黑体" w:cs="Times New Roman" w:hint="eastAsia"/>
        </w:rPr>
        <w:t>源情况</w:t>
      </w:r>
      <w:proofErr w:type="gramEnd"/>
      <w:r>
        <w:rPr>
          <w:rFonts w:eastAsia="黑体" w:cs="Times New Roman" w:hint="eastAsia"/>
        </w:rPr>
        <w:t>一览表</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975"/>
        <w:gridCol w:w="2127"/>
        <w:gridCol w:w="2176"/>
      </w:tblGrid>
      <w:tr w:rsidR="00E579B9" w14:paraId="4839E4B3" w14:textId="77777777">
        <w:tc>
          <w:tcPr>
            <w:tcW w:w="1668" w:type="dxa"/>
            <w:vAlign w:val="center"/>
          </w:tcPr>
          <w:p w14:paraId="3FB7500E" w14:textId="77777777" w:rsidR="00E579B9" w:rsidRDefault="006A1398">
            <w:pPr>
              <w:pStyle w:val="226"/>
              <w:spacing w:line="360" w:lineRule="exact"/>
              <w:ind w:firstLineChars="0" w:firstLine="0"/>
              <w:jc w:val="center"/>
              <w:rPr>
                <w:rFonts w:cs="Times New Roman"/>
                <w:sz w:val="21"/>
                <w:szCs w:val="21"/>
              </w:rPr>
            </w:pPr>
            <w:r>
              <w:rPr>
                <w:rFonts w:cs="Times New Roman"/>
                <w:sz w:val="21"/>
                <w:szCs w:val="21"/>
              </w:rPr>
              <w:t>序号</w:t>
            </w:r>
          </w:p>
        </w:tc>
        <w:tc>
          <w:tcPr>
            <w:tcW w:w="2975" w:type="dxa"/>
            <w:vAlign w:val="center"/>
          </w:tcPr>
          <w:p w14:paraId="7686F80F"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声源名称</w:t>
            </w:r>
          </w:p>
        </w:tc>
        <w:tc>
          <w:tcPr>
            <w:tcW w:w="2127" w:type="dxa"/>
            <w:vAlign w:val="center"/>
          </w:tcPr>
          <w:p w14:paraId="32E74286"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噪声级</w:t>
            </w:r>
            <w:r>
              <w:rPr>
                <w:rFonts w:cs="Times New Roman" w:hint="eastAsia"/>
                <w:sz w:val="21"/>
                <w:szCs w:val="21"/>
              </w:rPr>
              <w:t>dB(A)</w:t>
            </w:r>
          </w:p>
        </w:tc>
        <w:tc>
          <w:tcPr>
            <w:tcW w:w="2176" w:type="dxa"/>
            <w:vAlign w:val="center"/>
          </w:tcPr>
          <w:p w14:paraId="6CEFD7E2"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备注</w:t>
            </w:r>
          </w:p>
        </w:tc>
      </w:tr>
      <w:tr w:rsidR="00E579B9" w14:paraId="25D3FEBA" w14:textId="77777777">
        <w:tc>
          <w:tcPr>
            <w:tcW w:w="1668" w:type="dxa"/>
            <w:vAlign w:val="center"/>
          </w:tcPr>
          <w:p w14:paraId="70077A92"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1</w:t>
            </w:r>
          </w:p>
        </w:tc>
        <w:tc>
          <w:tcPr>
            <w:tcW w:w="2975" w:type="dxa"/>
            <w:vAlign w:val="center"/>
          </w:tcPr>
          <w:p w14:paraId="69F6212E"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推土机</w:t>
            </w:r>
          </w:p>
        </w:tc>
        <w:tc>
          <w:tcPr>
            <w:tcW w:w="2127" w:type="dxa"/>
            <w:vAlign w:val="center"/>
          </w:tcPr>
          <w:p w14:paraId="2263E284"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85</w:t>
            </w:r>
          </w:p>
        </w:tc>
        <w:tc>
          <w:tcPr>
            <w:tcW w:w="2176" w:type="dxa"/>
            <w:vAlign w:val="center"/>
          </w:tcPr>
          <w:p w14:paraId="6CF59EA5"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距声源</w:t>
            </w:r>
            <w:r>
              <w:rPr>
                <w:rFonts w:cs="Times New Roman" w:hint="eastAsia"/>
                <w:sz w:val="21"/>
                <w:szCs w:val="21"/>
              </w:rPr>
              <w:t>3m</w:t>
            </w:r>
          </w:p>
        </w:tc>
      </w:tr>
      <w:tr w:rsidR="00E579B9" w14:paraId="4CF72A5B" w14:textId="77777777">
        <w:tc>
          <w:tcPr>
            <w:tcW w:w="1668" w:type="dxa"/>
            <w:vAlign w:val="center"/>
          </w:tcPr>
          <w:p w14:paraId="50DFF6DE"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2</w:t>
            </w:r>
          </w:p>
        </w:tc>
        <w:tc>
          <w:tcPr>
            <w:tcW w:w="2975" w:type="dxa"/>
            <w:vAlign w:val="center"/>
          </w:tcPr>
          <w:p w14:paraId="3B0E7F8F"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挖掘机</w:t>
            </w:r>
          </w:p>
        </w:tc>
        <w:tc>
          <w:tcPr>
            <w:tcW w:w="2127" w:type="dxa"/>
            <w:vAlign w:val="center"/>
          </w:tcPr>
          <w:p w14:paraId="364073C8"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80</w:t>
            </w:r>
          </w:p>
        </w:tc>
        <w:tc>
          <w:tcPr>
            <w:tcW w:w="2176" w:type="dxa"/>
            <w:vAlign w:val="center"/>
          </w:tcPr>
          <w:p w14:paraId="61A68989"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距声源</w:t>
            </w:r>
            <w:r>
              <w:rPr>
                <w:rFonts w:cs="Times New Roman" w:hint="eastAsia"/>
                <w:sz w:val="21"/>
                <w:szCs w:val="21"/>
              </w:rPr>
              <w:t>3m</w:t>
            </w:r>
          </w:p>
        </w:tc>
      </w:tr>
      <w:tr w:rsidR="00E579B9" w14:paraId="1C8654C0" w14:textId="77777777">
        <w:tc>
          <w:tcPr>
            <w:tcW w:w="1668" w:type="dxa"/>
            <w:vAlign w:val="center"/>
          </w:tcPr>
          <w:p w14:paraId="4120B9E1"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3</w:t>
            </w:r>
          </w:p>
        </w:tc>
        <w:tc>
          <w:tcPr>
            <w:tcW w:w="2975" w:type="dxa"/>
            <w:vAlign w:val="center"/>
          </w:tcPr>
          <w:p w14:paraId="1F87B7E5"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装载机</w:t>
            </w:r>
          </w:p>
        </w:tc>
        <w:tc>
          <w:tcPr>
            <w:tcW w:w="2127" w:type="dxa"/>
            <w:vAlign w:val="center"/>
          </w:tcPr>
          <w:p w14:paraId="34A686C9"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85</w:t>
            </w:r>
          </w:p>
        </w:tc>
        <w:tc>
          <w:tcPr>
            <w:tcW w:w="2176" w:type="dxa"/>
            <w:vAlign w:val="center"/>
          </w:tcPr>
          <w:p w14:paraId="738DA881"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距声源</w:t>
            </w:r>
            <w:r>
              <w:rPr>
                <w:rFonts w:cs="Times New Roman" w:hint="eastAsia"/>
                <w:sz w:val="21"/>
                <w:szCs w:val="21"/>
              </w:rPr>
              <w:t>3m</w:t>
            </w:r>
          </w:p>
        </w:tc>
      </w:tr>
      <w:tr w:rsidR="00E579B9" w14:paraId="204F9721" w14:textId="77777777">
        <w:tc>
          <w:tcPr>
            <w:tcW w:w="1668" w:type="dxa"/>
            <w:vAlign w:val="center"/>
          </w:tcPr>
          <w:p w14:paraId="686E1533"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4</w:t>
            </w:r>
          </w:p>
        </w:tc>
        <w:tc>
          <w:tcPr>
            <w:tcW w:w="2975" w:type="dxa"/>
            <w:vAlign w:val="center"/>
          </w:tcPr>
          <w:p w14:paraId="6230425B"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汽车</w:t>
            </w:r>
          </w:p>
        </w:tc>
        <w:tc>
          <w:tcPr>
            <w:tcW w:w="2127" w:type="dxa"/>
            <w:vAlign w:val="center"/>
          </w:tcPr>
          <w:p w14:paraId="706E8E6C"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70~85</w:t>
            </w:r>
          </w:p>
        </w:tc>
        <w:tc>
          <w:tcPr>
            <w:tcW w:w="2176" w:type="dxa"/>
            <w:vAlign w:val="center"/>
          </w:tcPr>
          <w:p w14:paraId="5C5ABE9E"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距声源</w:t>
            </w:r>
            <w:r>
              <w:rPr>
                <w:rFonts w:cs="Times New Roman" w:hint="eastAsia"/>
                <w:sz w:val="21"/>
                <w:szCs w:val="21"/>
              </w:rPr>
              <w:t>7.5m</w:t>
            </w:r>
          </w:p>
        </w:tc>
      </w:tr>
    </w:tbl>
    <w:p w14:paraId="28659DC3" w14:textId="77777777" w:rsidR="00E579B9" w:rsidRDefault="006A1398">
      <w:pPr>
        <w:pStyle w:val="226"/>
      </w:pPr>
      <w:r>
        <w:rPr>
          <w:rFonts w:hint="eastAsia"/>
        </w:rPr>
        <w:t>由上表可知矿山建设期间施工噪声主要为点声源、固定声源，一些流动声源由于只局限在一定范围内，因此也可以当作点声源、固定声源。通过下面距离衰减公式进行计算，可得到施工期各种机械在不同距离处的噪声贡献值。</w:t>
      </w:r>
    </w:p>
    <w:p w14:paraId="5D621456" w14:textId="77777777" w:rsidR="00E579B9" w:rsidRDefault="006A1398">
      <w:pPr>
        <w:pStyle w:val="226"/>
        <w:ind w:firstLine="600"/>
        <w:rPr>
          <w:i/>
          <w:sz w:val="30"/>
          <w:szCs w:val="30"/>
        </w:rPr>
      </w:pPr>
      <w:r>
        <w:rPr>
          <w:rFonts w:hint="eastAsia"/>
          <w:i/>
          <w:sz w:val="30"/>
          <w:szCs w:val="30"/>
        </w:rPr>
        <w:t>L</w:t>
      </w:r>
      <w:r>
        <w:rPr>
          <w:rFonts w:hint="eastAsia"/>
          <w:i/>
          <w:sz w:val="30"/>
          <w:szCs w:val="30"/>
          <w:vertAlign w:val="subscript"/>
        </w:rPr>
        <w:t>a</w:t>
      </w:r>
      <w:r>
        <w:rPr>
          <w:rFonts w:hint="eastAsia"/>
          <w:i/>
          <w:sz w:val="30"/>
          <w:szCs w:val="30"/>
        </w:rPr>
        <w:t>=L</w:t>
      </w:r>
      <w:r>
        <w:rPr>
          <w:rFonts w:hint="eastAsia"/>
          <w:i/>
          <w:sz w:val="30"/>
          <w:szCs w:val="30"/>
          <w:vertAlign w:val="subscript"/>
        </w:rPr>
        <w:t>0</w:t>
      </w:r>
      <w:r>
        <w:rPr>
          <w:rFonts w:hint="eastAsia"/>
          <w:i/>
          <w:sz w:val="30"/>
          <w:szCs w:val="30"/>
        </w:rPr>
        <w:t>-20Lg</w:t>
      </w:r>
      <w:r>
        <w:rPr>
          <w:rFonts w:hint="eastAsia"/>
          <w:i/>
          <w:sz w:val="30"/>
          <w:szCs w:val="30"/>
        </w:rPr>
        <w:t>（</w:t>
      </w:r>
      <w:r>
        <w:rPr>
          <w:rFonts w:hint="eastAsia"/>
          <w:i/>
          <w:sz w:val="30"/>
          <w:szCs w:val="30"/>
        </w:rPr>
        <w:t>r</w:t>
      </w:r>
      <w:r>
        <w:rPr>
          <w:rFonts w:hint="eastAsia"/>
          <w:i/>
          <w:sz w:val="30"/>
          <w:szCs w:val="30"/>
          <w:vertAlign w:val="subscript"/>
        </w:rPr>
        <w:t>a</w:t>
      </w:r>
      <w:r>
        <w:rPr>
          <w:rFonts w:hint="eastAsia"/>
          <w:i/>
          <w:sz w:val="30"/>
          <w:szCs w:val="30"/>
        </w:rPr>
        <w:t>/r</w:t>
      </w:r>
      <w:r>
        <w:rPr>
          <w:rFonts w:hint="eastAsia"/>
          <w:i/>
          <w:sz w:val="30"/>
          <w:szCs w:val="30"/>
          <w:vertAlign w:val="subscript"/>
        </w:rPr>
        <w:t>0</w:t>
      </w:r>
      <w:r>
        <w:rPr>
          <w:rFonts w:hint="eastAsia"/>
          <w:i/>
          <w:sz w:val="30"/>
          <w:szCs w:val="30"/>
        </w:rPr>
        <w:t>）</w:t>
      </w:r>
    </w:p>
    <w:p w14:paraId="16B3008F" w14:textId="77777777" w:rsidR="00E579B9" w:rsidRDefault="006A1398">
      <w:pPr>
        <w:pStyle w:val="226"/>
      </w:pPr>
      <w:r>
        <w:rPr>
          <w:rFonts w:hint="eastAsia"/>
        </w:rPr>
        <w:t>式中：</w:t>
      </w:r>
      <w:r>
        <w:rPr>
          <w:rFonts w:hint="eastAsia"/>
        </w:rPr>
        <w:t>L</w:t>
      </w:r>
      <w:r>
        <w:rPr>
          <w:rFonts w:hint="eastAsia"/>
          <w:vertAlign w:val="subscript"/>
        </w:rPr>
        <w:t>a</w:t>
      </w:r>
      <w:r>
        <w:rPr>
          <w:rFonts w:hint="eastAsia"/>
        </w:rPr>
        <w:t>为距声源为</w:t>
      </w:r>
      <w:r>
        <w:rPr>
          <w:rFonts w:hint="eastAsia"/>
        </w:rPr>
        <w:t>r</w:t>
      </w:r>
      <w:r>
        <w:rPr>
          <w:rFonts w:hint="eastAsia"/>
          <w:vertAlign w:val="subscript"/>
        </w:rPr>
        <w:t>a</w:t>
      </w:r>
      <w:r>
        <w:rPr>
          <w:rFonts w:hint="eastAsia"/>
        </w:rPr>
        <w:t>处的声级</w:t>
      </w:r>
    </w:p>
    <w:p w14:paraId="6C293534" w14:textId="77777777" w:rsidR="00E579B9" w:rsidRDefault="006A1398">
      <w:pPr>
        <w:pStyle w:val="226"/>
      </w:pPr>
      <w:r>
        <w:rPr>
          <w:rFonts w:hint="eastAsia"/>
        </w:rPr>
        <w:t>L</w:t>
      </w:r>
      <w:r>
        <w:rPr>
          <w:rFonts w:hint="eastAsia"/>
          <w:vertAlign w:val="subscript"/>
        </w:rPr>
        <w:t>0</w:t>
      </w:r>
      <w:r>
        <w:rPr>
          <w:rFonts w:hint="eastAsia"/>
        </w:rPr>
        <w:t>为距声源为</w:t>
      </w:r>
      <w:r>
        <w:rPr>
          <w:rFonts w:hint="eastAsia"/>
        </w:rPr>
        <w:t>r</w:t>
      </w:r>
      <w:r>
        <w:rPr>
          <w:rFonts w:hint="eastAsia"/>
          <w:vertAlign w:val="subscript"/>
        </w:rPr>
        <w:t>0</w:t>
      </w:r>
      <w:r>
        <w:rPr>
          <w:rFonts w:hint="eastAsia"/>
        </w:rPr>
        <w:t>处的声级</w:t>
      </w:r>
    </w:p>
    <w:p w14:paraId="03EB0222" w14:textId="77777777" w:rsidR="00E579B9" w:rsidRDefault="006A1398">
      <w:pPr>
        <w:pStyle w:val="226"/>
      </w:pPr>
      <w:r>
        <w:rPr>
          <w:rFonts w:hint="eastAsia"/>
        </w:rPr>
        <w:t>经计算，距声源不同距离处噪声值的结果见表</w:t>
      </w:r>
      <w:r>
        <w:rPr>
          <w:rFonts w:hint="eastAsia"/>
        </w:rPr>
        <w:t>5</w:t>
      </w:r>
      <w:r>
        <w:t>.1</w:t>
      </w:r>
      <w:r>
        <w:rPr>
          <w:rFonts w:hint="eastAsia"/>
        </w:rPr>
        <w:t>-2</w:t>
      </w:r>
      <w:r>
        <w:rPr>
          <w:rFonts w:hint="eastAsia"/>
        </w:rPr>
        <w:t>。</w:t>
      </w:r>
    </w:p>
    <w:p w14:paraId="69BD77BD" w14:textId="0B54BB54" w:rsidR="00E579B9" w:rsidRDefault="006A1398">
      <w:pPr>
        <w:pStyle w:val="226"/>
        <w:jc w:val="center"/>
        <w:rPr>
          <w:rFonts w:eastAsia="黑体" w:cs="Times New Roman"/>
        </w:rPr>
      </w:pPr>
      <w:r>
        <w:rPr>
          <w:rFonts w:eastAsia="黑体" w:cs="Times New Roman"/>
        </w:rPr>
        <w:t>表</w:t>
      </w:r>
      <w:r>
        <w:rPr>
          <w:rFonts w:eastAsia="黑体" w:cs="Times New Roman" w:hint="eastAsia"/>
        </w:rPr>
        <w:t>5</w:t>
      </w:r>
      <w:r>
        <w:rPr>
          <w:rFonts w:eastAsia="黑体" w:cs="Times New Roman"/>
        </w:rPr>
        <w:t>.1</w:t>
      </w:r>
      <w:r>
        <w:rPr>
          <w:rFonts w:eastAsia="黑体" w:cs="Times New Roman" w:hint="eastAsia"/>
        </w:rPr>
        <w:t>-2</w:t>
      </w:r>
      <w:r>
        <w:rPr>
          <w:rFonts w:eastAsia="黑体" w:cs="Times New Roman" w:hint="eastAsia"/>
        </w:rPr>
        <w:t>主要施工机械在不同距离的噪声值</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13"/>
        <w:gridCol w:w="994"/>
        <w:gridCol w:w="994"/>
        <w:gridCol w:w="994"/>
        <w:gridCol w:w="994"/>
        <w:gridCol w:w="994"/>
        <w:gridCol w:w="994"/>
        <w:gridCol w:w="994"/>
      </w:tblGrid>
      <w:tr w:rsidR="00E579B9" w14:paraId="5B48B367" w14:textId="77777777">
        <w:tc>
          <w:tcPr>
            <w:tcW w:w="675" w:type="dxa"/>
            <w:vMerge w:val="restart"/>
            <w:vAlign w:val="center"/>
          </w:tcPr>
          <w:p w14:paraId="24A78001" w14:textId="77777777" w:rsidR="00E579B9" w:rsidRDefault="006A1398">
            <w:pPr>
              <w:pStyle w:val="226"/>
              <w:spacing w:line="360" w:lineRule="exact"/>
              <w:ind w:firstLineChars="0" w:firstLine="0"/>
              <w:jc w:val="center"/>
              <w:rPr>
                <w:sz w:val="21"/>
                <w:szCs w:val="21"/>
              </w:rPr>
            </w:pPr>
            <w:r>
              <w:rPr>
                <w:rFonts w:hint="eastAsia"/>
                <w:sz w:val="21"/>
                <w:szCs w:val="21"/>
              </w:rPr>
              <w:t>序号</w:t>
            </w:r>
          </w:p>
        </w:tc>
        <w:tc>
          <w:tcPr>
            <w:tcW w:w="1313" w:type="dxa"/>
            <w:vMerge w:val="restart"/>
            <w:vAlign w:val="center"/>
          </w:tcPr>
          <w:p w14:paraId="48E660E2" w14:textId="77777777" w:rsidR="00E579B9" w:rsidRDefault="006A1398">
            <w:pPr>
              <w:pStyle w:val="226"/>
              <w:spacing w:line="360" w:lineRule="exact"/>
              <w:ind w:firstLineChars="0" w:firstLine="0"/>
              <w:jc w:val="center"/>
              <w:rPr>
                <w:sz w:val="21"/>
                <w:szCs w:val="21"/>
              </w:rPr>
            </w:pPr>
            <w:r>
              <w:rPr>
                <w:rFonts w:hint="eastAsia"/>
                <w:sz w:val="21"/>
                <w:szCs w:val="21"/>
              </w:rPr>
              <w:t>设备名称</w:t>
            </w:r>
          </w:p>
        </w:tc>
        <w:tc>
          <w:tcPr>
            <w:tcW w:w="6958" w:type="dxa"/>
            <w:gridSpan w:val="7"/>
            <w:vAlign w:val="center"/>
          </w:tcPr>
          <w:p w14:paraId="491F929F" w14:textId="77777777" w:rsidR="00E579B9" w:rsidRDefault="006A1398">
            <w:pPr>
              <w:pStyle w:val="226"/>
              <w:spacing w:line="360" w:lineRule="exact"/>
              <w:ind w:firstLineChars="0" w:firstLine="0"/>
              <w:jc w:val="center"/>
              <w:rPr>
                <w:sz w:val="21"/>
                <w:szCs w:val="21"/>
              </w:rPr>
            </w:pPr>
            <w:proofErr w:type="gramStart"/>
            <w:r>
              <w:rPr>
                <w:rFonts w:hint="eastAsia"/>
                <w:sz w:val="21"/>
                <w:szCs w:val="21"/>
              </w:rPr>
              <w:t>离施工</w:t>
            </w:r>
            <w:proofErr w:type="gramEnd"/>
            <w:r>
              <w:rPr>
                <w:rFonts w:hint="eastAsia"/>
                <w:sz w:val="21"/>
                <w:szCs w:val="21"/>
              </w:rPr>
              <w:t>点不同距离的噪声值</w:t>
            </w:r>
            <w:r>
              <w:rPr>
                <w:rFonts w:hint="eastAsia"/>
                <w:sz w:val="21"/>
                <w:szCs w:val="21"/>
              </w:rPr>
              <w:t>dB(A)</w:t>
            </w:r>
          </w:p>
        </w:tc>
      </w:tr>
      <w:tr w:rsidR="00E579B9" w14:paraId="59F24EA8" w14:textId="77777777">
        <w:tc>
          <w:tcPr>
            <w:tcW w:w="675" w:type="dxa"/>
            <w:vMerge/>
            <w:vAlign w:val="center"/>
          </w:tcPr>
          <w:p w14:paraId="0F1767DD" w14:textId="77777777" w:rsidR="00E579B9" w:rsidRDefault="00E579B9">
            <w:pPr>
              <w:pStyle w:val="226"/>
              <w:spacing w:line="360" w:lineRule="exact"/>
              <w:ind w:firstLineChars="0" w:firstLine="0"/>
              <w:jc w:val="center"/>
              <w:rPr>
                <w:sz w:val="21"/>
                <w:szCs w:val="21"/>
              </w:rPr>
            </w:pPr>
          </w:p>
        </w:tc>
        <w:tc>
          <w:tcPr>
            <w:tcW w:w="1313" w:type="dxa"/>
            <w:vMerge/>
            <w:vAlign w:val="center"/>
          </w:tcPr>
          <w:p w14:paraId="0FF83CEA" w14:textId="77777777" w:rsidR="00E579B9" w:rsidRDefault="00E579B9">
            <w:pPr>
              <w:pStyle w:val="226"/>
              <w:spacing w:line="360" w:lineRule="exact"/>
              <w:ind w:firstLineChars="0" w:firstLine="0"/>
              <w:jc w:val="center"/>
              <w:rPr>
                <w:sz w:val="21"/>
                <w:szCs w:val="21"/>
              </w:rPr>
            </w:pPr>
          </w:p>
        </w:tc>
        <w:tc>
          <w:tcPr>
            <w:tcW w:w="994" w:type="dxa"/>
            <w:vAlign w:val="center"/>
          </w:tcPr>
          <w:p w14:paraId="41459641" w14:textId="77777777" w:rsidR="00E579B9" w:rsidRDefault="006A1398">
            <w:pPr>
              <w:pStyle w:val="226"/>
              <w:spacing w:line="360" w:lineRule="exact"/>
              <w:ind w:firstLineChars="0" w:firstLine="0"/>
              <w:jc w:val="center"/>
              <w:rPr>
                <w:sz w:val="21"/>
                <w:szCs w:val="21"/>
              </w:rPr>
            </w:pPr>
            <w:r>
              <w:rPr>
                <w:rFonts w:hint="eastAsia"/>
                <w:sz w:val="21"/>
                <w:szCs w:val="21"/>
              </w:rPr>
              <w:t>10m</w:t>
            </w:r>
          </w:p>
        </w:tc>
        <w:tc>
          <w:tcPr>
            <w:tcW w:w="994" w:type="dxa"/>
            <w:vAlign w:val="center"/>
          </w:tcPr>
          <w:p w14:paraId="25A20CC3" w14:textId="77777777" w:rsidR="00E579B9" w:rsidRDefault="006A1398">
            <w:pPr>
              <w:pStyle w:val="226"/>
              <w:spacing w:line="360" w:lineRule="exact"/>
              <w:ind w:firstLineChars="0" w:firstLine="0"/>
              <w:jc w:val="center"/>
              <w:rPr>
                <w:sz w:val="21"/>
                <w:szCs w:val="21"/>
              </w:rPr>
            </w:pPr>
            <w:r>
              <w:rPr>
                <w:rFonts w:hint="eastAsia"/>
                <w:sz w:val="21"/>
                <w:szCs w:val="21"/>
              </w:rPr>
              <w:t>50m</w:t>
            </w:r>
          </w:p>
        </w:tc>
        <w:tc>
          <w:tcPr>
            <w:tcW w:w="994" w:type="dxa"/>
            <w:vAlign w:val="center"/>
          </w:tcPr>
          <w:p w14:paraId="54D063D0" w14:textId="77777777" w:rsidR="00E579B9" w:rsidRDefault="006A1398">
            <w:pPr>
              <w:pStyle w:val="226"/>
              <w:spacing w:line="360" w:lineRule="exact"/>
              <w:ind w:firstLineChars="0" w:firstLine="0"/>
              <w:jc w:val="center"/>
              <w:rPr>
                <w:sz w:val="21"/>
                <w:szCs w:val="21"/>
              </w:rPr>
            </w:pPr>
            <w:r>
              <w:rPr>
                <w:rFonts w:hint="eastAsia"/>
                <w:sz w:val="21"/>
                <w:szCs w:val="21"/>
              </w:rPr>
              <w:t>100m</w:t>
            </w:r>
          </w:p>
        </w:tc>
        <w:tc>
          <w:tcPr>
            <w:tcW w:w="994" w:type="dxa"/>
            <w:vAlign w:val="center"/>
          </w:tcPr>
          <w:p w14:paraId="59920DA2" w14:textId="77777777" w:rsidR="00E579B9" w:rsidRDefault="006A1398">
            <w:pPr>
              <w:pStyle w:val="226"/>
              <w:spacing w:line="360" w:lineRule="exact"/>
              <w:ind w:firstLineChars="0" w:firstLine="0"/>
              <w:jc w:val="center"/>
              <w:rPr>
                <w:sz w:val="21"/>
                <w:szCs w:val="21"/>
              </w:rPr>
            </w:pPr>
            <w:r>
              <w:rPr>
                <w:rFonts w:hint="eastAsia"/>
                <w:sz w:val="21"/>
                <w:szCs w:val="21"/>
              </w:rPr>
              <w:t>150m</w:t>
            </w:r>
          </w:p>
        </w:tc>
        <w:tc>
          <w:tcPr>
            <w:tcW w:w="994" w:type="dxa"/>
            <w:vAlign w:val="center"/>
          </w:tcPr>
          <w:p w14:paraId="5321EF58" w14:textId="77777777" w:rsidR="00E579B9" w:rsidRDefault="006A1398">
            <w:pPr>
              <w:pStyle w:val="226"/>
              <w:spacing w:line="360" w:lineRule="exact"/>
              <w:ind w:firstLineChars="0" w:firstLine="0"/>
              <w:jc w:val="center"/>
              <w:rPr>
                <w:sz w:val="21"/>
                <w:szCs w:val="21"/>
              </w:rPr>
            </w:pPr>
            <w:r>
              <w:rPr>
                <w:rFonts w:hint="eastAsia"/>
                <w:sz w:val="21"/>
                <w:szCs w:val="21"/>
              </w:rPr>
              <w:t>200m</w:t>
            </w:r>
          </w:p>
        </w:tc>
        <w:tc>
          <w:tcPr>
            <w:tcW w:w="994" w:type="dxa"/>
            <w:vAlign w:val="center"/>
          </w:tcPr>
          <w:p w14:paraId="57E7E799" w14:textId="77777777" w:rsidR="00E579B9" w:rsidRDefault="006A1398">
            <w:pPr>
              <w:pStyle w:val="226"/>
              <w:spacing w:line="360" w:lineRule="exact"/>
              <w:ind w:firstLineChars="0" w:firstLine="0"/>
              <w:jc w:val="center"/>
              <w:rPr>
                <w:sz w:val="21"/>
                <w:szCs w:val="21"/>
              </w:rPr>
            </w:pPr>
            <w:r>
              <w:rPr>
                <w:rFonts w:hint="eastAsia"/>
                <w:sz w:val="21"/>
                <w:szCs w:val="21"/>
              </w:rPr>
              <w:t>250m</w:t>
            </w:r>
          </w:p>
        </w:tc>
        <w:tc>
          <w:tcPr>
            <w:tcW w:w="994" w:type="dxa"/>
            <w:vAlign w:val="center"/>
          </w:tcPr>
          <w:p w14:paraId="76ACB03F" w14:textId="77777777" w:rsidR="00E579B9" w:rsidRDefault="006A1398">
            <w:pPr>
              <w:pStyle w:val="226"/>
              <w:spacing w:line="360" w:lineRule="exact"/>
              <w:ind w:firstLineChars="0" w:firstLine="0"/>
              <w:jc w:val="center"/>
              <w:rPr>
                <w:sz w:val="21"/>
                <w:szCs w:val="21"/>
              </w:rPr>
            </w:pPr>
            <w:r>
              <w:rPr>
                <w:rFonts w:hint="eastAsia"/>
                <w:sz w:val="21"/>
                <w:szCs w:val="21"/>
              </w:rPr>
              <w:t>300m</w:t>
            </w:r>
          </w:p>
        </w:tc>
      </w:tr>
      <w:tr w:rsidR="00E579B9" w14:paraId="6262374F" w14:textId="77777777">
        <w:tc>
          <w:tcPr>
            <w:tcW w:w="675" w:type="dxa"/>
            <w:vAlign w:val="center"/>
          </w:tcPr>
          <w:p w14:paraId="3FC060EB" w14:textId="77777777" w:rsidR="00E579B9" w:rsidRDefault="006A1398">
            <w:pPr>
              <w:pStyle w:val="226"/>
              <w:spacing w:line="360" w:lineRule="exact"/>
              <w:ind w:firstLineChars="0" w:firstLine="0"/>
              <w:jc w:val="center"/>
              <w:rPr>
                <w:sz w:val="21"/>
                <w:szCs w:val="21"/>
              </w:rPr>
            </w:pPr>
            <w:r>
              <w:rPr>
                <w:rFonts w:hint="eastAsia"/>
                <w:sz w:val="21"/>
                <w:szCs w:val="21"/>
              </w:rPr>
              <w:t>1</w:t>
            </w:r>
          </w:p>
        </w:tc>
        <w:tc>
          <w:tcPr>
            <w:tcW w:w="1313" w:type="dxa"/>
            <w:vAlign w:val="center"/>
          </w:tcPr>
          <w:p w14:paraId="5252E1B3"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推土机</w:t>
            </w:r>
          </w:p>
        </w:tc>
        <w:tc>
          <w:tcPr>
            <w:tcW w:w="994" w:type="dxa"/>
            <w:vAlign w:val="center"/>
          </w:tcPr>
          <w:p w14:paraId="50A9710F" w14:textId="77777777" w:rsidR="00E579B9" w:rsidRDefault="006A1398">
            <w:pPr>
              <w:pStyle w:val="226"/>
              <w:spacing w:line="360" w:lineRule="exact"/>
              <w:ind w:firstLineChars="0" w:firstLine="0"/>
              <w:jc w:val="center"/>
              <w:rPr>
                <w:sz w:val="21"/>
                <w:szCs w:val="21"/>
              </w:rPr>
            </w:pPr>
            <w:r>
              <w:rPr>
                <w:rFonts w:hint="eastAsia"/>
                <w:sz w:val="21"/>
                <w:szCs w:val="21"/>
              </w:rPr>
              <w:t>74.5</w:t>
            </w:r>
          </w:p>
        </w:tc>
        <w:tc>
          <w:tcPr>
            <w:tcW w:w="994" w:type="dxa"/>
            <w:vAlign w:val="center"/>
          </w:tcPr>
          <w:p w14:paraId="0F632EE9" w14:textId="77777777" w:rsidR="00E579B9" w:rsidRDefault="006A1398">
            <w:pPr>
              <w:pStyle w:val="226"/>
              <w:spacing w:line="360" w:lineRule="exact"/>
              <w:ind w:firstLineChars="0" w:firstLine="0"/>
              <w:jc w:val="center"/>
              <w:rPr>
                <w:sz w:val="21"/>
                <w:szCs w:val="21"/>
              </w:rPr>
            </w:pPr>
            <w:r>
              <w:rPr>
                <w:rFonts w:hint="eastAsia"/>
                <w:sz w:val="21"/>
                <w:szCs w:val="21"/>
              </w:rPr>
              <w:t>60.6</w:t>
            </w:r>
          </w:p>
        </w:tc>
        <w:tc>
          <w:tcPr>
            <w:tcW w:w="994" w:type="dxa"/>
            <w:vAlign w:val="center"/>
          </w:tcPr>
          <w:p w14:paraId="6B0B47AE" w14:textId="77777777" w:rsidR="00E579B9" w:rsidRDefault="006A1398">
            <w:pPr>
              <w:pStyle w:val="226"/>
              <w:spacing w:line="360" w:lineRule="exact"/>
              <w:ind w:firstLineChars="0" w:firstLine="0"/>
              <w:jc w:val="center"/>
              <w:rPr>
                <w:sz w:val="21"/>
                <w:szCs w:val="21"/>
              </w:rPr>
            </w:pPr>
            <w:r>
              <w:rPr>
                <w:rFonts w:hint="eastAsia"/>
                <w:sz w:val="21"/>
                <w:szCs w:val="21"/>
              </w:rPr>
              <w:t>54.5</w:t>
            </w:r>
          </w:p>
        </w:tc>
        <w:tc>
          <w:tcPr>
            <w:tcW w:w="994" w:type="dxa"/>
            <w:vAlign w:val="center"/>
          </w:tcPr>
          <w:p w14:paraId="2AC9D067" w14:textId="77777777" w:rsidR="00E579B9" w:rsidRDefault="006A1398">
            <w:pPr>
              <w:pStyle w:val="226"/>
              <w:spacing w:line="360" w:lineRule="exact"/>
              <w:ind w:firstLineChars="0" w:firstLine="0"/>
              <w:jc w:val="center"/>
              <w:rPr>
                <w:sz w:val="21"/>
                <w:szCs w:val="21"/>
              </w:rPr>
            </w:pPr>
            <w:r>
              <w:rPr>
                <w:rFonts w:hint="eastAsia"/>
                <w:sz w:val="21"/>
                <w:szCs w:val="21"/>
              </w:rPr>
              <w:t>51</w:t>
            </w:r>
          </w:p>
        </w:tc>
        <w:tc>
          <w:tcPr>
            <w:tcW w:w="994" w:type="dxa"/>
            <w:vAlign w:val="center"/>
          </w:tcPr>
          <w:p w14:paraId="1B4CD25E" w14:textId="77777777" w:rsidR="00E579B9" w:rsidRDefault="006A1398">
            <w:pPr>
              <w:pStyle w:val="226"/>
              <w:spacing w:line="360" w:lineRule="exact"/>
              <w:ind w:firstLineChars="0" w:firstLine="0"/>
              <w:jc w:val="center"/>
              <w:rPr>
                <w:sz w:val="21"/>
                <w:szCs w:val="21"/>
              </w:rPr>
            </w:pPr>
            <w:r>
              <w:rPr>
                <w:rFonts w:hint="eastAsia"/>
                <w:sz w:val="21"/>
                <w:szCs w:val="21"/>
              </w:rPr>
              <w:t>48.5</w:t>
            </w:r>
          </w:p>
        </w:tc>
        <w:tc>
          <w:tcPr>
            <w:tcW w:w="994" w:type="dxa"/>
            <w:vAlign w:val="center"/>
          </w:tcPr>
          <w:p w14:paraId="6D2F168B" w14:textId="77777777" w:rsidR="00E579B9" w:rsidRDefault="006A1398">
            <w:pPr>
              <w:pStyle w:val="226"/>
              <w:spacing w:line="360" w:lineRule="exact"/>
              <w:ind w:firstLineChars="0" w:firstLine="0"/>
              <w:jc w:val="center"/>
              <w:rPr>
                <w:sz w:val="21"/>
                <w:szCs w:val="21"/>
              </w:rPr>
            </w:pPr>
            <w:r>
              <w:rPr>
                <w:rFonts w:hint="eastAsia"/>
                <w:sz w:val="21"/>
                <w:szCs w:val="21"/>
              </w:rPr>
              <w:t>46.6</w:t>
            </w:r>
          </w:p>
        </w:tc>
        <w:tc>
          <w:tcPr>
            <w:tcW w:w="994" w:type="dxa"/>
            <w:vAlign w:val="center"/>
          </w:tcPr>
          <w:p w14:paraId="4280CDC1" w14:textId="77777777" w:rsidR="00E579B9" w:rsidRDefault="006A1398">
            <w:pPr>
              <w:pStyle w:val="226"/>
              <w:spacing w:line="360" w:lineRule="exact"/>
              <w:ind w:firstLineChars="0" w:firstLine="0"/>
              <w:jc w:val="center"/>
              <w:rPr>
                <w:sz w:val="21"/>
                <w:szCs w:val="21"/>
              </w:rPr>
            </w:pPr>
            <w:r>
              <w:rPr>
                <w:rFonts w:hint="eastAsia"/>
                <w:sz w:val="21"/>
                <w:szCs w:val="21"/>
              </w:rPr>
              <w:t>44.9</w:t>
            </w:r>
          </w:p>
        </w:tc>
      </w:tr>
      <w:tr w:rsidR="00E579B9" w14:paraId="722AEF35" w14:textId="77777777">
        <w:tc>
          <w:tcPr>
            <w:tcW w:w="675" w:type="dxa"/>
            <w:vAlign w:val="center"/>
          </w:tcPr>
          <w:p w14:paraId="6CF0B580" w14:textId="77777777" w:rsidR="00E579B9" w:rsidRDefault="006A1398">
            <w:pPr>
              <w:pStyle w:val="226"/>
              <w:spacing w:line="360" w:lineRule="exact"/>
              <w:ind w:firstLineChars="0" w:firstLine="0"/>
              <w:jc w:val="center"/>
              <w:rPr>
                <w:sz w:val="21"/>
                <w:szCs w:val="21"/>
              </w:rPr>
            </w:pPr>
            <w:r>
              <w:rPr>
                <w:rFonts w:hint="eastAsia"/>
                <w:sz w:val="21"/>
                <w:szCs w:val="21"/>
              </w:rPr>
              <w:t>2</w:t>
            </w:r>
          </w:p>
        </w:tc>
        <w:tc>
          <w:tcPr>
            <w:tcW w:w="1313" w:type="dxa"/>
            <w:vAlign w:val="center"/>
          </w:tcPr>
          <w:p w14:paraId="696FED9A"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挖掘机</w:t>
            </w:r>
          </w:p>
        </w:tc>
        <w:tc>
          <w:tcPr>
            <w:tcW w:w="994" w:type="dxa"/>
            <w:vAlign w:val="center"/>
          </w:tcPr>
          <w:p w14:paraId="05FB21C3" w14:textId="77777777" w:rsidR="00E579B9" w:rsidRDefault="006A1398">
            <w:pPr>
              <w:pStyle w:val="226"/>
              <w:spacing w:line="360" w:lineRule="exact"/>
              <w:ind w:firstLineChars="0" w:firstLine="0"/>
              <w:jc w:val="center"/>
              <w:rPr>
                <w:sz w:val="21"/>
                <w:szCs w:val="21"/>
              </w:rPr>
            </w:pPr>
            <w:r>
              <w:rPr>
                <w:rFonts w:hint="eastAsia"/>
                <w:sz w:val="21"/>
                <w:szCs w:val="21"/>
              </w:rPr>
              <w:t>73.5</w:t>
            </w:r>
          </w:p>
        </w:tc>
        <w:tc>
          <w:tcPr>
            <w:tcW w:w="994" w:type="dxa"/>
            <w:vAlign w:val="center"/>
          </w:tcPr>
          <w:p w14:paraId="0E4AF023" w14:textId="77777777" w:rsidR="00E579B9" w:rsidRDefault="006A1398">
            <w:pPr>
              <w:pStyle w:val="226"/>
              <w:spacing w:line="360" w:lineRule="exact"/>
              <w:ind w:firstLineChars="0" w:firstLine="0"/>
              <w:jc w:val="center"/>
              <w:rPr>
                <w:sz w:val="21"/>
                <w:szCs w:val="21"/>
              </w:rPr>
            </w:pPr>
            <w:r>
              <w:rPr>
                <w:rFonts w:hint="eastAsia"/>
                <w:sz w:val="21"/>
                <w:szCs w:val="21"/>
              </w:rPr>
              <w:t>59.6</w:t>
            </w:r>
          </w:p>
        </w:tc>
        <w:tc>
          <w:tcPr>
            <w:tcW w:w="994" w:type="dxa"/>
            <w:vAlign w:val="center"/>
          </w:tcPr>
          <w:p w14:paraId="6BEB2E54" w14:textId="77777777" w:rsidR="00E579B9" w:rsidRDefault="006A1398">
            <w:pPr>
              <w:pStyle w:val="226"/>
              <w:spacing w:line="360" w:lineRule="exact"/>
              <w:ind w:firstLineChars="0" w:firstLine="0"/>
              <w:jc w:val="center"/>
              <w:rPr>
                <w:sz w:val="21"/>
                <w:szCs w:val="21"/>
              </w:rPr>
            </w:pPr>
            <w:r>
              <w:rPr>
                <w:rFonts w:hint="eastAsia"/>
                <w:sz w:val="21"/>
                <w:szCs w:val="21"/>
              </w:rPr>
              <w:t>53.5</w:t>
            </w:r>
          </w:p>
        </w:tc>
        <w:tc>
          <w:tcPr>
            <w:tcW w:w="994" w:type="dxa"/>
            <w:vAlign w:val="center"/>
          </w:tcPr>
          <w:p w14:paraId="385D2E86" w14:textId="77777777" w:rsidR="00E579B9" w:rsidRDefault="006A1398">
            <w:pPr>
              <w:pStyle w:val="226"/>
              <w:spacing w:line="360" w:lineRule="exact"/>
              <w:ind w:firstLineChars="0" w:firstLine="0"/>
              <w:jc w:val="center"/>
              <w:rPr>
                <w:sz w:val="21"/>
                <w:szCs w:val="21"/>
              </w:rPr>
            </w:pPr>
            <w:r>
              <w:rPr>
                <w:rFonts w:hint="eastAsia"/>
                <w:sz w:val="21"/>
                <w:szCs w:val="21"/>
              </w:rPr>
              <w:t>50</w:t>
            </w:r>
          </w:p>
        </w:tc>
        <w:tc>
          <w:tcPr>
            <w:tcW w:w="994" w:type="dxa"/>
            <w:vAlign w:val="center"/>
          </w:tcPr>
          <w:p w14:paraId="69CE94A2" w14:textId="77777777" w:rsidR="00E579B9" w:rsidRDefault="006A1398">
            <w:pPr>
              <w:pStyle w:val="226"/>
              <w:spacing w:line="360" w:lineRule="exact"/>
              <w:ind w:firstLineChars="0" w:firstLine="0"/>
              <w:jc w:val="center"/>
              <w:rPr>
                <w:sz w:val="21"/>
                <w:szCs w:val="21"/>
              </w:rPr>
            </w:pPr>
            <w:r>
              <w:rPr>
                <w:rFonts w:hint="eastAsia"/>
                <w:sz w:val="21"/>
                <w:szCs w:val="21"/>
              </w:rPr>
              <w:t>47.5</w:t>
            </w:r>
          </w:p>
        </w:tc>
        <w:tc>
          <w:tcPr>
            <w:tcW w:w="994" w:type="dxa"/>
            <w:vAlign w:val="center"/>
          </w:tcPr>
          <w:p w14:paraId="3528EF68" w14:textId="77777777" w:rsidR="00E579B9" w:rsidRDefault="006A1398">
            <w:pPr>
              <w:pStyle w:val="226"/>
              <w:spacing w:line="360" w:lineRule="exact"/>
              <w:ind w:firstLineChars="0" w:firstLine="0"/>
              <w:jc w:val="center"/>
              <w:rPr>
                <w:sz w:val="21"/>
                <w:szCs w:val="21"/>
              </w:rPr>
            </w:pPr>
            <w:r>
              <w:rPr>
                <w:rFonts w:hint="eastAsia"/>
                <w:sz w:val="21"/>
                <w:szCs w:val="21"/>
              </w:rPr>
              <w:t>45.6</w:t>
            </w:r>
          </w:p>
        </w:tc>
        <w:tc>
          <w:tcPr>
            <w:tcW w:w="994" w:type="dxa"/>
            <w:vAlign w:val="center"/>
          </w:tcPr>
          <w:p w14:paraId="7E75397A" w14:textId="77777777" w:rsidR="00E579B9" w:rsidRDefault="006A1398">
            <w:pPr>
              <w:pStyle w:val="226"/>
              <w:spacing w:line="360" w:lineRule="exact"/>
              <w:ind w:firstLineChars="0" w:firstLine="0"/>
              <w:jc w:val="center"/>
              <w:rPr>
                <w:sz w:val="21"/>
                <w:szCs w:val="21"/>
              </w:rPr>
            </w:pPr>
            <w:r>
              <w:rPr>
                <w:rFonts w:hint="eastAsia"/>
                <w:sz w:val="21"/>
                <w:szCs w:val="21"/>
              </w:rPr>
              <w:t>44.0</w:t>
            </w:r>
          </w:p>
        </w:tc>
      </w:tr>
      <w:tr w:rsidR="00E579B9" w14:paraId="73AB930C" w14:textId="77777777">
        <w:tc>
          <w:tcPr>
            <w:tcW w:w="675" w:type="dxa"/>
            <w:vAlign w:val="center"/>
          </w:tcPr>
          <w:p w14:paraId="7427C80D" w14:textId="77777777" w:rsidR="00E579B9" w:rsidRDefault="006A1398">
            <w:pPr>
              <w:pStyle w:val="226"/>
              <w:spacing w:line="360" w:lineRule="exact"/>
              <w:ind w:firstLineChars="0" w:firstLine="0"/>
              <w:jc w:val="center"/>
              <w:rPr>
                <w:sz w:val="21"/>
                <w:szCs w:val="21"/>
              </w:rPr>
            </w:pPr>
            <w:r>
              <w:rPr>
                <w:rFonts w:hint="eastAsia"/>
                <w:sz w:val="21"/>
                <w:szCs w:val="21"/>
              </w:rPr>
              <w:t>3</w:t>
            </w:r>
          </w:p>
        </w:tc>
        <w:tc>
          <w:tcPr>
            <w:tcW w:w="1313" w:type="dxa"/>
            <w:vAlign w:val="center"/>
          </w:tcPr>
          <w:p w14:paraId="3532880B"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装载机</w:t>
            </w:r>
          </w:p>
        </w:tc>
        <w:tc>
          <w:tcPr>
            <w:tcW w:w="994" w:type="dxa"/>
            <w:vAlign w:val="center"/>
          </w:tcPr>
          <w:p w14:paraId="6E99E86F" w14:textId="77777777" w:rsidR="00E579B9" w:rsidRDefault="006A1398">
            <w:pPr>
              <w:pStyle w:val="226"/>
              <w:spacing w:line="360" w:lineRule="exact"/>
              <w:ind w:firstLineChars="0" w:firstLine="0"/>
              <w:jc w:val="center"/>
              <w:rPr>
                <w:sz w:val="21"/>
                <w:szCs w:val="21"/>
              </w:rPr>
            </w:pPr>
            <w:r>
              <w:rPr>
                <w:rFonts w:hint="eastAsia"/>
                <w:sz w:val="21"/>
                <w:szCs w:val="21"/>
              </w:rPr>
              <w:t>74.5</w:t>
            </w:r>
          </w:p>
        </w:tc>
        <w:tc>
          <w:tcPr>
            <w:tcW w:w="994" w:type="dxa"/>
            <w:vAlign w:val="center"/>
          </w:tcPr>
          <w:p w14:paraId="2176CD62" w14:textId="77777777" w:rsidR="00E579B9" w:rsidRDefault="006A1398">
            <w:pPr>
              <w:pStyle w:val="226"/>
              <w:spacing w:line="360" w:lineRule="exact"/>
              <w:ind w:firstLineChars="0" w:firstLine="0"/>
              <w:jc w:val="center"/>
              <w:rPr>
                <w:sz w:val="21"/>
                <w:szCs w:val="21"/>
              </w:rPr>
            </w:pPr>
            <w:r>
              <w:rPr>
                <w:rFonts w:hint="eastAsia"/>
                <w:sz w:val="21"/>
                <w:szCs w:val="21"/>
              </w:rPr>
              <w:t>60.6</w:t>
            </w:r>
          </w:p>
        </w:tc>
        <w:tc>
          <w:tcPr>
            <w:tcW w:w="994" w:type="dxa"/>
            <w:vAlign w:val="center"/>
          </w:tcPr>
          <w:p w14:paraId="65B1E12C" w14:textId="77777777" w:rsidR="00E579B9" w:rsidRDefault="006A1398">
            <w:pPr>
              <w:pStyle w:val="226"/>
              <w:spacing w:line="360" w:lineRule="exact"/>
              <w:ind w:firstLineChars="0" w:firstLine="0"/>
              <w:jc w:val="center"/>
              <w:rPr>
                <w:sz w:val="21"/>
                <w:szCs w:val="21"/>
              </w:rPr>
            </w:pPr>
            <w:r>
              <w:rPr>
                <w:rFonts w:hint="eastAsia"/>
                <w:sz w:val="21"/>
                <w:szCs w:val="21"/>
              </w:rPr>
              <w:t>54.5</w:t>
            </w:r>
          </w:p>
        </w:tc>
        <w:tc>
          <w:tcPr>
            <w:tcW w:w="994" w:type="dxa"/>
            <w:vAlign w:val="center"/>
          </w:tcPr>
          <w:p w14:paraId="74183424" w14:textId="77777777" w:rsidR="00E579B9" w:rsidRDefault="006A1398">
            <w:pPr>
              <w:pStyle w:val="226"/>
              <w:spacing w:line="360" w:lineRule="exact"/>
              <w:ind w:firstLineChars="0" w:firstLine="0"/>
              <w:jc w:val="center"/>
              <w:rPr>
                <w:sz w:val="21"/>
                <w:szCs w:val="21"/>
              </w:rPr>
            </w:pPr>
            <w:r>
              <w:rPr>
                <w:rFonts w:hint="eastAsia"/>
                <w:sz w:val="21"/>
                <w:szCs w:val="21"/>
              </w:rPr>
              <w:t>51</w:t>
            </w:r>
          </w:p>
        </w:tc>
        <w:tc>
          <w:tcPr>
            <w:tcW w:w="994" w:type="dxa"/>
            <w:vAlign w:val="center"/>
          </w:tcPr>
          <w:p w14:paraId="5F953D24" w14:textId="77777777" w:rsidR="00E579B9" w:rsidRDefault="006A1398">
            <w:pPr>
              <w:pStyle w:val="226"/>
              <w:spacing w:line="360" w:lineRule="exact"/>
              <w:ind w:firstLineChars="0" w:firstLine="0"/>
              <w:jc w:val="center"/>
              <w:rPr>
                <w:sz w:val="21"/>
                <w:szCs w:val="21"/>
              </w:rPr>
            </w:pPr>
            <w:r>
              <w:rPr>
                <w:rFonts w:hint="eastAsia"/>
                <w:sz w:val="21"/>
                <w:szCs w:val="21"/>
              </w:rPr>
              <w:t>48.5</w:t>
            </w:r>
          </w:p>
        </w:tc>
        <w:tc>
          <w:tcPr>
            <w:tcW w:w="994" w:type="dxa"/>
            <w:vAlign w:val="center"/>
          </w:tcPr>
          <w:p w14:paraId="7B5775DA" w14:textId="77777777" w:rsidR="00E579B9" w:rsidRDefault="006A1398">
            <w:pPr>
              <w:pStyle w:val="226"/>
              <w:spacing w:line="360" w:lineRule="exact"/>
              <w:ind w:firstLineChars="0" w:firstLine="0"/>
              <w:jc w:val="center"/>
              <w:rPr>
                <w:sz w:val="21"/>
                <w:szCs w:val="21"/>
              </w:rPr>
            </w:pPr>
            <w:r>
              <w:rPr>
                <w:rFonts w:hint="eastAsia"/>
                <w:sz w:val="21"/>
                <w:szCs w:val="21"/>
              </w:rPr>
              <w:t>46.6</w:t>
            </w:r>
          </w:p>
        </w:tc>
        <w:tc>
          <w:tcPr>
            <w:tcW w:w="994" w:type="dxa"/>
            <w:vAlign w:val="center"/>
          </w:tcPr>
          <w:p w14:paraId="65511BFD" w14:textId="77777777" w:rsidR="00E579B9" w:rsidRDefault="006A1398">
            <w:pPr>
              <w:pStyle w:val="226"/>
              <w:spacing w:line="360" w:lineRule="exact"/>
              <w:ind w:firstLineChars="0" w:firstLine="0"/>
              <w:jc w:val="center"/>
              <w:rPr>
                <w:sz w:val="21"/>
                <w:szCs w:val="21"/>
              </w:rPr>
            </w:pPr>
            <w:r>
              <w:rPr>
                <w:rFonts w:hint="eastAsia"/>
                <w:sz w:val="21"/>
                <w:szCs w:val="21"/>
              </w:rPr>
              <w:t>44.9</w:t>
            </w:r>
          </w:p>
        </w:tc>
      </w:tr>
      <w:tr w:rsidR="00E579B9" w14:paraId="59D5EB35" w14:textId="77777777">
        <w:tc>
          <w:tcPr>
            <w:tcW w:w="675" w:type="dxa"/>
            <w:vAlign w:val="center"/>
          </w:tcPr>
          <w:p w14:paraId="183520E8" w14:textId="77777777" w:rsidR="00E579B9" w:rsidRDefault="006A1398">
            <w:pPr>
              <w:pStyle w:val="226"/>
              <w:spacing w:line="360" w:lineRule="exact"/>
              <w:ind w:firstLineChars="0" w:firstLine="0"/>
              <w:jc w:val="center"/>
              <w:rPr>
                <w:sz w:val="21"/>
                <w:szCs w:val="21"/>
              </w:rPr>
            </w:pPr>
            <w:r>
              <w:rPr>
                <w:rFonts w:hint="eastAsia"/>
                <w:sz w:val="21"/>
                <w:szCs w:val="21"/>
              </w:rPr>
              <w:t>4</w:t>
            </w:r>
          </w:p>
        </w:tc>
        <w:tc>
          <w:tcPr>
            <w:tcW w:w="1313" w:type="dxa"/>
            <w:vAlign w:val="center"/>
          </w:tcPr>
          <w:p w14:paraId="493C2D56"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汽车</w:t>
            </w:r>
          </w:p>
        </w:tc>
        <w:tc>
          <w:tcPr>
            <w:tcW w:w="994" w:type="dxa"/>
            <w:vAlign w:val="center"/>
          </w:tcPr>
          <w:p w14:paraId="24A419E8" w14:textId="77777777" w:rsidR="00E579B9" w:rsidRDefault="006A1398">
            <w:pPr>
              <w:pStyle w:val="226"/>
              <w:spacing w:line="360" w:lineRule="exact"/>
              <w:ind w:firstLineChars="0" w:firstLine="0"/>
              <w:jc w:val="center"/>
              <w:rPr>
                <w:sz w:val="21"/>
                <w:szCs w:val="21"/>
              </w:rPr>
            </w:pPr>
            <w:r>
              <w:rPr>
                <w:rFonts w:hint="eastAsia"/>
                <w:sz w:val="21"/>
                <w:szCs w:val="21"/>
              </w:rPr>
              <w:t>77.5</w:t>
            </w:r>
          </w:p>
        </w:tc>
        <w:tc>
          <w:tcPr>
            <w:tcW w:w="994" w:type="dxa"/>
            <w:vAlign w:val="center"/>
          </w:tcPr>
          <w:p w14:paraId="46828EB4" w14:textId="77777777" w:rsidR="00E579B9" w:rsidRDefault="006A1398">
            <w:pPr>
              <w:pStyle w:val="226"/>
              <w:spacing w:line="360" w:lineRule="exact"/>
              <w:ind w:firstLineChars="0" w:firstLine="0"/>
              <w:jc w:val="center"/>
              <w:rPr>
                <w:sz w:val="21"/>
                <w:szCs w:val="21"/>
              </w:rPr>
            </w:pPr>
            <w:r>
              <w:rPr>
                <w:rFonts w:hint="eastAsia"/>
                <w:sz w:val="21"/>
                <w:szCs w:val="21"/>
              </w:rPr>
              <w:t>63.5</w:t>
            </w:r>
          </w:p>
        </w:tc>
        <w:tc>
          <w:tcPr>
            <w:tcW w:w="994" w:type="dxa"/>
            <w:vAlign w:val="center"/>
          </w:tcPr>
          <w:p w14:paraId="19A97CCA" w14:textId="77777777" w:rsidR="00E579B9" w:rsidRDefault="006A1398">
            <w:pPr>
              <w:pStyle w:val="226"/>
              <w:spacing w:line="360" w:lineRule="exact"/>
              <w:ind w:firstLineChars="0" w:firstLine="0"/>
              <w:jc w:val="center"/>
              <w:rPr>
                <w:sz w:val="21"/>
                <w:szCs w:val="21"/>
              </w:rPr>
            </w:pPr>
            <w:r>
              <w:rPr>
                <w:rFonts w:hint="eastAsia"/>
                <w:sz w:val="21"/>
                <w:szCs w:val="21"/>
              </w:rPr>
              <w:t>57.5</w:t>
            </w:r>
          </w:p>
        </w:tc>
        <w:tc>
          <w:tcPr>
            <w:tcW w:w="994" w:type="dxa"/>
            <w:vAlign w:val="center"/>
          </w:tcPr>
          <w:p w14:paraId="16250C5B" w14:textId="77777777" w:rsidR="00E579B9" w:rsidRDefault="006A1398">
            <w:pPr>
              <w:pStyle w:val="226"/>
              <w:spacing w:line="360" w:lineRule="exact"/>
              <w:ind w:firstLineChars="0" w:firstLine="0"/>
              <w:jc w:val="center"/>
              <w:rPr>
                <w:sz w:val="21"/>
                <w:szCs w:val="21"/>
              </w:rPr>
            </w:pPr>
            <w:r>
              <w:rPr>
                <w:rFonts w:hint="eastAsia"/>
                <w:sz w:val="21"/>
                <w:szCs w:val="21"/>
              </w:rPr>
              <w:t>54</w:t>
            </w:r>
          </w:p>
        </w:tc>
        <w:tc>
          <w:tcPr>
            <w:tcW w:w="994" w:type="dxa"/>
            <w:vAlign w:val="center"/>
          </w:tcPr>
          <w:p w14:paraId="2657B0AA" w14:textId="77777777" w:rsidR="00E579B9" w:rsidRDefault="006A1398">
            <w:pPr>
              <w:pStyle w:val="226"/>
              <w:spacing w:line="360" w:lineRule="exact"/>
              <w:ind w:firstLineChars="0" w:firstLine="0"/>
              <w:jc w:val="center"/>
              <w:rPr>
                <w:sz w:val="21"/>
                <w:szCs w:val="21"/>
              </w:rPr>
            </w:pPr>
            <w:r>
              <w:rPr>
                <w:rFonts w:hint="eastAsia"/>
                <w:sz w:val="21"/>
                <w:szCs w:val="21"/>
              </w:rPr>
              <w:t>51.5</w:t>
            </w:r>
          </w:p>
        </w:tc>
        <w:tc>
          <w:tcPr>
            <w:tcW w:w="994" w:type="dxa"/>
            <w:vAlign w:val="center"/>
          </w:tcPr>
          <w:p w14:paraId="0D2126AE" w14:textId="77777777" w:rsidR="00E579B9" w:rsidRDefault="006A1398">
            <w:pPr>
              <w:pStyle w:val="226"/>
              <w:spacing w:line="360" w:lineRule="exact"/>
              <w:ind w:firstLineChars="0" w:firstLine="0"/>
              <w:jc w:val="center"/>
              <w:rPr>
                <w:sz w:val="21"/>
                <w:szCs w:val="21"/>
              </w:rPr>
            </w:pPr>
            <w:r>
              <w:rPr>
                <w:rFonts w:hint="eastAsia"/>
                <w:sz w:val="21"/>
                <w:szCs w:val="21"/>
              </w:rPr>
              <w:t>49.5</w:t>
            </w:r>
          </w:p>
        </w:tc>
        <w:tc>
          <w:tcPr>
            <w:tcW w:w="994" w:type="dxa"/>
            <w:vAlign w:val="center"/>
          </w:tcPr>
          <w:p w14:paraId="4BD5882C" w14:textId="77777777" w:rsidR="00E579B9" w:rsidRDefault="006A1398">
            <w:pPr>
              <w:pStyle w:val="226"/>
              <w:spacing w:line="360" w:lineRule="exact"/>
              <w:ind w:firstLineChars="0" w:firstLine="0"/>
              <w:jc w:val="center"/>
              <w:rPr>
                <w:sz w:val="21"/>
                <w:szCs w:val="21"/>
              </w:rPr>
            </w:pPr>
            <w:r>
              <w:rPr>
                <w:rFonts w:hint="eastAsia"/>
                <w:sz w:val="21"/>
                <w:szCs w:val="21"/>
              </w:rPr>
              <w:t>47.9</w:t>
            </w:r>
          </w:p>
        </w:tc>
      </w:tr>
    </w:tbl>
    <w:p w14:paraId="7EAD2751" w14:textId="77777777" w:rsidR="00E579B9" w:rsidRDefault="006A1398">
      <w:pPr>
        <w:pStyle w:val="226"/>
      </w:pPr>
      <w:r>
        <w:rPr>
          <w:rFonts w:hint="eastAsia"/>
        </w:rPr>
        <w:t>项目建设期噪声排放标准执行《建筑施工场界环境噪声排放标准》（</w:t>
      </w:r>
      <w:r>
        <w:rPr>
          <w:rFonts w:hint="eastAsia"/>
        </w:rPr>
        <w:t>GB12523-2011</w:t>
      </w:r>
      <w:r>
        <w:rPr>
          <w:rFonts w:hint="eastAsia"/>
        </w:rPr>
        <w:t>）中相关标准，具体见表</w:t>
      </w:r>
      <w:r>
        <w:rPr>
          <w:rFonts w:hint="eastAsia"/>
        </w:rPr>
        <w:t>5</w:t>
      </w:r>
      <w:r>
        <w:t>.1</w:t>
      </w:r>
      <w:r>
        <w:rPr>
          <w:rFonts w:hint="eastAsia"/>
        </w:rPr>
        <w:t>-3</w:t>
      </w:r>
      <w:r>
        <w:rPr>
          <w:rFonts w:hint="eastAsia"/>
        </w:rPr>
        <w:t>。</w:t>
      </w:r>
    </w:p>
    <w:p w14:paraId="53CA512D" w14:textId="70A60452" w:rsidR="00E579B9" w:rsidRDefault="006A1398">
      <w:pPr>
        <w:pStyle w:val="226"/>
        <w:jc w:val="center"/>
        <w:rPr>
          <w:rFonts w:eastAsia="黑体" w:cs="Times New Roman"/>
        </w:rPr>
      </w:pPr>
      <w:r>
        <w:rPr>
          <w:rFonts w:eastAsia="黑体" w:cs="Times New Roman"/>
        </w:rPr>
        <w:t>表</w:t>
      </w:r>
      <w:r>
        <w:rPr>
          <w:rFonts w:eastAsia="黑体" w:cs="Times New Roman" w:hint="eastAsia"/>
        </w:rPr>
        <w:t>5</w:t>
      </w:r>
      <w:r>
        <w:rPr>
          <w:rFonts w:eastAsia="黑体" w:cs="Times New Roman"/>
        </w:rPr>
        <w:t>.1</w:t>
      </w:r>
      <w:r>
        <w:rPr>
          <w:rFonts w:eastAsia="黑体" w:cs="Times New Roman" w:hint="eastAsia"/>
        </w:rPr>
        <w:t>-3</w:t>
      </w:r>
      <w:r>
        <w:rPr>
          <w:rFonts w:eastAsia="黑体" w:cs="Times New Roman" w:hint="eastAsia"/>
        </w:rPr>
        <w:t>建筑施工场界噪声排放标准</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2659"/>
        <w:gridCol w:w="3026"/>
      </w:tblGrid>
      <w:tr w:rsidR="00E579B9" w14:paraId="0F6A31F7" w14:textId="77777777">
        <w:tc>
          <w:tcPr>
            <w:tcW w:w="3261" w:type="dxa"/>
            <w:vAlign w:val="center"/>
          </w:tcPr>
          <w:p w14:paraId="139903D7" w14:textId="77777777" w:rsidR="00E579B9" w:rsidRDefault="006A1398">
            <w:pPr>
              <w:pStyle w:val="226"/>
              <w:spacing w:line="360" w:lineRule="exact"/>
              <w:ind w:firstLineChars="0" w:firstLine="0"/>
              <w:jc w:val="center"/>
              <w:rPr>
                <w:sz w:val="21"/>
                <w:szCs w:val="21"/>
              </w:rPr>
            </w:pPr>
            <w:r>
              <w:rPr>
                <w:rFonts w:hint="eastAsia"/>
                <w:sz w:val="21"/>
                <w:szCs w:val="21"/>
              </w:rPr>
              <w:t>标准</w:t>
            </w:r>
          </w:p>
        </w:tc>
        <w:tc>
          <w:tcPr>
            <w:tcW w:w="2659" w:type="dxa"/>
            <w:vAlign w:val="center"/>
          </w:tcPr>
          <w:p w14:paraId="7035166F" w14:textId="77777777" w:rsidR="00E579B9" w:rsidRDefault="006A1398">
            <w:pPr>
              <w:pStyle w:val="226"/>
              <w:spacing w:line="360" w:lineRule="exact"/>
              <w:ind w:firstLineChars="0" w:firstLine="0"/>
              <w:jc w:val="center"/>
              <w:rPr>
                <w:sz w:val="21"/>
                <w:szCs w:val="21"/>
              </w:rPr>
            </w:pPr>
            <w:r>
              <w:rPr>
                <w:rFonts w:hint="eastAsia"/>
                <w:sz w:val="21"/>
                <w:szCs w:val="21"/>
              </w:rPr>
              <w:t>昼间</w:t>
            </w:r>
          </w:p>
        </w:tc>
        <w:tc>
          <w:tcPr>
            <w:tcW w:w="3026" w:type="dxa"/>
            <w:vAlign w:val="center"/>
          </w:tcPr>
          <w:p w14:paraId="3FAA9D88" w14:textId="77777777" w:rsidR="00E579B9" w:rsidRDefault="006A1398">
            <w:pPr>
              <w:pStyle w:val="226"/>
              <w:spacing w:line="360" w:lineRule="exact"/>
              <w:ind w:firstLineChars="0" w:firstLine="0"/>
              <w:jc w:val="center"/>
              <w:rPr>
                <w:sz w:val="21"/>
                <w:szCs w:val="21"/>
              </w:rPr>
            </w:pPr>
            <w:r>
              <w:rPr>
                <w:rFonts w:hint="eastAsia"/>
                <w:sz w:val="21"/>
                <w:szCs w:val="21"/>
              </w:rPr>
              <w:t>夜间</w:t>
            </w:r>
          </w:p>
        </w:tc>
      </w:tr>
      <w:tr w:rsidR="00E579B9" w14:paraId="35A0F90B" w14:textId="77777777">
        <w:tc>
          <w:tcPr>
            <w:tcW w:w="3261" w:type="dxa"/>
            <w:vAlign w:val="center"/>
          </w:tcPr>
          <w:p w14:paraId="780B961C" w14:textId="77777777" w:rsidR="00E579B9" w:rsidRDefault="006A1398">
            <w:pPr>
              <w:pStyle w:val="226"/>
              <w:spacing w:line="360" w:lineRule="exact"/>
              <w:ind w:firstLineChars="0" w:firstLine="0"/>
              <w:jc w:val="center"/>
              <w:rPr>
                <w:sz w:val="21"/>
                <w:szCs w:val="21"/>
              </w:rPr>
            </w:pPr>
            <w:r>
              <w:rPr>
                <w:rFonts w:hint="eastAsia"/>
                <w:sz w:val="21"/>
                <w:szCs w:val="21"/>
              </w:rPr>
              <w:lastRenderedPageBreak/>
              <w:t>《建筑施工场界环境噪声排放标准》（</w:t>
            </w:r>
            <w:r>
              <w:rPr>
                <w:rFonts w:hint="eastAsia"/>
                <w:sz w:val="21"/>
                <w:szCs w:val="21"/>
              </w:rPr>
              <w:t>GB12523-2011</w:t>
            </w:r>
            <w:r>
              <w:rPr>
                <w:rFonts w:hint="eastAsia"/>
                <w:sz w:val="21"/>
                <w:szCs w:val="21"/>
              </w:rPr>
              <w:t>）</w:t>
            </w:r>
          </w:p>
        </w:tc>
        <w:tc>
          <w:tcPr>
            <w:tcW w:w="2659" w:type="dxa"/>
            <w:vAlign w:val="center"/>
          </w:tcPr>
          <w:p w14:paraId="6F8AB804" w14:textId="77777777" w:rsidR="00E579B9" w:rsidRDefault="006A1398">
            <w:pPr>
              <w:pStyle w:val="226"/>
              <w:spacing w:line="360" w:lineRule="exact"/>
              <w:ind w:firstLineChars="0" w:firstLine="0"/>
              <w:jc w:val="center"/>
              <w:rPr>
                <w:sz w:val="21"/>
                <w:szCs w:val="21"/>
              </w:rPr>
            </w:pPr>
            <w:r>
              <w:rPr>
                <w:rFonts w:hint="eastAsia"/>
                <w:sz w:val="21"/>
                <w:szCs w:val="21"/>
              </w:rPr>
              <w:t>70dB(A)</w:t>
            </w:r>
          </w:p>
        </w:tc>
        <w:tc>
          <w:tcPr>
            <w:tcW w:w="3026" w:type="dxa"/>
            <w:vAlign w:val="center"/>
          </w:tcPr>
          <w:p w14:paraId="37C2576E" w14:textId="77777777" w:rsidR="00E579B9" w:rsidRDefault="006A1398">
            <w:pPr>
              <w:pStyle w:val="226"/>
              <w:spacing w:line="360" w:lineRule="exact"/>
              <w:ind w:firstLineChars="0" w:firstLine="0"/>
              <w:jc w:val="center"/>
              <w:rPr>
                <w:sz w:val="21"/>
                <w:szCs w:val="21"/>
              </w:rPr>
            </w:pPr>
            <w:r>
              <w:rPr>
                <w:rFonts w:hint="eastAsia"/>
                <w:sz w:val="21"/>
                <w:szCs w:val="21"/>
              </w:rPr>
              <w:t>55dB(A)</w:t>
            </w:r>
          </w:p>
        </w:tc>
      </w:tr>
    </w:tbl>
    <w:p w14:paraId="7B7EEBEA" w14:textId="77777777" w:rsidR="00E579B9" w:rsidRDefault="006A1398">
      <w:pPr>
        <w:pStyle w:val="226"/>
      </w:pPr>
      <w:r>
        <w:rPr>
          <w:rFonts w:hint="eastAsia"/>
        </w:rPr>
        <w:t>比较表</w:t>
      </w:r>
      <w:r>
        <w:rPr>
          <w:rFonts w:hint="eastAsia"/>
        </w:rPr>
        <w:t>5</w:t>
      </w:r>
      <w:r>
        <w:t>.1-2</w:t>
      </w:r>
      <w:r>
        <w:rPr>
          <w:rFonts w:hint="eastAsia"/>
        </w:rPr>
        <w:t>中的噪声值可以看出，昼间施工距施工现场</w:t>
      </w:r>
      <w:r>
        <w:t>50m</w:t>
      </w:r>
      <w:r>
        <w:rPr>
          <w:rFonts w:hint="eastAsia"/>
        </w:rPr>
        <w:t>处、夜间施工距施工现场</w:t>
      </w:r>
      <w:r>
        <w:rPr>
          <w:rFonts w:hint="eastAsia"/>
        </w:rPr>
        <w:t>100m</w:t>
      </w:r>
      <w:r>
        <w:rPr>
          <w:rFonts w:hint="eastAsia"/>
        </w:rPr>
        <w:t>处即可满足《建筑施工场界环境噪声排放标准》（</w:t>
      </w:r>
      <w:r>
        <w:t>GB12523-2011</w:t>
      </w:r>
      <w:r>
        <w:rPr>
          <w:rFonts w:hint="eastAsia"/>
        </w:rPr>
        <w:t>）。</w:t>
      </w:r>
    </w:p>
    <w:p w14:paraId="4F2D76CE" w14:textId="77777777" w:rsidR="00E579B9" w:rsidRDefault="006A1398">
      <w:pPr>
        <w:pStyle w:val="226"/>
      </w:pPr>
      <w:r>
        <w:rPr>
          <w:rFonts w:hint="eastAsia"/>
        </w:rPr>
        <w:t>根据调查，距离项目露采施工区最近的敏感点为东侧</w:t>
      </w:r>
      <w:r>
        <w:rPr>
          <w:rFonts w:hint="eastAsia"/>
        </w:rPr>
        <w:t>457m</w:t>
      </w:r>
      <w:r>
        <w:rPr>
          <w:rFonts w:hint="eastAsia"/>
        </w:rPr>
        <w:t>处的傅</w:t>
      </w:r>
      <w:proofErr w:type="gramStart"/>
      <w:r>
        <w:t>埂</w:t>
      </w:r>
      <w:proofErr w:type="gramEnd"/>
      <w:r>
        <w:rPr>
          <w:rFonts w:hint="eastAsia"/>
        </w:rPr>
        <w:t>村，距离较远，项目施工噪声对其影响较小，为减轻施工噪声对周围环境及施工人员和周围环境的影响，环评建议：</w:t>
      </w:r>
    </w:p>
    <w:p w14:paraId="1E338DFC" w14:textId="77777777" w:rsidR="00E579B9" w:rsidRDefault="006A1398">
      <w:pPr>
        <w:pStyle w:val="226"/>
      </w:pPr>
      <w:r>
        <w:rPr>
          <w:rFonts w:hint="eastAsia"/>
        </w:rPr>
        <w:t>①选择性能良好且低噪声的施工机械，并注意保养，维持其最低噪声水平；</w:t>
      </w:r>
    </w:p>
    <w:p w14:paraId="3ADACB86" w14:textId="77777777" w:rsidR="00E579B9" w:rsidRDefault="006A1398">
      <w:pPr>
        <w:pStyle w:val="226"/>
      </w:pPr>
      <w:r>
        <w:rPr>
          <w:rFonts w:hint="eastAsia"/>
        </w:rPr>
        <w:t>②对机械操作人员采取轮流工作制，减少工人接触高噪声的时间；</w:t>
      </w:r>
    </w:p>
    <w:p w14:paraId="76BE9863" w14:textId="77777777" w:rsidR="00E579B9" w:rsidRDefault="006A1398">
      <w:pPr>
        <w:pStyle w:val="226"/>
      </w:pPr>
      <w:r>
        <w:rPr>
          <w:rFonts w:hint="eastAsia"/>
        </w:rPr>
        <w:t>③施工时近村庄侧设置临时遮挡；合理安排施工时间，夜间禁止施工；</w:t>
      </w:r>
    </w:p>
    <w:p w14:paraId="08E8FD76" w14:textId="77777777" w:rsidR="00E579B9" w:rsidRDefault="006A1398">
      <w:pPr>
        <w:pStyle w:val="226"/>
      </w:pPr>
      <w:r>
        <w:rPr>
          <w:rFonts w:hint="eastAsia"/>
        </w:rPr>
        <w:t>④物料运输车辆安排在白天进出，禁止夜间运输，防止对运输沿线村民造成影响。</w:t>
      </w:r>
    </w:p>
    <w:p w14:paraId="6D505621" w14:textId="77777777" w:rsidR="00E579B9" w:rsidRDefault="006A1398">
      <w:pPr>
        <w:pStyle w:val="226"/>
        <w:rPr>
          <w:rFonts w:ascii="宋体" w:hAnsi="Calibri"/>
          <w:kern w:val="0"/>
        </w:rPr>
      </w:pPr>
      <w:r>
        <w:rPr>
          <w:rFonts w:ascii="宋体" w:hAnsi="Calibri" w:hint="eastAsia"/>
          <w:kern w:val="0"/>
        </w:rPr>
        <w:t>采取上述环</w:t>
      </w:r>
      <w:proofErr w:type="gramStart"/>
      <w:r>
        <w:rPr>
          <w:rFonts w:ascii="宋体" w:hAnsi="Calibri" w:hint="eastAsia"/>
          <w:kern w:val="0"/>
        </w:rPr>
        <w:t>评建议</w:t>
      </w:r>
      <w:proofErr w:type="gramEnd"/>
      <w:r>
        <w:rPr>
          <w:rFonts w:ascii="宋体" w:hAnsi="Calibri" w:hint="eastAsia"/>
          <w:kern w:val="0"/>
        </w:rPr>
        <w:t>措施后，项目建设</w:t>
      </w:r>
      <w:proofErr w:type="gramStart"/>
      <w:r>
        <w:rPr>
          <w:rFonts w:ascii="宋体" w:hAnsi="Calibri" w:hint="eastAsia"/>
          <w:kern w:val="0"/>
        </w:rPr>
        <w:t>期施工</w:t>
      </w:r>
      <w:proofErr w:type="gramEnd"/>
      <w:r>
        <w:rPr>
          <w:rFonts w:ascii="宋体" w:hAnsi="Calibri" w:hint="eastAsia"/>
          <w:kern w:val="0"/>
        </w:rPr>
        <w:t>噪声对周围环境影响不大。</w:t>
      </w:r>
    </w:p>
    <w:p w14:paraId="3E052E05" w14:textId="77777777" w:rsidR="00E579B9" w:rsidRDefault="006A1398">
      <w:pPr>
        <w:pStyle w:val="3"/>
        <w:ind w:firstLine="560"/>
      </w:pPr>
      <w:bookmarkStart w:id="231" w:name="_Toc531939574"/>
      <w:bookmarkStart w:id="232" w:name="_Toc2206"/>
      <w:bookmarkStart w:id="233" w:name="_Toc531939363"/>
      <w:r>
        <w:rPr>
          <w:rFonts w:hint="eastAsia"/>
        </w:rPr>
        <w:t>5.1</w:t>
      </w:r>
      <w:r>
        <w:t>.4</w:t>
      </w:r>
      <w:r>
        <w:t>建设期固体废弃物对环境影响分析</w:t>
      </w:r>
      <w:bookmarkEnd w:id="231"/>
      <w:bookmarkEnd w:id="232"/>
      <w:bookmarkEnd w:id="233"/>
    </w:p>
    <w:p w14:paraId="67C33D5F" w14:textId="77777777" w:rsidR="00E579B9" w:rsidRDefault="006A1398">
      <w:pPr>
        <w:rPr>
          <w:spacing w:val="-2"/>
        </w:rPr>
      </w:pPr>
      <w:r>
        <w:t>本项目矿区建设期产生的固体废物</w:t>
      </w:r>
      <w:r>
        <w:rPr>
          <w:rFonts w:hint="eastAsia"/>
        </w:rPr>
        <w:t>主要为剥离表土废石和生活垃圾。</w:t>
      </w:r>
    </w:p>
    <w:p w14:paraId="48165142" w14:textId="77777777" w:rsidR="00E579B9" w:rsidRDefault="006A1398">
      <w:r>
        <w:t>根据项目开发利用方案，</w:t>
      </w:r>
      <w:r>
        <w:rPr>
          <w:rFonts w:hint="eastAsia"/>
        </w:rPr>
        <w:t>根据矿方与当地砖厂的协议，剥离出的风化岩层出售给砖厂，综合利用。剥离表土前期堆存在矿区南部的平缓地带，在</w:t>
      </w:r>
      <w:proofErr w:type="gramStart"/>
      <w:r>
        <w:rPr>
          <w:rFonts w:hint="eastAsia"/>
        </w:rPr>
        <w:t>表土场坡</w:t>
      </w:r>
      <w:proofErr w:type="gramEnd"/>
      <w:r>
        <w:rPr>
          <w:rFonts w:hint="eastAsia"/>
        </w:rPr>
        <w:t>底部周围设挡土墙、块石护坡和绿化防护屏障，并设喷洒水装置进行抑尘。后期随着部分最终边坡的形成，剥离的表土直接用于边坡的复垦。</w:t>
      </w:r>
    </w:p>
    <w:p w14:paraId="1B383276" w14:textId="77777777" w:rsidR="00E579B9" w:rsidRDefault="006A1398">
      <w:r>
        <w:rPr>
          <w:rFonts w:hint="eastAsia"/>
        </w:rPr>
        <w:t>本项目建设期产生的生活垃圾由施工队设置临时生活垃圾收集箱，定期运送至垃圾中转站。</w:t>
      </w:r>
    </w:p>
    <w:p w14:paraId="55F49868" w14:textId="77777777" w:rsidR="00E579B9" w:rsidRDefault="006A1398">
      <w:r>
        <w:rPr>
          <w:rFonts w:hint="eastAsia"/>
        </w:rPr>
        <w:t>综上所述，本项目建设期产生的固体废弃物对周围环境影响不大。</w:t>
      </w:r>
    </w:p>
    <w:p w14:paraId="2387A8D2" w14:textId="77777777" w:rsidR="00E579B9" w:rsidRDefault="006A1398">
      <w:pPr>
        <w:pStyle w:val="3"/>
        <w:ind w:firstLine="560"/>
      </w:pPr>
      <w:bookmarkStart w:id="234" w:name="_Toc531939575"/>
      <w:bookmarkStart w:id="235" w:name="_Toc531939364"/>
      <w:r>
        <w:rPr>
          <w:rFonts w:hint="eastAsia"/>
        </w:rPr>
        <w:t>5.1</w:t>
      </w:r>
      <w:r>
        <w:t>.5</w:t>
      </w:r>
      <w:r>
        <w:rPr>
          <w:rFonts w:hint="eastAsia"/>
        </w:rPr>
        <w:t>建设期生态环境影响分析</w:t>
      </w:r>
      <w:bookmarkEnd w:id="234"/>
      <w:bookmarkEnd w:id="235"/>
    </w:p>
    <w:p w14:paraId="26644E5E" w14:textId="77777777" w:rsidR="00E579B9" w:rsidRDefault="006A1398">
      <w:r>
        <w:rPr>
          <w:rFonts w:hint="eastAsia"/>
        </w:rPr>
        <w:t>项目建设对生态环境的影响主要是工程占地的影响，建设会造成一定的生物损失及水土流失，此外表土的堆放也对水土流失造成一定影响，建议在建设</w:t>
      </w:r>
      <w:proofErr w:type="gramStart"/>
      <w:r>
        <w:rPr>
          <w:rFonts w:hint="eastAsia"/>
        </w:rPr>
        <w:t>期施工</w:t>
      </w:r>
      <w:proofErr w:type="gramEnd"/>
      <w:r>
        <w:rPr>
          <w:rFonts w:hint="eastAsia"/>
        </w:rPr>
        <w:t>过程中启动生态恢复工程实施生态恢复，因此实际对生态的不利影响时间较短，可恢复，影响不大。</w:t>
      </w:r>
    </w:p>
    <w:p w14:paraId="711F29F6" w14:textId="77777777" w:rsidR="00E579B9" w:rsidRDefault="006A1398">
      <w:pPr>
        <w:pStyle w:val="2"/>
        <w:ind w:firstLine="560"/>
      </w:pPr>
      <w:bookmarkStart w:id="236" w:name="_Toc531939365"/>
      <w:bookmarkStart w:id="237" w:name="_Toc531939576"/>
      <w:bookmarkStart w:id="238" w:name="_Toc15416"/>
      <w:bookmarkStart w:id="239" w:name="_Toc33021807"/>
      <w:r>
        <w:rPr>
          <w:rFonts w:hint="eastAsia"/>
        </w:rPr>
        <w:lastRenderedPageBreak/>
        <w:t>5.2</w:t>
      </w:r>
      <w:r>
        <w:t>矿山营运期环境影响分析</w:t>
      </w:r>
      <w:bookmarkEnd w:id="236"/>
      <w:bookmarkEnd w:id="237"/>
      <w:bookmarkEnd w:id="238"/>
      <w:bookmarkEnd w:id="239"/>
    </w:p>
    <w:p w14:paraId="5399BCF3" w14:textId="77777777" w:rsidR="00E579B9" w:rsidRDefault="006A1398">
      <w:pPr>
        <w:pStyle w:val="3"/>
        <w:ind w:firstLine="560"/>
        <w:rPr>
          <w:rFonts w:eastAsia="楷体_GB2312"/>
          <w:sz w:val="24"/>
          <w:szCs w:val="24"/>
        </w:rPr>
      </w:pPr>
      <w:bookmarkStart w:id="240" w:name="_Toc531939577"/>
      <w:bookmarkStart w:id="241" w:name="_Toc531939366"/>
      <w:bookmarkStart w:id="242" w:name="_Toc181089218"/>
      <w:bookmarkStart w:id="243" w:name="_Toc181088812"/>
      <w:bookmarkStart w:id="244" w:name="_Toc187038719"/>
      <w:bookmarkStart w:id="245" w:name="_Toc180680474"/>
      <w:bookmarkStart w:id="246" w:name="_Toc162358828"/>
      <w:bookmarkStart w:id="247" w:name="_Toc6400"/>
      <w:r>
        <w:rPr>
          <w:rFonts w:hint="eastAsia"/>
        </w:rPr>
        <w:t>5.2</w:t>
      </w:r>
      <w:r>
        <w:t>.1</w:t>
      </w:r>
      <w:r>
        <w:t>环境空气影响分析</w:t>
      </w:r>
      <w:bookmarkEnd w:id="240"/>
      <w:bookmarkEnd w:id="241"/>
      <w:bookmarkEnd w:id="242"/>
      <w:bookmarkEnd w:id="243"/>
      <w:bookmarkEnd w:id="244"/>
      <w:bookmarkEnd w:id="245"/>
      <w:bookmarkEnd w:id="246"/>
      <w:bookmarkEnd w:id="247"/>
    </w:p>
    <w:p w14:paraId="4BF29669" w14:textId="77777777" w:rsidR="00E579B9" w:rsidRDefault="006A1398">
      <w:pPr>
        <w:pStyle w:val="226"/>
        <w:rPr>
          <w:rFonts w:cs="Times New Roman"/>
          <w:kern w:val="0"/>
        </w:rPr>
      </w:pPr>
      <w:r>
        <w:rPr>
          <w:rFonts w:hint="eastAsia"/>
        </w:rPr>
        <w:t>项目运营期大气污染环节主要是开采矿体剥离施工扬尘，</w:t>
      </w:r>
      <w:r>
        <w:rPr>
          <w:rFonts w:cs="Times New Roman" w:hint="eastAsia"/>
        </w:rPr>
        <w:t>露天开采过程中凿岩、爆破粉尘，破碎场地矿石破碎、筛分粉尘及堆放产生的扬尘，矿石装卸及运输时产生的扬尘。</w:t>
      </w:r>
    </w:p>
    <w:p w14:paraId="348115B5" w14:textId="77777777" w:rsidR="00E579B9" w:rsidRDefault="006A1398">
      <w:r>
        <w:t>5.2.1.1</w:t>
      </w:r>
      <w:r>
        <w:rPr>
          <w:rFonts w:hint="eastAsia"/>
        </w:rPr>
        <w:t>污染物源强</w:t>
      </w:r>
    </w:p>
    <w:p w14:paraId="572A993E" w14:textId="77777777" w:rsidR="00E579B9" w:rsidRDefault="006A1398">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露天采场粉尘</w:t>
      </w:r>
    </w:p>
    <w:p w14:paraId="1845CD39" w14:textId="77777777" w:rsidR="00E579B9" w:rsidRDefault="006A1398">
      <w:pPr>
        <w:rPr>
          <w:rFonts w:cs="Times New Roman"/>
          <w:kern w:val="0"/>
        </w:rPr>
      </w:pPr>
      <w:r>
        <w:rPr>
          <w:rFonts w:cs="Times New Roman" w:hint="eastAsia"/>
          <w:kern w:val="0"/>
        </w:rPr>
        <w:t>项目露天开采粉尘主要是</w:t>
      </w:r>
      <w:r>
        <w:rPr>
          <w:rFonts w:hint="eastAsia"/>
        </w:rPr>
        <w:t>钻孔、爆破粉尘和大块矿石二次破碎粉尘及装卸运输粉尘，呈无组织排放，集中散布在采区内。</w:t>
      </w:r>
    </w:p>
    <w:p w14:paraId="48DEB42F" w14:textId="77777777" w:rsidR="00E579B9" w:rsidRDefault="006A1398">
      <w:pPr>
        <w:rPr>
          <w:rFonts w:cs="Times New Roman"/>
          <w:kern w:val="0"/>
        </w:rPr>
      </w:pPr>
      <w:r>
        <w:rPr>
          <w:rFonts w:cs="Times New Roman" w:hint="eastAsia"/>
          <w:kern w:val="0"/>
        </w:rPr>
        <w:t>根据项目工程分析内容，露天开采过程中钻孔、爆破粉尘产生量分别为</w:t>
      </w:r>
      <w:r>
        <w:rPr>
          <w:rFonts w:cs="Times New Roman" w:hint="eastAsia"/>
          <w:kern w:val="0"/>
        </w:rPr>
        <w:t>4.6t</w:t>
      </w:r>
      <w:r>
        <w:rPr>
          <w:rFonts w:cs="Times New Roman"/>
          <w:kern w:val="0"/>
        </w:rPr>
        <w:t>/a</w:t>
      </w:r>
      <w:r>
        <w:rPr>
          <w:rFonts w:cs="Times New Roman" w:hint="eastAsia"/>
          <w:kern w:val="0"/>
        </w:rPr>
        <w:t>、</w:t>
      </w:r>
      <w:r>
        <w:rPr>
          <w:rFonts w:cs="Times New Roman" w:hint="eastAsia"/>
          <w:kern w:val="0"/>
        </w:rPr>
        <w:t>46t/a</w:t>
      </w:r>
      <w:r>
        <w:rPr>
          <w:rFonts w:cs="Times New Roman" w:hint="eastAsia"/>
          <w:kern w:val="0"/>
        </w:rPr>
        <w:t>，项目开采过程中采用湿式凿岩作业，同时潜</w:t>
      </w:r>
      <w:proofErr w:type="gramStart"/>
      <w:r>
        <w:rPr>
          <w:rFonts w:cs="Times New Roman" w:hint="eastAsia"/>
          <w:kern w:val="0"/>
        </w:rPr>
        <w:t>孔钻自</w:t>
      </w:r>
      <w:proofErr w:type="gramEnd"/>
      <w:r>
        <w:rPr>
          <w:rFonts w:cs="Times New Roman" w:hint="eastAsia"/>
          <w:kern w:val="0"/>
        </w:rPr>
        <w:t>带除尘器收集粉尘，爆破采用水封爆破法，采取上述除尘措施后，项目露天开采过程中钻孔、爆破粉尘排放量分别为</w:t>
      </w:r>
      <w:r>
        <w:rPr>
          <w:rFonts w:cs="Times New Roman" w:hint="eastAsia"/>
          <w:kern w:val="0"/>
        </w:rPr>
        <w:t>0.046t</w:t>
      </w:r>
      <w:r>
        <w:rPr>
          <w:rFonts w:cs="Times New Roman"/>
          <w:kern w:val="0"/>
        </w:rPr>
        <w:t>/a</w:t>
      </w:r>
      <w:r>
        <w:rPr>
          <w:rFonts w:cs="Times New Roman" w:hint="eastAsia"/>
          <w:kern w:val="0"/>
        </w:rPr>
        <w:t>、</w:t>
      </w:r>
      <w:r>
        <w:rPr>
          <w:rFonts w:cs="Times New Roman" w:hint="eastAsia"/>
          <w:kern w:val="0"/>
        </w:rPr>
        <w:t>0.46t/a</w:t>
      </w:r>
      <w:r>
        <w:rPr>
          <w:rFonts w:cs="Times New Roman" w:hint="eastAsia"/>
          <w:kern w:val="0"/>
        </w:rPr>
        <w:t>。</w:t>
      </w:r>
    </w:p>
    <w:p w14:paraId="22B35CEC" w14:textId="77777777" w:rsidR="00E579B9" w:rsidRDefault="006A1398">
      <w:pPr>
        <w:rPr>
          <w:rFonts w:cs="Times New Roman"/>
        </w:rPr>
      </w:pPr>
      <w:r>
        <w:rPr>
          <w:rFonts w:cs="Times New Roman" w:hint="eastAsia"/>
          <w:kern w:val="0"/>
        </w:rPr>
        <w:t>根据工程分析内容，开采后矿石装卸过程中粉尘产生量为</w:t>
      </w:r>
      <w:r>
        <w:rPr>
          <w:rFonts w:cs="Times New Roman" w:hint="eastAsia"/>
          <w:kern w:val="0"/>
        </w:rPr>
        <w:t>18.03t/a</w:t>
      </w:r>
      <w:r>
        <w:rPr>
          <w:rFonts w:cs="Times New Roman" w:hint="eastAsia"/>
          <w:kern w:val="0"/>
        </w:rPr>
        <w:t>，设计采用雾炮车在装卸点进行喷雾洒水，预计可</w:t>
      </w:r>
      <w:r>
        <w:rPr>
          <w:rFonts w:cs="Times New Roman" w:hint="eastAsia"/>
        </w:rPr>
        <w:t>减少</w:t>
      </w:r>
      <w:r>
        <w:rPr>
          <w:rFonts w:cs="Times New Roman" w:hint="eastAsia"/>
        </w:rPr>
        <w:t>9</w:t>
      </w:r>
      <w:r>
        <w:rPr>
          <w:rFonts w:cs="Times New Roman"/>
        </w:rPr>
        <w:t>0%</w:t>
      </w:r>
      <w:r>
        <w:rPr>
          <w:rFonts w:cs="Times New Roman" w:hint="eastAsia"/>
        </w:rPr>
        <w:t>的扬尘，因此装卸扬尘排放量为</w:t>
      </w:r>
      <w:r>
        <w:rPr>
          <w:rFonts w:cs="Times New Roman" w:hint="eastAsia"/>
        </w:rPr>
        <w:t>1.8</w:t>
      </w:r>
      <w:r>
        <w:rPr>
          <w:rFonts w:cs="Times New Roman"/>
        </w:rPr>
        <w:t>t/a</w:t>
      </w:r>
      <w:r>
        <w:rPr>
          <w:rFonts w:cs="Times New Roman" w:hint="eastAsia"/>
        </w:rPr>
        <w:t>。</w:t>
      </w:r>
    </w:p>
    <w:p w14:paraId="56008826" w14:textId="77777777" w:rsidR="00E579B9" w:rsidRDefault="006A1398">
      <w:pPr>
        <w:pStyle w:val="226"/>
        <w:spacing w:line="360" w:lineRule="auto"/>
        <w:rPr>
          <w:rFonts w:cs="Times New Roman"/>
        </w:rPr>
      </w:pPr>
      <w:r>
        <w:rPr>
          <w:rFonts w:cs="Times New Roman"/>
        </w:rPr>
        <w:fldChar w:fldCharType="begin"/>
      </w:r>
      <w:r>
        <w:rPr>
          <w:rFonts w:cs="Times New Roman"/>
        </w:rPr>
        <w:instrText xml:space="preserve"> </w:instrText>
      </w:r>
      <w:r>
        <w:rPr>
          <w:rFonts w:cs="Times New Roman" w:hint="eastAsia"/>
        </w:rPr>
        <w:instrText>= 2 \* GB3</w:instrText>
      </w:r>
      <w:r>
        <w:rPr>
          <w:rFonts w:cs="Times New Roman"/>
        </w:rPr>
        <w:instrText xml:space="preserve"> </w:instrText>
      </w:r>
      <w:r>
        <w:rPr>
          <w:rFonts w:cs="Times New Roman"/>
        </w:rPr>
        <w:fldChar w:fldCharType="separate"/>
      </w:r>
      <w:r>
        <w:rPr>
          <w:rFonts w:cs="Times New Roman" w:hint="eastAsia"/>
        </w:rPr>
        <w:t>②</w:t>
      </w:r>
      <w:r>
        <w:rPr>
          <w:rFonts w:cs="Times New Roman"/>
        </w:rPr>
        <w:fldChar w:fldCharType="end"/>
      </w:r>
      <w:r>
        <w:rPr>
          <w:rFonts w:cs="Times New Roman" w:hint="eastAsia"/>
        </w:rPr>
        <w:t>破碎场地粉尘</w:t>
      </w:r>
    </w:p>
    <w:p w14:paraId="6D73FF68" w14:textId="77777777" w:rsidR="00E579B9" w:rsidRDefault="006A1398">
      <w:pPr>
        <w:pStyle w:val="226"/>
        <w:spacing w:line="360" w:lineRule="auto"/>
        <w:rPr>
          <w:rFonts w:cs="Times New Roman"/>
          <w:kern w:val="0"/>
        </w:rPr>
      </w:pPr>
      <w:r>
        <w:rPr>
          <w:rFonts w:cs="Times New Roman" w:hint="eastAsia"/>
          <w:kern w:val="0"/>
        </w:rPr>
        <w:t>根据工程分析内容，项目</w:t>
      </w:r>
      <w:r>
        <w:rPr>
          <w:rFonts w:hint="eastAsia"/>
        </w:rPr>
        <w:t>破碎、筛分设备均设置了密闭的破碎车间、筛分车间，同时在颚式破碎机（一级破碎）出料口、圆锥破碎机（二级破碎）出料口、一级筛分机进出料口处分别设置集气罩，粉尘经收集后进入</w:t>
      </w:r>
      <w:r>
        <w:rPr>
          <w:rFonts w:hint="eastAsia"/>
        </w:rPr>
        <w:t>1</w:t>
      </w:r>
      <w:r>
        <w:rPr>
          <w:rFonts w:hint="eastAsia"/>
        </w:rPr>
        <w:t>台脉冲袋式除尘器（风量</w:t>
      </w:r>
      <w:r>
        <w:rPr>
          <w:rFonts w:hint="eastAsia"/>
        </w:rPr>
        <w:t>2</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/h</w:t>
      </w:r>
      <w:r>
        <w:rPr>
          <w:rFonts w:hint="eastAsia"/>
        </w:rPr>
        <w:t>，去除效率</w:t>
      </w:r>
      <w:r>
        <w:rPr>
          <w:rFonts w:hint="eastAsia"/>
        </w:rPr>
        <w:t>99.9%</w:t>
      </w:r>
      <w:r>
        <w:rPr>
          <w:rFonts w:hint="eastAsia"/>
        </w:rPr>
        <w:t>）处理，处理后由</w:t>
      </w:r>
      <w:r>
        <w:rPr>
          <w:rFonts w:hint="eastAsia"/>
        </w:rPr>
        <w:t>15m</w:t>
      </w:r>
      <w:r>
        <w:rPr>
          <w:rFonts w:hint="eastAsia"/>
        </w:rPr>
        <w:t>高排气筒排放，集</w:t>
      </w:r>
      <w:proofErr w:type="gramStart"/>
      <w:r>
        <w:rPr>
          <w:rFonts w:hint="eastAsia"/>
        </w:rPr>
        <w:t>气罩对粉尘</w:t>
      </w:r>
      <w:proofErr w:type="gramEnd"/>
      <w:r>
        <w:rPr>
          <w:rFonts w:hint="eastAsia"/>
        </w:rPr>
        <w:t>的捕集效率约</w:t>
      </w:r>
      <w:r>
        <w:rPr>
          <w:rFonts w:hint="eastAsia"/>
        </w:rPr>
        <w:t>95%</w:t>
      </w:r>
      <w:r>
        <w:rPr>
          <w:rFonts w:hint="eastAsia"/>
        </w:rPr>
        <w:t>，处理后一破、二破、</w:t>
      </w:r>
      <w:proofErr w:type="gramStart"/>
      <w:r>
        <w:rPr>
          <w:rFonts w:hint="eastAsia"/>
        </w:rPr>
        <w:t>一</w:t>
      </w:r>
      <w:proofErr w:type="gramEnd"/>
      <w:r>
        <w:rPr>
          <w:rFonts w:hint="eastAsia"/>
        </w:rPr>
        <w:t>筛工序的粉尘排放量为</w:t>
      </w:r>
      <w:r>
        <w:rPr>
          <w:rFonts w:cs="Times New Roman"/>
        </w:rPr>
        <w:t>0.0721t/a</w:t>
      </w:r>
      <w:r>
        <w:rPr>
          <w:rFonts w:cs="Times New Roman" w:hint="eastAsia"/>
        </w:rPr>
        <w:t>（</w:t>
      </w:r>
      <w:r>
        <w:rPr>
          <w:rFonts w:cs="Times New Roman" w:hint="eastAsia"/>
        </w:rPr>
        <w:t>0.</w:t>
      </w:r>
      <w:r>
        <w:rPr>
          <w:rFonts w:cs="Times New Roman"/>
        </w:rPr>
        <w:t>0</w:t>
      </w:r>
      <w:r>
        <w:rPr>
          <w:rFonts w:cs="Times New Roman" w:hint="eastAsia"/>
        </w:rPr>
        <w:t>16kg/h</w:t>
      </w:r>
      <w:r>
        <w:rPr>
          <w:rFonts w:cs="Times New Roman" w:hint="eastAsia"/>
        </w:rPr>
        <w:t>）</w:t>
      </w:r>
      <w:r>
        <w:rPr>
          <w:rFonts w:cs="Times New Roman"/>
        </w:rPr>
        <w:t>、排放浓度为</w:t>
      </w:r>
      <w:r>
        <w:rPr>
          <w:rFonts w:cs="Times New Roman" w:hint="eastAsia"/>
        </w:rPr>
        <w:t>0.</w:t>
      </w:r>
      <w:r>
        <w:rPr>
          <w:rFonts w:cs="Times New Roman"/>
        </w:rPr>
        <w:t>805mg/m</w:t>
      </w:r>
      <w:r>
        <w:rPr>
          <w:rFonts w:cs="Times New Roman"/>
          <w:vertAlign w:val="superscript"/>
        </w:rPr>
        <w:t>3</w:t>
      </w:r>
      <w:r>
        <w:rPr>
          <w:rFonts w:cs="Times New Roman" w:hint="eastAsia"/>
        </w:rPr>
        <w:t>；</w:t>
      </w:r>
      <w:r>
        <w:rPr>
          <w:rFonts w:hint="eastAsia"/>
        </w:rPr>
        <w:t>项目二级筛分机、三级筛分机进出料口处分别设置集气罩，粉尘经收集后进入</w:t>
      </w:r>
      <w:r>
        <w:rPr>
          <w:rFonts w:hint="eastAsia"/>
        </w:rPr>
        <w:t>1</w:t>
      </w:r>
      <w:r>
        <w:rPr>
          <w:rFonts w:hint="eastAsia"/>
        </w:rPr>
        <w:t>台脉冲袋式除尘器（风量</w:t>
      </w:r>
      <w:r>
        <w:rPr>
          <w:rFonts w:hint="eastAsia"/>
        </w:rPr>
        <w:t>2</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/h</w:t>
      </w:r>
      <w:r>
        <w:rPr>
          <w:rFonts w:hint="eastAsia"/>
        </w:rPr>
        <w:t>，去除效率</w:t>
      </w:r>
      <w:r>
        <w:rPr>
          <w:rFonts w:hint="eastAsia"/>
        </w:rPr>
        <w:t>99.9%</w:t>
      </w:r>
      <w:r>
        <w:rPr>
          <w:rFonts w:hint="eastAsia"/>
        </w:rPr>
        <w:t>）处理，处理后由</w:t>
      </w:r>
      <w:r>
        <w:rPr>
          <w:rFonts w:hint="eastAsia"/>
        </w:rPr>
        <w:t>15m</w:t>
      </w:r>
      <w:r>
        <w:rPr>
          <w:rFonts w:hint="eastAsia"/>
        </w:rPr>
        <w:t>高排气筒排放，集</w:t>
      </w:r>
      <w:proofErr w:type="gramStart"/>
      <w:r>
        <w:rPr>
          <w:rFonts w:hint="eastAsia"/>
        </w:rPr>
        <w:t>气罩对粉尘</w:t>
      </w:r>
      <w:proofErr w:type="gramEnd"/>
      <w:r>
        <w:rPr>
          <w:rFonts w:hint="eastAsia"/>
        </w:rPr>
        <w:t>的捕集效率约</w:t>
      </w:r>
      <w:r>
        <w:rPr>
          <w:rFonts w:hint="eastAsia"/>
        </w:rPr>
        <w:t>95%</w:t>
      </w:r>
      <w:r>
        <w:rPr>
          <w:rFonts w:hint="eastAsia"/>
        </w:rPr>
        <w:t>，处理后二筛、三筛工序的粉尘排放量为</w:t>
      </w:r>
      <w:r>
        <w:rPr>
          <w:rFonts w:cs="Times New Roman" w:hint="eastAsia"/>
        </w:rPr>
        <w:t>0.</w:t>
      </w:r>
      <w:r>
        <w:rPr>
          <w:rFonts w:cs="Times New Roman"/>
        </w:rPr>
        <w:t>0743</w:t>
      </w:r>
      <w:r>
        <w:rPr>
          <w:rFonts w:cs="Times New Roman" w:hint="eastAsia"/>
        </w:rPr>
        <w:t>t/a</w:t>
      </w:r>
      <w:r>
        <w:rPr>
          <w:rFonts w:cs="Times New Roman"/>
        </w:rPr>
        <w:t>(0.0166kg/h)</w:t>
      </w:r>
      <w:r>
        <w:rPr>
          <w:rFonts w:hint="eastAsia"/>
        </w:rPr>
        <w:t>、排放浓度为</w:t>
      </w:r>
      <w:r>
        <w:rPr>
          <w:rFonts w:cs="Times New Roman" w:hint="eastAsia"/>
        </w:rPr>
        <w:t>0.829mg/m</w:t>
      </w:r>
      <w:r>
        <w:rPr>
          <w:rFonts w:hint="eastAsia"/>
          <w:vertAlign w:val="superscript"/>
        </w:rPr>
        <w:t>3</w:t>
      </w:r>
      <w:r>
        <w:rPr>
          <w:rFonts w:hint="eastAsia"/>
        </w:rPr>
        <w:t>。项目破碎场地无组织粉尘产生量为</w:t>
      </w:r>
      <w:r>
        <w:rPr>
          <w:rFonts w:hint="eastAsia"/>
        </w:rPr>
        <w:t>7.705t/a</w:t>
      </w:r>
      <w:r>
        <w:rPr>
          <w:rFonts w:hint="eastAsia"/>
        </w:rPr>
        <w:t>，考虑到各</w:t>
      </w:r>
      <w:proofErr w:type="gramStart"/>
      <w:r>
        <w:rPr>
          <w:rFonts w:hint="eastAsia"/>
        </w:rPr>
        <w:t>产尘设备</w:t>
      </w:r>
      <w:proofErr w:type="gramEnd"/>
      <w:r>
        <w:rPr>
          <w:rFonts w:hint="eastAsia"/>
        </w:rPr>
        <w:t>均位于密闭车间内，车间对粉尘的沉降</w:t>
      </w:r>
      <w:proofErr w:type="gramStart"/>
      <w:r>
        <w:rPr>
          <w:rFonts w:hint="eastAsia"/>
        </w:rPr>
        <w:t>作用按</w:t>
      </w:r>
      <w:proofErr w:type="gramEnd"/>
      <w:r>
        <w:rPr>
          <w:rFonts w:hint="eastAsia"/>
        </w:rPr>
        <w:t>90%</w:t>
      </w:r>
      <w:r>
        <w:rPr>
          <w:rFonts w:hint="eastAsia"/>
        </w:rPr>
        <w:t>计算，则破碎场地无组织粉尘排放量为</w:t>
      </w:r>
      <w:r>
        <w:rPr>
          <w:rFonts w:hint="eastAsia"/>
        </w:rPr>
        <w:t>0.77t/a</w:t>
      </w:r>
      <w:r>
        <w:rPr>
          <w:rFonts w:hint="eastAsia"/>
        </w:rPr>
        <w:t>。</w:t>
      </w:r>
    </w:p>
    <w:p w14:paraId="161A1E50" w14:textId="77777777" w:rsidR="00E579B9" w:rsidRDefault="006A1398">
      <w:pPr>
        <w:pStyle w:val="226"/>
        <w:spacing w:line="360" w:lineRule="auto"/>
        <w:rPr>
          <w:rFonts w:cs="Times New Roman"/>
          <w:kern w:val="0"/>
        </w:rPr>
      </w:pPr>
      <w:r>
        <w:rPr>
          <w:rFonts w:cs="Times New Roman"/>
          <w:kern w:val="0"/>
        </w:rPr>
        <w:lastRenderedPageBreak/>
        <w:fldChar w:fldCharType="begin"/>
      </w:r>
      <w:r>
        <w:rPr>
          <w:rFonts w:cs="Times New Roman"/>
          <w:kern w:val="0"/>
        </w:rPr>
        <w:instrText xml:space="preserve"> </w:instrText>
      </w:r>
      <w:r>
        <w:rPr>
          <w:rFonts w:cs="Times New Roman" w:hint="eastAsia"/>
          <w:kern w:val="0"/>
        </w:rPr>
        <w:instrText>= 3 \* GB3</w:instrText>
      </w:r>
      <w:r>
        <w:rPr>
          <w:rFonts w:cs="Times New Roman"/>
          <w:kern w:val="0"/>
        </w:rPr>
        <w:instrText xml:space="preserve"> </w:instrText>
      </w:r>
      <w:r>
        <w:rPr>
          <w:rFonts w:cs="Times New Roman"/>
          <w:kern w:val="0"/>
        </w:rPr>
        <w:fldChar w:fldCharType="separate"/>
      </w:r>
      <w:r>
        <w:rPr>
          <w:rFonts w:cs="Times New Roman" w:hint="eastAsia"/>
          <w:kern w:val="0"/>
        </w:rPr>
        <w:t>③</w:t>
      </w:r>
      <w:r>
        <w:rPr>
          <w:rFonts w:cs="Times New Roman"/>
          <w:kern w:val="0"/>
        </w:rPr>
        <w:fldChar w:fldCharType="end"/>
      </w:r>
      <w:r>
        <w:rPr>
          <w:rFonts w:cs="Times New Roman" w:hint="eastAsia"/>
          <w:kern w:val="0"/>
        </w:rPr>
        <w:t>矿石运输扬尘</w:t>
      </w:r>
    </w:p>
    <w:p w14:paraId="03099B56" w14:textId="77777777" w:rsidR="00E579B9" w:rsidRDefault="006A1398">
      <w:pPr>
        <w:rPr>
          <w:rFonts w:ascii="宋体" w:hAnsi="宋体" w:cs="宋体"/>
          <w:szCs w:val="24"/>
        </w:rPr>
      </w:pPr>
      <w:r>
        <w:rPr>
          <w:rFonts w:cs="Times New Roman" w:hint="eastAsia"/>
          <w:kern w:val="0"/>
          <w:szCs w:val="24"/>
        </w:rPr>
        <w:t>根据工程分析内容，项目矿石运输扬尘产生量为</w:t>
      </w:r>
      <w:r>
        <w:rPr>
          <w:rFonts w:cs="Times New Roman" w:hint="eastAsia"/>
          <w:kern w:val="0"/>
        </w:rPr>
        <w:t>0.9275</w:t>
      </w:r>
      <w:r>
        <w:rPr>
          <w:rFonts w:cs="Times New Roman" w:hint="eastAsia"/>
          <w:kern w:val="0"/>
          <w:szCs w:val="24"/>
        </w:rPr>
        <w:t>t/a</w:t>
      </w:r>
      <w:r>
        <w:rPr>
          <w:rFonts w:cs="Times New Roman" w:hint="eastAsia"/>
          <w:kern w:val="0"/>
          <w:szCs w:val="24"/>
        </w:rPr>
        <w:t>。</w:t>
      </w:r>
      <w:r>
        <w:rPr>
          <w:rFonts w:hint="eastAsia"/>
        </w:rPr>
        <w:t>为减轻车辆扬尘污染，评价要求对运矿道路定期清扫、洒水，并对运输的矿石进行遮盖，装卸作业面洒水降尘，尽量降低物料落差。粉状物料外运采用密闭罐车运输或加湿后运输；其他成品外运车辆采用箱式并加盖篷布以防止物料洒落，严禁石料超出箱板。厂区出入口附近应修建车轮清洗池，对进出厂车辆轮胎进行清洗。以有效减轻运输扬尘污染。</w:t>
      </w:r>
      <w:r>
        <w:rPr>
          <w:rFonts w:ascii="宋体" w:hAnsi="宋体" w:cs="宋体" w:hint="eastAsia"/>
          <w:szCs w:val="24"/>
        </w:rPr>
        <w:t>采取以上措施后，可降低</w:t>
      </w:r>
      <w:r>
        <w:rPr>
          <w:rFonts w:cs="宋体"/>
          <w:szCs w:val="24"/>
        </w:rPr>
        <w:t>90%</w:t>
      </w:r>
      <w:r>
        <w:rPr>
          <w:rFonts w:ascii="宋体" w:hAnsi="宋体" w:cs="宋体" w:hint="eastAsia"/>
          <w:szCs w:val="24"/>
        </w:rPr>
        <w:t>起尘量，则本项目运输车辆产尘量约为</w:t>
      </w:r>
      <w:r>
        <w:rPr>
          <w:rFonts w:cs="宋体"/>
          <w:szCs w:val="24"/>
        </w:rPr>
        <w:t>0.</w:t>
      </w:r>
      <w:r>
        <w:rPr>
          <w:rFonts w:cs="宋体" w:hint="eastAsia"/>
          <w:szCs w:val="24"/>
        </w:rPr>
        <w:t>09</w:t>
      </w:r>
      <w:r>
        <w:rPr>
          <w:rFonts w:cs="宋体"/>
          <w:szCs w:val="24"/>
        </w:rPr>
        <w:t>t/a</w:t>
      </w:r>
      <w:r>
        <w:rPr>
          <w:rFonts w:ascii="宋体" w:hAnsi="宋体" w:cs="宋体" w:hint="eastAsia"/>
          <w:szCs w:val="24"/>
        </w:rPr>
        <w:t>，</w:t>
      </w:r>
      <w:r>
        <w:rPr>
          <w:rFonts w:hint="eastAsia"/>
        </w:rPr>
        <w:t>预计对周边环境的影响较小。</w:t>
      </w:r>
    </w:p>
    <w:p w14:paraId="2298F588" w14:textId="77777777" w:rsidR="00E579B9" w:rsidRDefault="006A1398">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proofErr w:type="gramStart"/>
      <w:r>
        <w:rPr>
          <w:rFonts w:hint="eastAsia"/>
        </w:rPr>
        <w:t>表土场</w:t>
      </w:r>
      <w:proofErr w:type="gramEnd"/>
      <w:r>
        <w:rPr>
          <w:rFonts w:hint="eastAsia"/>
        </w:rPr>
        <w:t>粉尘</w:t>
      </w:r>
    </w:p>
    <w:p w14:paraId="61101A3A" w14:textId="77777777" w:rsidR="00E579B9" w:rsidRDefault="006A1398">
      <w:pPr>
        <w:rPr>
          <w:rFonts w:cs="Times New Roman"/>
        </w:rPr>
      </w:pPr>
      <w:r>
        <w:rPr>
          <w:rFonts w:cs="Times New Roman"/>
        </w:rPr>
        <w:t>表土堆存过程中受风的作用会产生扬尘污染，使其周围大气环境的悬浮物（微粒）浓度、降尘量有所增加，从而影响大气质量。其影响程度和范围取决于矿石的粒度、含水率以及堆场的地理环境和地面风速。临时</w:t>
      </w:r>
      <w:proofErr w:type="gramStart"/>
      <w:r>
        <w:rPr>
          <w:rFonts w:cs="Times New Roman"/>
        </w:rPr>
        <w:t>表土场</w:t>
      </w:r>
      <w:proofErr w:type="gramEnd"/>
      <w:r>
        <w:rPr>
          <w:rFonts w:cs="Times New Roman"/>
        </w:rPr>
        <w:t>排放量为</w:t>
      </w:r>
      <w:r>
        <w:rPr>
          <w:rFonts w:eastAsiaTheme="minorEastAsia" w:cs="Times New Roman"/>
        </w:rPr>
        <w:t>0.11</w:t>
      </w:r>
      <w:r>
        <w:rPr>
          <w:rFonts w:eastAsia="Times New Roman" w:cs="Times New Roman"/>
        </w:rPr>
        <w:t>kg/h</w:t>
      </w:r>
      <w:r>
        <w:rPr>
          <w:rFonts w:cs="Times New Roman"/>
        </w:rPr>
        <w:t>，</w:t>
      </w:r>
      <w:r>
        <w:rPr>
          <w:rFonts w:eastAsiaTheme="minorEastAsia" w:cs="Times New Roman"/>
        </w:rPr>
        <w:t>0.48</w:t>
      </w:r>
      <w:r>
        <w:rPr>
          <w:rFonts w:eastAsia="Times New Roman" w:cs="Times New Roman"/>
        </w:rPr>
        <w:t>t/a</w:t>
      </w:r>
      <w:r>
        <w:rPr>
          <w:rFonts w:eastAsiaTheme="minorEastAsia" w:cs="Times New Roman"/>
        </w:rPr>
        <w:t>。</w:t>
      </w:r>
    </w:p>
    <w:p w14:paraId="41CB2047" w14:textId="77777777" w:rsidR="00E579B9" w:rsidRDefault="006A1398">
      <w:r>
        <w:rPr>
          <w:rFonts w:hint="eastAsia"/>
        </w:rPr>
        <w:t>为减少其对环境空气的污染，评价建议在</w:t>
      </w:r>
      <w:proofErr w:type="gramStart"/>
      <w:r>
        <w:rPr>
          <w:rFonts w:hint="eastAsia"/>
        </w:rPr>
        <w:t>表土场</w:t>
      </w:r>
      <w:proofErr w:type="gramEnd"/>
      <w:r>
        <w:rPr>
          <w:rFonts w:hint="eastAsia"/>
        </w:rPr>
        <w:t>设置可移动洒水喷头，定期对堆场洒水，洒水次数根据天气情况而定，干燥大风天气多洒水，多雨时可适当减少洒水次数，使矿石表面保持一定水分，可有效控制风蚀扬尘。</w:t>
      </w:r>
    </w:p>
    <w:p w14:paraId="28A20B47" w14:textId="77777777" w:rsidR="00E579B9" w:rsidRDefault="006A1398">
      <w:pPr>
        <w:pStyle w:val="226"/>
        <w:spacing w:line="360" w:lineRule="auto"/>
        <w:rPr>
          <w:rFonts w:cs="Times New Roman"/>
          <w:kern w:val="0"/>
        </w:rPr>
      </w:pPr>
      <w:r>
        <w:rPr>
          <w:rFonts w:cs="Times New Roman" w:hint="eastAsia"/>
          <w:kern w:val="0"/>
        </w:rPr>
        <w:t>项目运营期废气</w:t>
      </w:r>
      <w:proofErr w:type="gramStart"/>
      <w:r>
        <w:rPr>
          <w:rFonts w:cs="Times New Roman" w:hint="eastAsia"/>
          <w:kern w:val="0"/>
        </w:rPr>
        <w:t>的产排情况</w:t>
      </w:r>
      <w:proofErr w:type="gramEnd"/>
      <w:r>
        <w:rPr>
          <w:rFonts w:cs="Times New Roman" w:hint="eastAsia"/>
          <w:kern w:val="0"/>
        </w:rPr>
        <w:t>见表</w:t>
      </w:r>
      <w:r>
        <w:rPr>
          <w:rFonts w:cs="Times New Roman" w:hint="eastAsia"/>
          <w:kern w:val="0"/>
        </w:rPr>
        <w:t>5.2-1</w:t>
      </w:r>
      <w:r>
        <w:rPr>
          <w:rFonts w:cs="Times New Roman" w:hint="eastAsia"/>
          <w:kern w:val="0"/>
        </w:rPr>
        <w:t>。</w:t>
      </w:r>
    </w:p>
    <w:p w14:paraId="6B976135" w14:textId="77777777" w:rsidR="00E579B9" w:rsidRDefault="006A1398">
      <w:pPr>
        <w:pStyle w:val="226"/>
        <w:jc w:val="center"/>
        <w:rPr>
          <w:rFonts w:eastAsia="黑体" w:cs="Times New Roman"/>
        </w:rPr>
      </w:pPr>
      <w:r>
        <w:rPr>
          <w:rFonts w:eastAsia="黑体" w:cs="Times New Roman" w:hint="eastAsia"/>
        </w:rPr>
        <w:t>表</w:t>
      </w:r>
      <w:r>
        <w:rPr>
          <w:rFonts w:eastAsia="黑体" w:cs="Times New Roman" w:hint="eastAsia"/>
        </w:rPr>
        <w:t>5.</w:t>
      </w:r>
      <w:r>
        <w:rPr>
          <w:rFonts w:eastAsia="黑体" w:cs="Times New Roman"/>
        </w:rPr>
        <w:t>2-1</w:t>
      </w:r>
      <w:r>
        <w:rPr>
          <w:rFonts w:eastAsia="黑体" w:cs="Times New Roman" w:hint="eastAsia"/>
        </w:rPr>
        <w:t>项目运营期</w:t>
      </w:r>
      <w:proofErr w:type="gramStart"/>
      <w:r>
        <w:rPr>
          <w:rFonts w:eastAsia="黑体" w:cs="Times New Roman" w:hint="eastAsia"/>
        </w:rPr>
        <w:t>废气产排情况</w:t>
      </w:r>
      <w:proofErr w:type="gramEnd"/>
      <w:r>
        <w:rPr>
          <w:rFonts w:eastAsia="黑体" w:cs="Times New Roman" w:hint="eastAsia"/>
        </w:rPr>
        <w:t>一览表</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09"/>
        <w:gridCol w:w="1418"/>
        <w:gridCol w:w="850"/>
        <w:gridCol w:w="1305"/>
        <w:gridCol w:w="2551"/>
        <w:gridCol w:w="1438"/>
      </w:tblGrid>
      <w:tr w:rsidR="00E579B9" w14:paraId="23611B89" w14:textId="77777777">
        <w:tc>
          <w:tcPr>
            <w:tcW w:w="2802" w:type="dxa"/>
            <w:gridSpan w:val="3"/>
            <w:vAlign w:val="center"/>
          </w:tcPr>
          <w:p w14:paraId="297913DC"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产生工序</w:t>
            </w:r>
          </w:p>
        </w:tc>
        <w:tc>
          <w:tcPr>
            <w:tcW w:w="850" w:type="dxa"/>
            <w:vAlign w:val="center"/>
          </w:tcPr>
          <w:p w14:paraId="24FB9E17"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污染物</w:t>
            </w:r>
          </w:p>
        </w:tc>
        <w:tc>
          <w:tcPr>
            <w:tcW w:w="1305" w:type="dxa"/>
            <w:vAlign w:val="center"/>
          </w:tcPr>
          <w:p w14:paraId="63EC908D"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产生情况</w:t>
            </w:r>
          </w:p>
        </w:tc>
        <w:tc>
          <w:tcPr>
            <w:tcW w:w="2551" w:type="dxa"/>
            <w:vAlign w:val="center"/>
          </w:tcPr>
          <w:p w14:paraId="057253E8"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治理措施</w:t>
            </w:r>
          </w:p>
        </w:tc>
        <w:tc>
          <w:tcPr>
            <w:tcW w:w="1438" w:type="dxa"/>
            <w:vAlign w:val="center"/>
          </w:tcPr>
          <w:p w14:paraId="0E09A73A"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排放情况</w:t>
            </w:r>
          </w:p>
        </w:tc>
      </w:tr>
      <w:tr w:rsidR="00E579B9" w14:paraId="57D705C0" w14:textId="77777777">
        <w:tc>
          <w:tcPr>
            <w:tcW w:w="675" w:type="dxa"/>
            <w:vMerge w:val="restart"/>
            <w:vAlign w:val="center"/>
          </w:tcPr>
          <w:p w14:paraId="5F6A2AD6"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有组织</w:t>
            </w:r>
          </w:p>
        </w:tc>
        <w:tc>
          <w:tcPr>
            <w:tcW w:w="709" w:type="dxa"/>
            <w:vMerge w:val="restart"/>
            <w:vAlign w:val="center"/>
          </w:tcPr>
          <w:p w14:paraId="06FA4C4E"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破碎场地</w:t>
            </w:r>
          </w:p>
        </w:tc>
        <w:tc>
          <w:tcPr>
            <w:tcW w:w="1418" w:type="dxa"/>
            <w:vAlign w:val="center"/>
          </w:tcPr>
          <w:p w14:paraId="4B4E09C7"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一破、二破、</w:t>
            </w:r>
            <w:proofErr w:type="gramStart"/>
            <w:r>
              <w:rPr>
                <w:rFonts w:cs="Times New Roman" w:hint="eastAsia"/>
                <w:kern w:val="0"/>
                <w:sz w:val="21"/>
                <w:szCs w:val="21"/>
              </w:rPr>
              <w:t>一</w:t>
            </w:r>
            <w:proofErr w:type="gramEnd"/>
            <w:r>
              <w:rPr>
                <w:rFonts w:cs="Times New Roman" w:hint="eastAsia"/>
                <w:kern w:val="0"/>
                <w:sz w:val="21"/>
                <w:szCs w:val="21"/>
              </w:rPr>
              <w:t>筛</w:t>
            </w:r>
          </w:p>
        </w:tc>
        <w:tc>
          <w:tcPr>
            <w:tcW w:w="850" w:type="dxa"/>
            <w:vMerge w:val="restart"/>
            <w:vAlign w:val="center"/>
          </w:tcPr>
          <w:p w14:paraId="0BD9EF0A" w14:textId="77777777" w:rsidR="00E579B9" w:rsidRDefault="00E579B9">
            <w:pPr>
              <w:pStyle w:val="226"/>
              <w:spacing w:line="360" w:lineRule="exact"/>
              <w:ind w:firstLineChars="0" w:firstLine="0"/>
              <w:jc w:val="center"/>
              <w:rPr>
                <w:rFonts w:cs="Times New Roman"/>
                <w:sz w:val="21"/>
                <w:szCs w:val="21"/>
              </w:rPr>
            </w:pPr>
          </w:p>
          <w:p w14:paraId="42B3FAA5" w14:textId="77777777" w:rsidR="00E579B9" w:rsidRDefault="00E579B9">
            <w:pPr>
              <w:pStyle w:val="226"/>
              <w:spacing w:line="360" w:lineRule="exact"/>
              <w:ind w:firstLineChars="0" w:firstLine="0"/>
              <w:jc w:val="center"/>
              <w:rPr>
                <w:rFonts w:cs="Times New Roman"/>
                <w:sz w:val="21"/>
                <w:szCs w:val="21"/>
              </w:rPr>
            </w:pPr>
          </w:p>
          <w:p w14:paraId="0DA365A2" w14:textId="77777777" w:rsidR="00E579B9" w:rsidRDefault="00E579B9">
            <w:pPr>
              <w:pStyle w:val="226"/>
              <w:spacing w:line="360" w:lineRule="exact"/>
              <w:ind w:firstLineChars="0" w:firstLine="0"/>
              <w:jc w:val="center"/>
              <w:rPr>
                <w:rFonts w:cs="Times New Roman"/>
                <w:sz w:val="21"/>
                <w:szCs w:val="21"/>
              </w:rPr>
            </w:pPr>
          </w:p>
          <w:p w14:paraId="507EBB96" w14:textId="77777777" w:rsidR="00E579B9" w:rsidRDefault="00E579B9">
            <w:pPr>
              <w:pStyle w:val="226"/>
              <w:spacing w:line="360" w:lineRule="exact"/>
              <w:ind w:firstLineChars="0" w:firstLine="0"/>
              <w:jc w:val="center"/>
              <w:rPr>
                <w:rFonts w:cs="Times New Roman"/>
                <w:sz w:val="21"/>
                <w:szCs w:val="21"/>
              </w:rPr>
            </w:pPr>
          </w:p>
          <w:p w14:paraId="28EF4B20" w14:textId="77777777" w:rsidR="00E579B9" w:rsidRDefault="00E579B9">
            <w:pPr>
              <w:pStyle w:val="226"/>
              <w:spacing w:line="360" w:lineRule="exact"/>
              <w:ind w:firstLineChars="0" w:firstLine="0"/>
              <w:jc w:val="center"/>
              <w:rPr>
                <w:rFonts w:cs="Times New Roman"/>
                <w:sz w:val="21"/>
                <w:szCs w:val="21"/>
              </w:rPr>
            </w:pPr>
          </w:p>
          <w:p w14:paraId="7F21D819" w14:textId="77777777" w:rsidR="00E579B9" w:rsidRDefault="006A1398">
            <w:pPr>
              <w:pStyle w:val="226"/>
              <w:spacing w:line="360" w:lineRule="exact"/>
              <w:ind w:firstLineChars="0" w:firstLine="0"/>
              <w:jc w:val="center"/>
              <w:rPr>
                <w:rFonts w:cs="Times New Roman"/>
                <w:kern w:val="0"/>
                <w:sz w:val="21"/>
                <w:szCs w:val="21"/>
              </w:rPr>
            </w:pPr>
            <w:r>
              <w:rPr>
                <w:rFonts w:cs="Times New Roman"/>
                <w:sz w:val="21"/>
                <w:szCs w:val="21"/>
              </w:rPr>
              <w:t>颗粒物</w:t>
            </w:r>
          </w:p>
        </w:tc>
        <w:tc>
          <w:tcPr>
            <w:tcW w:w="1305" w:type="dxa"/>
            <w:vAlign w:val="center"/>
          </w:tcPr>
          <w:p w14:paraId="506C303E"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72.105</w:t>
            </w:r>
            <w:r>
              <w:rPr>
                <w:rFonts w:cs="Times New Roman" w:hint="eastAsia"/>
                <w:sz w:val="21"/>
                <w:szCs w:val="21"/>
              </w:rPr>
              <w:t>t/a</w:t>
            </w:r>
            <w:r>
              <w:rPr>
                <w:rFonts w:ascii="宋体" w:hAnsi="宋体" w:cs="Times New Roman" w:hint="eastAsia"/>
                <w:sz w:val="21"/>
                <w:szCs w:val="21"/>
              </w:rPr>
              <w:t>、</w:t>
            </w:r>
          </w:p>
          <w:p w14:paraId="6183896C"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sz w:val="21"/>
                <w:szCs w:val="21"/>
              </w:rPr>
              <w:t>805mg/m</w:t>
            </w:r>
            <w:r>
              <w:rPr>
                <w:rFonts w:cs="Times New Roman" w:hint="eastAsia"/>
                <w:sz w:val="21"/>
                <w:szCs w:val="21"/>
                <w:vertAlign w:val="superscript"/>
              </w:rPr>
              <w:t>3</w:t>
            </w:r>
          </w:p>
        </w:tc>
        <w:tc>
          <w:tcPr>
            <w:tcW w:w="2551" w:type="dxa"/>
            <w:vAlign w:val="center"/>
          </w:tcPr>
          <w:p w14:paraId="0E3BD858" w14:textId="77777777" w:rsidR="00E579B9" w:rsidRDefault="006A1398">
            <w:pPr>
              <w:pStyle w:val="226"/>
              <w:spacing w:line="360" w:lineRule="exact"/>
              <w:ind w:firstLineChars="0" w:firstLine="0"/>
              <w:jc w:val="center"/>
              <w:rPr>
                <w:rFonts w:cs="Times New Roman"/>
                <w:kern w:val="0"/>
                <w:sz w:val="21"/>
                <w:szCs w:val="21"/>
              </w:rPr>
            </w:pPr>
            <w:r>
              <w:rPr>
                <w:rFonts w:cs="Times New Roman"/>
                <w:sz w:val="21"/>
                <w:szCs w:val="21"/>
              </w:rPr>
              <w:t>厂房密闭</w:t>
            </w:r>
            <w:r>
              <w:rPr>
                <w:rFonts w:cs="Times New Roman" w:hint="eastAsia"/>
                <w:sz w:val="21"/>
                <w:szCs w:val="21"/>
              </w:rPr>
              <w:t>、</w:t>
            </w:r>
            <w:r>
              <w:rPr>
                <w:rFonts w:cs="Times New Roman"/>
                <w:sz w:val="21"/>
                <w:szCs w:val="21"/>
              </w:rPr>
              <w:t>布袋除尘器</w:t>
            </w:r>
            <w:r>
              <w:rPr>
                <w:rFonts w:cs="Times New Roman"/>
                <w:sz w:val="21"/>
                <w:szCs w:val="21"/>
              </w:rPr>
              <w:t>+15m</w:t>
            </w:r>
            <w:r>
              <w:rPr>
                <w:rFonts w:cs="Times New Roman"/>
                <w:sz w:val="21"/>
                <w:szCs w:val="21"/>
              </w:rPr>
              <w:t>高排气筒</w:t>
            </w:r>
          </w:p>
        </w:tc>
        <w:tc>
          <w:tcPr>
            <w:tcW w:w="1438" w:type="dxa"/>
            <w:vAlign w:val="center"/>
          </w:tcPr>
          <w:p w14:paraId="28E74ED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0.</w:t>
            </w:r>
            <w:r>
              <w:rPr>
                <w:rFonts w:cs="Times New Roman"/>
                <w:sz w:val="21"/>
                <w:szCs w:val="21"/>
              </w:rPr>
              <w:t>0</w:t>
            </w:r>
            <w:r>
              <w:rPr>
                <w:rFonts w:cs="Times New Roman" w:hint="eastAsia"/>
                <w:sz w:val="21"/>
                <w:szCs w:val="21"/>
              </w:rPr>
              <w:t>721t/a</w:t>
            </w:r>
            <w:r>
              <w:rPr>
                <w:rFonts w:ascii="宋体" w:hAnsi="宋体" w:cs="Times New Roman" w:hint="eastAsia"/>
                <w:sz w:val="21"/>
                <w:szCs w:val="21"/>
              </w:rPr>
              <w:t>、</w:t>
            </w:r>
          </w:p>
          <w:p w14:paraId="4CC90BD0" w14:textId="77777777" w:rsidR="00E579B9" w:rsidRDefault="006A1398">
            <w:pPr>
              <w:pStyle w:val="226"/>
              <w:spacing w:line="360" w:lineRule="exact"/>
              <w:ind w:firstLineChars="0" w:firstLine="0"/>
              <w:jc w:val="center"/>
              <w:rPr>
                <w:rFonts w:cs="Times New Roman"/>
                <w:kern w:val="0"/>
                <w:sz w:val="21"/>
                <w:szCs w:val="21"/>
              </w:rPr>
            </w:pPr>
            <w:r>
              <w:rPr>
                <w:rFonts w:cs="Times New Roman"/>
                <w:sz w:val="21"/>
                <w:szCs w:val="21"/>
              </w:rPr>
              <w:t>0.805</w:t>
            </w:r>
            <w:r>
              <w:rPr>
                <w:rFonts w:cs="Times New Roman" w:hint="eastAsia"/>
                <w:sz w:val="21"/>
                <w:szCs w:val="21"/>
              </w:rPr>
              <w:t>mg/m</w:t>
            </w:r>
            <w:r>
              <w:rPr>
                <w:rFonts w:cs="Times New Roman" w:hint="eastAsia"/>
                <w:sz w:val="21"/>
                <w:szCs w:val="21"/>
                <w:vertAlign w:val="superscript"/>
              </w:rPr>
              <w:t>3</w:t>
            </w:r>
          </w:p>
        </w:tc>
      </w:tr>
      <w:tr w:rsidR="00E579B9" w14:paraId="29F1A38E" w14:textId="77777777">
        <w:tc>
          <w:tcPr>
            <w:tcW w:w="675" w:type="dxa"/>
            <w:vMerge/>
            <w:vAlign w:val="center"/>
          </w:tcPr>
          <w:p w14:paraId="6F0472C2" w14:textId="77777777" w:rsidR="00E579B9" w:rsidRDefault="00E579B9">
            <w:pPr>
              <w:pStyle w:val="226"/>
              <w:spacing w:line="360" w:lineRule="exact"/>
              <w:ind w:firstLineChars="0" w:firstLine="0"/>
              <w:jc w:val="center"/>
              <w:rPr>
                <w:rFonts w:cs="Times New Roman"/>
                <w:kern w:val="0"/>
                <w:sz w:val="21"/>
                <w:szCs w:val="21"/>
              </w:rPr>
            </w:pPr>
          </w:p>
        </w:tc>
        <w:tc>
          <w:tcPr>
            <w:tcW w:w="709" w:type="dxa"/>
            <w:vMerge/>
            <w:vAlign w:val="center"/>
          </w:tcPr>
          <w:p w14:paraId="18B37EC8" w14:textId="77777777" w:rsidR="00E579B9" w:rsidRDefault="00E579B9">
            <w:pPr>
              <w:pStyle w:val="226"/>
              <w:spacing w:line="360" w:lineRule="exact"/>
              <w:ind w:firstLineChars="0" w:firstLine="0"/>
              <w:jc w:val="center"/>
              <w:rPr>
                <w:rFonts w:cs="Times New Roman"/>
                <w:kern w:val="0"/>
                <w:sz w:val="21"/>
                <w:szCs w:val="21"/>
              </w:rPr>
            </w:pPr>
          </w:p>
        </w:tc>
        <w:tc>
          <w:tcPr>
            <w:tcW w:w="1418" w:type="dxa"/>
            <w:vAlign w:val="center"/>
          </w:tcPr>
          <w:p w14:paraId="39136D56"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sz w:val="21"/>
                <w:szCs w:val="21"/>
              </w:rPr>
              <w:t>二筛、三筛</w:t>
            </w:r>
          </w:p>
        </w:tc>
        <w:tc>
          <w:tcPr>
            <w:tcW w:w="850" w:type="dxa"/>
            <w:vMerge/>
            <w:vAlign w:val="center"/>
          </w:tcPr>
          <w:p w14:paraId="39565C4D" w14:textId="77777777" w:rsidR="00E579B9" w:rsidRDefault="00E579B9">
            <w:pPr>
              <w:pStyle w:val="226"/>
              <w:spacing w:line="360" w:lineRule="exact"/>
              <w:ind w:firstLineChars="0" w:firstLine="0"/>
              <w:jc w:val="center"/>
              <w:rPr>
                <w:rFonts w:cs="Times New Roman"/>
                <w:kern w:val="0"/>
                <w:sz w:val="21"/>
                <w:szCs w:val="21"/>
              </w:rPr>
            </w:pPr>
          </w:p>
        </w:tc>
        <w:tc>
          <w:tcPr>
            <w:tcW w:w="1305" w:type="dxa"/>
            <w:vAlign w:val="center"/>
          </w:tcPr>
          <w:p w14:paraId="411FCA91"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74.29</w:t>
            </w:r>
            <w:r>
              <w:rPr>
                <w:rFonts w:cs="Times New Roman" w:hint="eastAsia"/>
                <w:sz w:val="21"/>
                <w:szCs w:val="21"/>
              </w:rPr>
              <w:t>t/a</w:t>
            </w:r>
            <w:r>
              <w:rPr>
                <w:rFonts w:ascii="宋体" w:hAnsi="宋体" w:cs="Times New Roman" w:hint="eastAsia"/>
                <w:sz w:val="21"/>
                <w:szCs w:val="21"/>
              </w:rPr>
              <w:t>、</w:t>
            </w:r>
          </w:p>
          <w:p w14:paraId="7BAAF949"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sz w:val="21"/>
                <w:szCs w:val="21"/>
              </w:rPr>
              <w:t>829mg/m</w:t>
            </w:r>
            <w:r>
              <w:rPr>
                <w:rFonts w:cs="Times New Roman" w:hint="eastAsia"/>
                <w:sz w:val="21"/>
                <w:szCs w:val="21"/>
                <w:vertAlign w:val="superscript"/>
              </w:rPr>
              <w:t>3</w:t>
            </w:r>
          </w:p>
        </w:tc>
        <w:tc>
          <w:tcPr>
            <w:tcW w:w="2551" w:type="dxa"/>
            <w:vAlign w:val="center"/>
          </w:tcPr>
          <w:p w14:paraId="692A52D6" w14:textId="77777777" w:rsidR="00E579B9" w:rsidRDefault="006A1398">
            <w:pPr>
              <w:pStyle w:val="226"/>
              <w:spacing w:line="360" w:lineRule="exact"/>
              <w:ind w:firstLineChars="0" w:firstLine="0"/>
              <w:jc w:val="center"/>
              <w:rPr>
                <w:rFonts w:cs="Times New Roman"/>
                <w:kern w:val="0"/>
                <w:sz w:val="21"/>
                <w:szCs w:val="21"/>
              </w:rPr>
            </w:pPr>
            <w:r>
              <w:rPr>
                <w:rFonts w:cs="Times New Roman"/>
                <w:sz w:val="21"/>
                <w:szCs w:val="21"/>
              </w:rPr>
              <w:t>厂房密闭</w:t>
            </w:r>
            <w:r>
              <w:rPr>
                <w:rFonts w:cs="Times New Roman" w:hint="eastAsia"/>
                <w:sz w:val="21"/>
                <w:szCs w:val="21"/>
              </w:rPr>
              <w:t>、</w:t>
            </w:r>
            <w:r>
              <w:rPr>
                <w:rFonts w:cs="Times New Roman"/>
                <w:sz w:val="21"/>
                <w:szCs w:val="21"/>
              </w:rPr>
              <w:t>布袋除尘器</w:t>
            </w:r>
            <w:r>
              <w:rPr>
                <w:rFonts w:cs="Times New Roman"/>
                <w:sz w:val="21"/>
                <w:szCs w:val="21"/>
              </w:rPr>
              <w:t>+15m</w:t>
            </w:r>
            <w:r>
              <w:rPr>
                <w:rFonts w:cs="Times New Roman"/>
                <w:sz w:val="21"/>
                <w:szCs w:val="21"/>
              </w:rPr>
              <w:t>高排气筒</w:t>
            </w:r>
          </w:p>
        </w:tc>
        <w:tc>
          <w:tcPr>
            <w:tcW w:w="1438" w:type="dxa"/>
            <w:vAlign w:val="center"/>
          </w:tcPr>
          <w:p w14:paraId="17B8DC8C"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sz w:val="21"/>
                <w:szCs w:val="21"/>
              </w:rPr>
              <w:t>0.</w:t>
            </w:r>
            <w:r>
              <w:rPr>
                <w:rFonts w:cs="Times New Roman"/>
                <w:sz w:val="21"/>
                <w:szCs w:val="21"/>
              </w:rPr>
              <w:t>0</w:t>
            </w:r>
            <w:r>
              <w:rPr>
                <w:rFonts w:cs="Times New Roman" w:hint="eastAsia"/>
                <w:sz w:val="21"/>
                <w:szCs w:val="21"/>
              </w:rPr>
              <w:t>74</w:t>
            </w:r>
            <w:r>
              <w:rPr>
                <w:rFonts w:cs="Times New Roman"/>
                <w:sz w:val="21"/>
                <w:szCs w:val="21"/>
              </w:rPr>
              <w:t>3</w:t>
            </w:r>
            <w:r>
              <w:rPr>
                <w:rFonts w:cs="Times New Roman" w:hint="eastAsia"/>
                <w:sz w:val="21"/>
                <w:szCs w:val="21"/>
              </w:rPr>
              <w:t>t/a</w:t>
            </w:r>
            <w:r>
              <w:rPr>
                <w:rFonts w:ascii="宋体" w:hAnsi="宋体" w:cs="Times New Roman" w:hint="eastAsia"/>
                <w:sz w:val="21"/>
                <w:szCs w:val="21"/>
              </w:rPr>
              <w:t>、</w:t>
            </w:r>
            <w:r>
              <w:rPr>
                <w:rFonts w:cs="Times New Roman" w:hint="eastAsia"/>
                <w:sz w:val="21"/>
                <w:szCs w:val="21"/>
              </w:rPr>
              <w:t>0.829mg/m</w:t>
            </w:r>
            <w:r>
              <w:rPr>
                <w:rFonts w:cs="Times New Roman" w:hint="eastAsia"/>
                <w:sz w:val="21"/>
                <w:szCs w:val="21"/>
                <w:vertAlign w:val="superscript"/>
              </w:rPr>
              <w:t>3</w:t>
            </w:r>
          </w:p>
        </w:tc>
      </w:tr>
      <w:tr w:rsidR="00E579B9" w14:paraId="765EA502" w14:textId="77777777">
        <w:tc>
          <w:tcPr>
            <w:tcW w:w="675" w:type="dxa"/>
            <w:vMerge w:val="restart"/>
            <w:vAlign w:val="center"/>
          </w:tcPr>
          <w:p w14:paraId="361C3702"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无组织</w:t>
            </w:r>
          </w:p>
        </w:tc>
        <w:tc>
          <w:tcPr>
            <w:tcW w:w="709" w:type="dxa"/>
            <w:vMerge w:val="restart"/>
            <w:vAlign w:val="center"/>
          </w:tcPr>
          <w:p w14:paraId="737718F2"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露天采场</w:t>
            </w:r>
          </w:p>
        </w:tc>
        <w:tc>
          <w:tcPr>
            <w:tcW w:w="1418" w:type="dxa"/>
            <w:vAlign w:val="center"/>
          </w:tcPr>
          <w:p w14:paraId="3B04F839"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钻孔</w:t>
            </w:r>
          </w:p>
        </w:tc>
        <w:tc>
          <w:tcPr>
            <w:tcW w:w="850" w:type="dxa"/>
            <w:vMerge/>
            <w:vAlign w:val="center"/>
          </w:tcPr>
          <w:p w14:paraId="48B3635F" w14:textId="77777777" w:rsidR="00E579B9" w:rsidRDefault="00E579B9">
            <w:pPr>
              <w:pStyle w:val="226"/>
              <w:spacing w:line="360" w:lineRule="exact"/>
              <w:ind w:firstLineChars="0" w:firstLine="0"/>
              <w:jc w:val="center"/>
              <w:rPr>
                <w:rFonts w:cs="Times New Roman"/>
                <w:kern w:val="0"/>
                <w:sz w:val="21"/>
                <w:szCs w:val="21"/>
              </w:rPr>
            </w:pPr>
          </w:p>
        </w:tc>
        <w:tc>
          <w:tcPr>
            <w:tcW w:w="1305" w:type="dxa"/>
            <w:vAlign w:val="center"/>
          </w:tcPr>
          <w:p w14:paraId="24F803FD" w14:textId="77777777" w:rsidR="00E579B9" w:rsidRDefault="006A1398">
            <w:pPr>
              <w:pStyle w:val="226"/>
              <w:spacing w:line="360" w:lineRule="exact"/>
              <w:ind w:firstLineChars="0" w:firstLine="0"/>
              <w:jc w:val="center"/>
              <w:rPr>
                <w:rFonts w:cs="Times New Roman"/>
                <w:kern w:val="0"/>
                <w:sz w:val="21"/>
                <w:szCs w:val="21"/>
              </w:rPr>
            </w:pPr>
            <w:r>
              <w:rPr>
                <w:rFonts w:cs="Times New Roman"/>
                <w:kern w:val="0"/>
                <w:sz w:val="21"/>
                <w:szCs w:val="21"/>
              </w:rPr>
              <w:t>4.6</w:t>
            </w:r>
            <w:r>
              <w:rPr>
                <w:rFonts w:cs="Times New Roman" w:hint="eastAsia"/>
                <w:kern w:val="0"/>
                <w:sz w:val="21"/>
                <w:szCs w:val="21"/>
              </w:rPr>
              <w:t>t/a</w:t>
            </w:r>
          </w:p>
        </w:tc>
        <w:tc>
          <w:tcPr>
            <w:tcW w:w="2551" w:type="dxa"/>
            <w:vAlign w:val="center"/>
          </w:tcPr>
          <w:p w14:paraId="59BDB788" w14:textId="77777777" w:rsidR="00E579B9" w:rsidRDefault="006A1398">
            <w:pPr>
              <w:spacing w:line="360" w:lineRule="exact"/>
              <w:ind w:firstLineChars="0" w:firstLine="0"/>
              <w:jc w:val="center"/>
              <w:rPr>
                <w:rFonts w:cs="Times New Roman"/>
                <w:sz w:val="21"/>
                <w:szCs w:val="21"/>
              </w:rPr>
            </w:pPr>
            <w:r>
              <w:rPr>
                <w:rFonts w:cs="Times New Roman"/>
                <w:sz w:val="21"/>
                <w:szCs w:val="21"/>
              </w:rPr>
              <w:t>湿式凿岩，自带收尘器</w:t>
            </w:r>
          </w:p>
        </w:tc>
        <w:tc>
          <w:tcPr>
            <w:tcW w:w="1438" w:type="dxa"/>
            <w:vAlign w:val="center"/>
          </w:tcPr>
          <w:p w14:paraId="5E36C634"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0.0</w:t>
            </w:r>
            <w:r>
              <w:rPr>
                <w:rFonts w:cs="Times New Roman"/>
                <w:kern w:val="0"/>
                <w:sz w:val="21"/>
                <w:szCs w:val="21"/>
              </w:rPr>
              <w:t>46</w:t>
            </w:r>
            <w:r>
              <w:rPr>
                <w:rFonts w:cs="Times New Roman" w:hint="eastAsia"/>
                <w:kern w:val="0"/>
                <w:sz w:val="21"/>
                <w:szCs w:val="21"/>
              </w:rPr>
              <w:t>t/a</w:t>
            </w:r>
          </w:p>
        </w:tc>
      </w:tr>
      <w:tr w:rsidR="00E579B9" w14:paraId="020A5B03" w14:textId="77777777">
        <w:tc>
          <w:tcPr>
            <w:tcW w:w="675" w:type="dxa"/>
            <w:vMerge/>
            <w:vAlign w:val="center"/>
          </w:tcPr>
          <w:p w14:paraId="27ED420D" w14:textId="77777777" w:rsidR="00E579B9" w:rsidRDefault="00E579B9">
            <w:pPr>
              <w:pStyle w:val="226"/>
              <w:spacing w:line="360" w:lineRule="exact"/>
              <w:ind w:firstLineChars="0" w:firstLine="0"/>
              <w:jc w:val="center"/>
              <w:rPr>
                <w:rFonts w:cs="Times New Roman"/>
                <w:kern w:val="0"/>
                <w:sz w:val="21"/>
                <w:szCs w:val="21"/>
              </w:rPr>
            </w:pPr>
          </w:p>
        </w:tc>
        <w:tc>
          <w:tcPr>
            <w:tcW w:w="709" w:type="dxa"/>
            <w:vMerge/>
            <w:vAlign w:val="center"/>
          </w:tcPr>
          <w:p w14:paraId="540BBE2B" w14:textId="77777777" w:rsidR="00E579B9" w:rsidRDefault="00E579B9">
            <w:pPr>
              <w:pStyle w:val="226"/>
              <w:spacing w:line="360" w:lineRule="exact"/>
              <w:ind w:firstLineChars="0" w:firstLine="0"/>
              <w:jc w:val="center"/>
              <w:rPr>
                <w:rFonts w:cs="Times New Roman"/>
                <w:kern w:val="0"/>
                <w:sz w:val="21"/>
                <w:szCs w:val="21"/>
              </w:rPr>
            </w:pPr>
          </w:p>
        </w:tc>
        <w:tc>
          <w:tcPr>
            <w:tcW w:w="1418" w:type="dxa"/>
            <w:vAlign w:val="center"/>
          </w:tcPr>
          <w:p w14:paraId="618B6278" w14:textId="77777777" w:rsidR="00E579B9" w:rsidRDefault="006A1398">
            <w:pPr>
              <w:spacing w:line="360" w:lineRule="exact"/>
              <w:ind w:firstLineChars="0" w:firstLine="0"/>
              <w:jc w:val="center"/>
              <w:rPr>
                <w:rFonts w:cs="Times New Roman"/>
                <w:sz w:val="21"/>
                <w:szCs w:val="21"/>
              </w:rPr>
            </w:pPr>
            <w:r>
              <w:rPr>
                <w:rFonts w:cs="Times New Roman"/>
                <w:kern w:val="0"/>
                <w:sz w:val="21"/>
                <w:szCs w:val="21"/>
              </w:rPr>
              <w:t>爆破</w:t>
            </w:r>
          </w:p>
        </w:tc>
        <w:tc>
          <w:tcPr>
            <w:tcW w:w="850" w:type="dxa"/>
            <w:vMerge/>
            <w:vAlign w:val="center"/>
          </w:tcPr>
          <w:p w14:paraId="3B4D702F" w14:textId="77777777" w:rsidR="00E579B9" w:rsidRDefault="00E579B9">
            <w:pPr>
              <w:pStyle w:val="226"/>
              <w:spacing w:line="360" w:lineRule="exact"/>
              <w:ind w:firstLineChars="0" w:firstLine="0"/>
              <w:jc w:val="center"/>
              <w:rPr>
                <w:rFonts w:cs="Times New Roman"/>
                <w:kern w:val="0"/>
                <w:sz w:val="21"/>
                <w:szCs w:val="21"/>
              </w:rPr>
            </w:pPr>
          </w:p>
        </w:tc>
        <w:tc>
          <w:tcPr>
            <w:tcW w:w="1305" w:type="dxa"/>
            <w:vAlign w:val="center"/>
          </w:tcPr>
          <w:p w14:paraId="24D585B4" w14:textId="77777777" w:rsidR="00E579B9" w:rsidRDefault="006A1398">
            <w:pPr>
              <w:pStyle w:val="226"/>
              <w:spacing w:line="360" w:lineRule="exact"/>
              <w:ind w:firstLineChars="0" w:firstLine="0"/>
              <w:jc w:val="center"/>
              <w:rPr>
                <w:rFonts w:cs="Times New Roman"/>
                <w:kern w:val="0"/>
                <w:sz w:val="21"/>
                <w:szCs w:val="21"/>
              </w:rPr>
            </w:pPr>
            <w:r>
              <w:rPr>
                <w:rFonts w:cs="Times New Roman"/>
                <w:kern w:val="0"/>
                <w:sz w:val="21"/>
                <w:szCs w:val="21"/>
              </w:rPr>
              <w:t>46</w:t>
            </w:r>
            <w:r>
              <w:rPr>
                <w:rFonts w:cs="Times New Roman" w:hint="eastAsia"/>
                <w:kern w:val="0"/>
                <w:sz w:val="21"/>
                <w:szCs w:val="21"/>
              </w:rPr>
              <w:t>t/a</w:t>
            </w:r>
          </w:p>
        </w:tc>
        <w:tc>
          <w:tcPr>
            <w:tcW w:w="2551" w:type="dxa"/>
            <w:vAlign w:val="center"/>
          </w:tcPr>
          <w:p w14:paraId="2E7720EF" w14:textId="77777777" w:rsidR="00E579B9" w:rsidRDefault="006A1398">
            <w:pPr>
              <w:spacing w:line="360" w:lineRule="exact"/>
              <w:ind w:firstLineChars="0" w:firstLine="0"/>
              <w:jc w:val="center"/>
              <w:rPr>
                <w:rFonts w:cs="Times New Roman"/>
                <w:sz w:val="21"/>
                <w:szCs w:val="21"/>
              </w:rPr>
            </w:pPr>
            <w:r>
              <w:rPr>
                <w:rFonts w:cs="Times New Roman"/>
                <w:sz w:val="21"/>
                <w:szCs w:val="21"/>
              </w:rPr>
              <w:t>采用水封爆破法</w:t>
            </w:r>
          </w:p>
        </w:tc>
        <w:tc>
          <w:tcPr>
            <w:tcW w:w="1438" w:type="dxa"/>
            <w:vAlign w:val="center"/>
          </w:tcPr>
          <w:p w14:paraId="2B3742CC"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0.</w:t>
            </w:r>
            <w:r>
              <w:rPr>
                <w:rFonts w:cs="Times New Roman"/>
                <w:kern w:val="0"/>
                <w:sz w:val="21"/>
                <w:szCs w:val="21"/>
              </w:rPr>
              <w:t>46</w:t>
            </w:r>
            <w:r>
              <w:rPr>
                <w:rFonts w:cs="Times New Roman" w:hint="eastAsia"/>
                <w:kern w:val="0"/>
                <w:sz w:val="21"/>
                <w:szCs w:val="21"/>
              </w:rPr>
              <w:t>t/a</w:t>
            </w:r>
          </w:p>
        </w:tc>
      </w:tr>
      <w:tr w:rsidR="00E579B9" w14:paraId="48BC180B" w14:textId="77777777">
        <w:tc>
          <w:tcPr>
            <w:tcW w:w="675" w:type="dxa"/>
            <w:vMerge/>
            <w:vAlign w:val="center"/>
          </w:tcPr>
          <w:p w14:paraId="62523FD4" w14:textId="77777777" w:rsidR="00E579B9" w:rsidRDefault="00E579B9">
            <w:pPr>
              <w:pStyle w:val="226"/>
              <w:spacing w:line="360" w:lineRule="exact"/>
              <w:ind w:firstLineChars="0" w:firstLine="0"/>
              <w:jc w:val="center"/>
              <w:rPr>
                <w:rFonts w:cs="Times New Roman"/>
                <w:kern w:val="0"/>
                <w:sz w:val="21"/>
                <w:szCs w:val="21"/>
              </w:rPr>
            </w:pPr>
          </w:p>
        </w:tc>
        <w:tc>
          <w:tcPr>
            <w:tcW w:w="709" w:type="dxa"/>
            <w:vMerge/>
            <w:vAlign w:val="center"/>
          </w:tcPr>
          <w:p w14:paraId="08679BA3" w14:textId="77777777" w:rsidR="00E579B9" w:rsidRDefault="00E579B9">
            <w:pPr>
              <w:pStyle w:val="226"/>
              <w:spacing w:line="360" w:lineRule="exact"/>
              <w:ind w:firstLineChars="0" w:firstLine="0"/>
              <w:jc w:val="center"/>
              <w:rPr>
                <w:rFonts w:cs="Times New Roman"/>
                <w:kern w:val="0"/>
                <w:sz w:val="21"/>
                <w:szCs w:val="21"/>
              </w:rPr>
            </w:pPr>
          </w:p>
        </w:tc>
        <w:tc>
          <w:tcPr>
            <w:tcW w:w="1418" w:type="dxa"/>
            <w:vAlign w:val="center"/>
          </w:tcPr>
          <w:p w14:paraId="09CA6AC0"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装卸</w:t>
            </w:r>
          </w:p>
        </w:tc>
        <w:tc>
          <w:tcPr>
            <w:tcW w:w="850" w:type="dxa"/>
            <w:vMerge/>
            <w:vAlign w:val="center"/>
          </w:tcPr>
          <w:p w14:paraId="356DF382" w14:textId="77777777" w:rsidR="00E579B9" w:rsidRDefault="00E579B9">
            <w:pPr>
              <w:pStyle w:val="226"/>
              <w:spacing w:line="360" w:lineRule="exact"/>
              <w:ind w:firstLineChars="0" w:firstLine="0"/>
              <w:jc w:val="center"/>
              <w:rPr>
                <w:rFonts w:cs="Times New Roman"/>
                <w:kern w:val="0"/>
                <w:sz w:val="21"/>
                <w:szCs w:val="21"/>
              </w:rPr>
            </w:pPr>
          </w:p>
        </w:tc>
        <w:tc>
          <w:tcPr>
            <w:tcW w:w="1305" w:type="dxa"/>
            <w:vAlign w:val="center"/>
          </w:tcPr>
          <w:p w14:paraId="56239F10" w14:textId="77777777" w:rsidR="00E579B9" w:rsidRDefault="006A1398">
            <w:pPr>
              <w:pStyle w:val="226"/>
              <w:spacing w:line="360" w:lineRule="exact"/>
              <w:ind w:firstLineChars="0" w:firstLine="0"/>
              <w:jc w:val="center"/>
              <w:rPr>
                <w:rFonts w:cs="Times New Roman"/>
                <w:kern w:val="0"/>
                <w:sz w:val="21"/>
                <w:szCs w:val="21"/>
              </w:rPr>
            </w:pPr>
            <w:r>
              <w:rPr>
                <w:rFonts w:cs="Times New Roman"/>
                <w:kern w:val="0"/>
                <w:sz w:val="21"/>
                <w:szCs w:val="21"/>
              </w:rPr>
              <w:t>18.03</w:t>
            </w:r>
            <w:r>
              <w:rPr>
                <w:rFonts w:cs="Times New Roman" w:hint="eastAsia"/>
                <w:kern w:val="0"/>
                <w:sz w:val="21"/>
                <w:szCs w:val="21"/>
              </w:rPr>
              <w:t>t/a</w:t>
            </w:r>
          </w:p>
        </w:tc>
        <w:tc>
          <w:tcPr>
            <w:tcW w:w="2551" w:type="dxa"/>
            <w:vAlign w:val="center"/>
          </w:tcPr>
          <w:p w14:paraId="2F9A04AD"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降低装卸落差</w:t>
            </w:r>
            <w:r>
              <w:rPr>
                <w:rFonts w:cs="Times New Roman"/>
                <w:sz w:val="21"/>
                <w:szCs w:val="21"/>
              </w:rPr>
              <w:t>+</w:t>
            </w:r>
            <w:r>
              <w:rPr>
                <w:rFonts w:cs="Times New Roman"/>
                <w:sz w:val="21"/>
                <w:szCs w:val="21"/>
              </w:rPr>
              <w:t>装卸部位喷雾降尘</w:t>
            </w:r>
          </w:p>
        </w:tc>
        <w:tc>
          <w:tcPr>
            <w:tcW w:w="1438" w:type="dxa"/>
            <w:vAlign w:val="center"/>
          </w:tcPr>
          <w:p w14:paraId="42B22ED9" w14:textId="77777777" w:rsidR="00E579B9" w:rsidRDefault="006A1398">
            <w:pPr>
              <w:pStyle w:val="226"/>
              <w:spacing w:line="360" w:lineRule="exact"/>
              <w:ind w:firstLineChars="0" w:firstLine="0"/>
              <w:jc w:val="center"/>
              <w:rPr>
                <w:rFonts w:cs="Times New Roman"/>
                <w:kern w:val="0"/>
                <w:sz w:val="21"/>
                <w:szCs w:val="21"/>
              </w:rPr>
            </w:pPr>
            <w:r>
              <w:rPr>
                <w:rFonts w:cs="Times New Roman"/>
                <w:kern w:val="0"/>
                <w:sz w:val="21"/>
                <w:szCs w:val="21"/>
              </w:rPr>
              <w:t>1.8</w:t>
            </w:r>
            <w:r>
              <w:rPr>
                <w:rFonts w:cs="Times New Roman" w:hint="eastAsia"/>
                <w:kern w:val="0"/>
                <w:sz w:val="21"/>
                <w:szCs w:val="21"/>
              </w:rPr>
              <w:t>t/a</w:t>
            </w:r>
          </w:p>
        </w:tc>
      </w:tr>
      <w:tr w:rsidR="00E579B9" w14:paraId="4152A6AE" w14:textId="77777777">
        <w:tc>
          <w:tcPr>
            <w:tcW w:w="675" w:type="dxa"/>
            <w:vMerge/>
            <w:vAlign w:val="center"/>
          </w:tcPr>
          <w:p w14:paraId="72F33655" w14:textId="77777777" w:rsidR="00E579B9" w:rsidRDefault="00E579B9">
            <w:pPr>
              <w:pStyle w:val="226"/>
              <w:spacing w:line="360" w:lineRule="exact"/>
              <w:ind w:firstLineChars="0" w:firstLine="0"/>
              <w:jc w:val="center"/>
              <w:rPr>
                <w:rFonts w:cs="Times New Roman"/>
                <w:kern w:val="0"/>
                <w:sz w:val="21"/>
                <w:szCs w:val="21"/>
              </w:rPr>
            </w:pPr>
          </w:p>
        </w:tc>
        <w:tc>
          <w:tcPr>
            <w:tcW w:w="709" w:type="dxa"/>
            <w:vAlign w:val="center"/>
          </w:tcPr>
          <w:p w14:paraId="777860FF"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破碎场地</w:t>
            </w:r>
          </w:p>
        </w:tc>
        <w:tc>
          <w:tcPr>
            <w:tcW w:w="1418" w:type="dxa"/>
            <w:vAlign w:val="center"/>
          </w:tcPr>
          <w:p w14:paraId="602E1C3B"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筛分、破碎</w:t>
            </w:r>
          </w:p>
        </w:tc>
        <w:tc>
          <w:tcPr>
            <w:tcW w:w="850" w:type="dxa"/>
            <w:vMerge/>
            <w:vAlign w:val="center"/>
          </w:tcPr>
          <w:p w14:paraId="63FDFE8A" w14:textId="77777777" w:rsidR="00E579B9" w:rsidRDefault="00E579B9">
            <w:pPr>
              <w:pStyle w:val="226"/>
              <w:spacing w:line="360" w:lineRule="exact"/>
              <w:ind w:firstLineChars="0" w:firstLine="0"/>
              <w:jc w:val="center"/>
              <w:rPr>
                <w:rFonts w:cs="Times New Roman"/>
                <w:kern w:val="0"/>
                <w:sz w:val="21"/>
                <w:szCs w:val="21"/>
              </w:rPr>
            </w:pPr>
          </w:p>
        </w:tc>
        <w:tc>
          <w:tcPr>
            <w:tcW w:w="1305" w:type="dxa"/>
            <w:vAlign w:val="center"/>
          </w:tcPr>
          <w:p w14:paraId="221ADEAF" w14:textId="77777777" w:rsidR="00E579B9" w:rsidRDefault="006A1398">
            <w:pPr>
              <w:pStyle w:val="226"/>
              <w:spacing w:line="360" w:lineRule="exact"/>
              <w:ind w:firstLineChars="0" w:firstLine="0"/>
              <w:jc w:val="center"/>
              <w:rPr>
                <w:rFonts w:cs="Times New Roman"/>
                <w:kern w:val="0"/>
                <w:sz w:val="21"/>
                <w:szCs w:val="21"/>
              </w:rPr>
            </w:pPr>
            <w:r>
              <w:rPr>
                <w:rFonts w:cs="Times New Roman"/>
                <w:sz w:val="21"/>
                <w:szCs w:val="21"/>
              </w:rPr>
              <w:t>7.705</w:t>
            </w:r>
            <w:r>
              <w:rPr>
                <w:rFonts w:cs="Times New Roman" w:hint="eastAsia"/>
                <w:sz w:val="21"/>
                <w:szCs w:val="21"/>
              </w:rPr>
              <w:t>t/a</w:t>
            </w:r>
          </w:p>
        </w:tc>
        <w:tc>
          <w:tcPr>
            <w:tcW w:w="2551" w:type="dxa"/>
            <w:vAlign w:val="center"/>
          </w:tcPr>
          <w:p w14:paraId="7BDD9E49"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sz w:val="21"/>
                <w:szCs w:val="21"/>
              </w:rPr>
              <w:t>密闭车间沉降</w:t>
            </w:r>
          </w:p>
        </w:tc>
        <w:tc>
          <w:tcPr>
            <w:tcW w:w="1438" w:type="dxa"/>
            <w:vAlign w:val="center"/>
          </w:tcPr>
          <w:p w14:paraId="000E5800" w14:textId="77777777" w:rsidR="00E579B9" w:rsidRDefault="006A1398">
            <w:pPr>
              <w:pStyle w:val="226"/>
              <w:spacing w:line="360" w:lineRule="exact"/>
              <w:ind w:firstLineChars="0" w:firstLine="0"/>
              <w:jc w:val="center"/>
              <w:rPr>
                <w:rFonts w:cs="Times New Roman"/>
                <w:kern w:val="0"/>
                <w:sz w:val="21"/>
                <w:szCs w:val="21"/>
              </w:rPr>
            </w:pPr>
            <w:r>
              <w:rPr>
                <w:rFonts w:cs="Times New Roman"/>
                <w:sz w:val="21"/>
                <w:szCs w:val="21"/>
              </w:rPr>
              <w:t>0.77</w:t>
            </w:r>
            <w:r>
              <w:rPr>
                <w:rFonts w:cs="Times New Roman" w:hint="eastAsia"/>
                <w:sz w:val="21"/>
                <w:szCs w:val="21"/>
              </w:rPr>
              <w:t>t/a</w:t>
            </w:r>
          </w:p>
        </w:tc>
      </w:tr>
      <w:tr w:rsidR="00E579B9" w14:paraId="13F5057B" w14:textId="77777777">
        <w:tc>
          <w:tcPr>
            <w:tcW w:w="675" w:type="dxa"/>
            <w:vMerge/>
            <w:vAlign w:val="center"/>
          </w:tcPr>
          <w:p w14:paraId="1AD14146" w14:textId="77777777" w:rsidR="00E579B9" w:rsidRDefault="00E579B9">
            <w:pPr>
              <w:pStyle w:val="226"/>
              <w:spacing w:line="360" w:lineRule="exact"/>
              <w:ind w:firstLineChars="0" w:firstLine="0"/>
              <w:jc w:val="center"/>
              <w:rPr>
                <w:rFonts w:cs="Times New Roman"/>
                <w:kern w:val="0"/>
                <w:sz w:val="21"/>
                <w:szCs w:val="21"/>
              </w:rPr>
            </w:pPr>
          </w:p>
        </w:tc>
        <w:tc>
          <w:tcPr>
            <w:tcW w:w="709" w:type="dxa"/>
            <w:vAlign w:val="center"/>
          </w:tcPr>
          <w:p w14:paraId="68C1D64C" w14:textId="77777777" w:rsidR="00E579B9" w:rsidRDefault="006A1398">
            <w:pPr>
              <w:pStyle w:val="226"/>
              <w:spacing w:line="360" w:lineRule="exact"/>
              <w:ind w:firstLineChars="0" w:firstLine="0"/>
              <w:jc w:val="center"/>
              <w:rPr>
                <w:rFonts w:cs="Times New Roman"/>
                <w:kern w:val="0"/>
                <w:sz w:val="21"/>
                <w:szCs w:val="21"/>
              </w:rPr>
            </w:pPr>
            <w:proofErr w:type="gramStart"/>
            <w:r>
              <w:rPr>
                <w:rFonts w:cs="Times New Roman" w:hint="eastAsia"/>
                <w:kern w:val="0"/>
                <w:sz w:val="21"/>
                <w:szCs w:val="21"/>
              </w:rPr>
              <w:t>表土场</w:t>
            </w:r>
            <w:proofErr w:type="gramEnd"/>
          </w:p>
        </w:tc>
        <w:tc>
          <w:tcPr>
            <w:tcW w:w="1418" w:type="dxa"/>
            <w:vAlign w:val="center"/>
          </w:tcPr>
          <w:p w14:paraId="6F470077"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风力起尘</w:t>
            </w:r>
          </w:p>
        </w:tc>
        <w:tc>
          <w:tcPr>
            <w:tcW w:w="850" w:type="dxa"/>
            <w:vMerge/>
            <w:vAlign w:val="center"/>
          </w:tcPr>
          <w:p w14:paraId="11E9D3CA" w14:textId="77777777" w:rsidR="00E579B9" w:rsidRDefault="00E579B9">
            <w:pPr>
              <w:pStyle w:val="226"/>
              <w:spacing w:line="360" w:lineRule="exact"/>
              <w:ind w:firstLineChars="0" w:firstLine="0"/>
              <w:jc w:val="center"/>
              <w:rPr>
                <w:rFonts w:cs="Times New Roman"/>
                <w:kern w:val="0"/>
                <w:sz w:val="21"/>
                <w:szCs w:val="21"/>
              </w:rPr>
            </w:pPr>
          </w:p>
        </w:tc>
        <w:tc>
          <w:tcPr>
            <w:tcW w:w="1305" w:type="dxa"/>
            <w:vAlign w:val="center"/>
          </w:tcPr>
          <w:p w14:paraId="526E97EA"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4.8</w:t>
            </w:r>
            <w:r>
              <w:rPr>
                <w:rFonts w:cs="Times New Roman"/>
                <w:sz w:val="21"/>
                <w:szCs w:val="21"/>
              </w:rPr>
              <w:t>t/a</w:t>
            </w:r>
          </w:p>
        </w:tc>
        <w:tc>
          <w:tcPr>
            <w:tcW w:w="2551" w:type="dxa"/>
            <w:vAlign w:val="center"/>
          </w:tcPr>
          <w:p w14:paraId="77C6DA4D"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定期洒水降尘</w:t>
            </w:r>
          </w:p>
        </w:tc>
        <w:tc>
          <w:tcPr>
            <w:tcW w:w="1438" w:type="dxa"/>
            <w:vAlign w:val="center"/>
          </w:tcPr>
          <w:p w14:paraId="22B1A433" w14:textId="77777777" w:rsidR="00E579B9" w:rsidRDefault="006A1398">
            <w:pPr>
              <w:pStyle w:val="226"/>
              <w:spacing w:line="360" w:lineRule="exact"/>
              <w:ind w:firstLineChars="0" w:firstLine="0"/>
              <w:jc w:val="center"/>
              <w:rPr>
                <w:rFonts w:cs="Times New Roman"/>
                <w:sz w:val="21"/>
                <w:szCs w:val="21"/>
              </w:rPr>
            </w:pPr>
            <w:r>
              <w:rPr>
                <w:rFonts w:cs="Times New Roman" w:hint="eastAsia"/>
                <w:sz w:val="21"/>
                <w:szCs w:val="21"/>
              </w:rPr>
              <w:t>0.48</w:t>
            </w:r>
            <w:r>
              <w:rPr>
                <w:rFonts w:cs="Times New Roman"/>
                <w:sz w:val="21"/>
                <w:szCs w:val="21"/>
              </w:rPr>
              <w:t>t/a</w:t>
            </w:r>
          </w:p>
        </w:tc>
      </w:tr>
    </w:tbl>
    <w:p w14:paraId="39E00811" w14:textId="77777777" w:rsidR="00E579B9" w:rsidRDefault="006A1398">
      <w:pPr>
        <w:pStyle w:val="226"/>
        <w:rPr>
          <w:rFonts w:cs="Times New Roman"/>
          <w:kern w:val="0"/>
        </w:rPr>
      </w:pPr>
      <w:r>
        <w:rPr>
          <w:rFonts w:hint="eastAsia"/>
        </w:rPr>
        <w:t>5</w:t>
      </w:r>
      <w:r>
        <w:t>.2.2.2</w:t>
      </w:r>
      <w:r>
        <w:rPr>
          <w:rFonts w:cs="Times New Roman" w:hint="eastAsia"/>
          <w:kern w:val="0"/>
        </w:rPr>
        <w:t>影响预测分析</w:t>
      </w:r>
    </w:p>
    <w:p w14:paraId="62A2397C" w14:textId="77777777" w:rsidR="00E579B9" w:rsidRDefault="006A1398">
      <w:pPr>
        <w:pStyle w:val="226"/>
        <w:rPr>
          <w:rFonts w:cs="Times New Roman"/>
          <w:kern w:val="0"/>
        </w:rPr>
      </w:pPr>
      <w:r>
        <w:rPr>
          <w:rFonts w:cs="Times New Roman" w:hint="eastAsia"/>
          <w:kern w:val="0"/>
        </w:rPr>
        <w:lastRenderedPageBreak/>
        <w:t>根据项目污染源情况，项目点源排放参数情况见表</w:t>
      </w:r>
      <w:r>
        <w:rPr>
          <w:rFonts w:cs="Times New Roman" w:hint="eastAsia"/>
          <w:kern w:val="0"/>
        </w:rPr>
        <w:t>5</w:t>
      </w:r>
      <w:r>
        <w:rPr>
          <w:rFonts w:cs="Times New Roman"/>
          <w:kern w:val="0"/>
        </w:rPr>
        <w:t>.2</w:t>
      </w:r>
      <w:r>
        <w:rPr>
          <w:rFonts w:cs="Times New Roman" w:hint="eastAsia"/>
          <w:kern w:val="0"/>
        </w:rPr>
        <w:t>-</w:t>
      </w:r>
      <w:r>
        <w:rPr>
          <w:rFonts w:cs="Times New Roman"/>
          <w:kern w:val="0"/>
        </w:rPr>
        <w:t>2</w:t>
      </w:r>
      <w:r>
        <w:rPr>
          <w:rFonts w:cs="Times New Roman" w:hint="eastAsia"/>
          <w:kern w:val="0"/>
        </w:rPr>
        <w:t>，项目无组织排放面源破碎场地位于露天采场内，因此评价预测时将露天采场和破碎场地、表土场</w:t>
      </w:r>
      <w:proofErr w:type="gramStart"/>
      <w:r>
        <w:rPr>
          <w:rFonts w:cs="Times New Roman" w:hint="eastAsia"/>
          <w:kern w:val="0"/>
        </w:rPr>
        <w:t>看做</w:t>
      </w:r>
      <w:proofErr w:type="gramEnd"/>
      <w:r>
        <w:rPr>
          <w:rFonts w:cs="Times New Roman" w:hint="eastAsia"/>
          <w:kern w:val="0"/>
        </w:rPr>
        <w:t>一个无组织排放面源，面源参数情况见表</w:t>
      </w:r>
      <w:r>
        <w:rPr>
          <w:rFonts w:cs="Times New Roman" w:hint="eastAsia"/>
          <w:kern w:val="0"/>
        </w:rPr>
        <w:t>5</w:t>
      </w:r>
      <w:r>
        <w:rPr>
          <w:rFonts w:cs="Times New Roman"/>
          <w:kern w:val="0"/>
        </w:rPr>
        <w:t>.2</w:t>
      </w:r>
      <w:r>
        <w:rPr>
          <w:rFonts w:cs="Times New Roman" w:hint="eastAsia"/>
          <w:kern w:val="0"/>
        </w:rPr>
        <w:t>-</w:t>
      </w:r>
      <w:r>
        <w:rPr>
          <w:rFonts w:cs="Times New Roman"/>
          <w:kern w:val="0"/>
        </w:rPr>
        <w:t>3</w:t>
      </w:r>
      <w:r>
        <w:rPr>
          <w:rFonts w:cs="Times New Roman" w:hint="eastAsia"/>
          <w:kern w:val="0"/>
        </w:rPr>
        <w:t>。</w:t>
      </w:r>
    </w:p>
    <w:p w14:paraId="04842490" w14:textId="51392E37" w:rsidR="00E579B9" w:rsidRDefault="006A1398">
      <w:pPr>
        <w:adjustRightInd w:val="0"/>
        <w:snapToGrid w:val="0"/>
        <w:spacing w:line="520" w:lineRule="exact"/>
        <w:jc w:val="center"/>
        <w:rPr>
          <w:szCs w:val="21"/>
        </w:rPr>
      </w:pPr>
      <w:r>
        <w:rPr>
          <w:rFonts w:eastAsia="黑体"/>
        </w:rPr>
        <w:t>表</w:t>
      </w:r>
      <w:r>
        <w:rPr>
          <w:rFonts w:eastAsia="黑体" w:hint="eastAsia"/>
        </w:rPr>
        <w:t>5</w:t>
      </w:r>
      <w:r>
        <w:rPr>
          <w:rFonts w:eastAsia="黑体"/>
        </w:rPr>
        <w:t>.2</w:t>
      </w:r>
      <w:r>
        <w:rPr>
          <w:rFonts w:eastAsia="黑体" w:hint="eastAsia"/>
        </w:rPr>
        <w:t>-</w:t>
      </w:r>
      <w:r>
        <w:rPr>
          <w:rFonts w:eastAsia="黑体"/>
        </w:rPr>
        <w:t>2</w:t>
      </w:r>
      <w:r>
        <w:rPr>
          <w:rFonts w:eastAsia="黑体" w:hint="eastAsia"/>
        </w:rPr>
        <w:t>点源排放污染源参数</w:t>
      </w:r>
    </w:p>
    <w:tbl>
      <w:tblPr>
        <w:tblW w:w="87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700"/>
        <w:gridCol w:w="1496"/>
        <w:gridCol w:w="590"/>
        <w:gridCol w:w="642"/>
        <w:gridCol w:w="1100"/>
        <w:gridCol w:w="527"/>
        <w:gridCol w:w="742"/>
        <w:gridCol w:w="426"/>
        <w:gridCol w:w="794"/>
      </w:tblGrid>
      <w:tr w:rsidR="00E579B9" w14:paraId="2677D21E" w14:textId="77777777">
        <w:tc>
          <w:tcPr>
            <w:tcW w:w="710" w:type="dxa"/>
            <w:vAlign w:val="center"/>
          </w:tcPr>
          <w:p w14:paraId="5C7B6BF9" w14:textId="77777777" w:rsidR="00E579B9" w:rsidRDefault="006A1398">
            <w:pPr>
              <w:spacing w:line="360" w:lineRule="exact"/>
              <w:ind w:firstLineChars="0" w:firstLine="0"/>
              <w:jc w:val="center"/>
              <w:rPr>
                <w:rFonts w:cs="Times New Roman"/>
                <w:sz w:val="21"/>
                <w:szCs w:val="21"/>
              </w:rPr>
            </w:pPr>
            <w:r>
              <w:rPr>
                <w:rFonts w:cs="Times New Roman"/>
                <w:sz w:val="21"/>
                <w:szCs w:val="21"/>
              </w:rPr>
              <w:t>点源</w:t>
            </w:r>
          </w:p>
          <w:p w14:paraId="05EA0A20" w14:textId="77777777" w:rsidR="00E579B9" w:rsidRDefault="006A1398">
            <w:pPr>
              <w:spacing w:line="360" w:lineRule="exact"/>
              <w:ind w:firstLineChars="0" w:firstLine="0"/>
              <w:jc w:val="center"/>
              <w:rPr>
                <w:rFonts w:cs="Times New Roman"/>
                <w:sz w:val="21"/>
                <w:szCs w:val="21"/>
              </w:rPr>
            </w:pPr>
            <w:r>
              <w:rPr>
                <w:rFonts w:cs="Times New Roman"/>
                <w:sz w:val="21"/>
                <w:szCs w:val="21"/>
              </w:rPr>
              <w:t>名称</w:t>
            </w:r>
          </w:p>
        </w:tc>
        <w:tc>
          <w:tcPr>
            <w:tcW w:w="1700" w:type="dxa"/>
            <w:vAlign w:val="center"/>
          </w:tcPr>
          <w:p w14:paraId="7E9318DB" w14:textId="77777777" w:rsidR="00E579B9" w:rsidRDefault="006A1398">
            <w:pPr>
              <w:spacing w:line="360" w:lineRule="exact"/>
              <w:ind w:firstLineChars="0" w:firstLine="0"/>
              <w:jc w:val="center"/>
              <w:rPr>
                <w:rFonts w:cs="Times New Roman"/>
                <w:sz w:val="21"/>
                <w:szCs w:val="21"/>
              </w:rPr>
            </w:pPr>
            <w:r>
              <w:rPr>
                <w:rFonts w:cs="Times New Roman"/>
                <w:sz w:val="21"/>
                <w:szCs w:val="21"/>
              </w:rPr>
              <w:t>排气筒底部</w:t>
            </w:r>
          </w:p>
          <w:p w14:paraId="6C2D8257" w14:textId="77777777" w:rsidR="00E579B9" w:rsidRDefault="006A1398">
            <w:pPr>
              <w:spacing w:line="360" w:lineRule="exact"/>
              <w:ind w:firstLineChars="0" w:firstLine="0"/>
              <w:jc w:val="center"/>
              <w:rPr>
                <w:rFonts w:cs="Times New Roman"/>
                <w:sz w:val="21"/>
                <w:szCs w:val="21"/>
              </w:rPr>
            </w:pPr>
            <w:r>
              <w:rPr>
                <w:rFonts w:cs="Times New Roman"/>
                <w:sz w:val="21"/>
                <w:szCs w:val="21"/>
              </w:rPr>
              <w:t>中心坐标</w:t>
            </w:r>
          </w:p>
        </w:tc>
        <w:tc>
          <w:tcPr>
            <w:tcW w:w="1496" w:type="dxa"/>
            <w:vAlign w:val="center"/>
          </w:tcPr>
          <w:p w14:paraId="28EE3C51" w14:textId="77777777" w:rsidR="00E579B9" w:rsidRDefault="006A1398">
            <w:pPr>
              <w:spacing w:line="360" w:lineRule="exact"/>
              <w:ind w:firstLineChars="0" w:firstLine="0"/>
              <w:jc w:val="center"/>
              <w:rPr>
                <w:rFonts w:cs="Times New Roman"/>
                <w:sz w:val="21"/>
                <w:szCs w:val="21"/>
              </w:rPr>
            </w:pPr>
            <w:r>
              <w:rPr>
                <w:rFonts w:cs="Times New Roman"/>
                <w:sz w:val="21"/>
                <w:szCs w:val="21"/>
              </w:rPr>
              <w:t>排气筒底部海拔高度</w:t>
            </w:r>
          </w:p>
        </w:tc>
        <w:tc>
          <w:tcPr>
            <w:tcW w:w="590" w:type="dxa"/>
            <w:vAlign w:val="center"/>
          </w:tcPr>
          <w:p w14:paraId="568CBAE1" w14:textId="77777777" w:rsidR="00E579B9" w:rsidRDefault="006A1398">
            <w:pPr>
              <w:spacing w:line="360" w:lineRule="exact"/>
              <w:ind w:firstLineChars="0" w:firstLine="0"/>
              <w:jc w:val="center"/>
              <w:rPr>
                <w:rFonts w:cs="Times New Roman"/>
                <w:sz w:val="21"/>
                <w:szCs w:val="21"/>
              </w:rPr>
            </w:pPr>
            <w:r>
              <w:rPr>
                <w:rFonts w:cs="Times New Roman"/>
                <w:sz w:val="21"/>
                <w:szCs w:val="21"/>
              </w:rPr>
              <w:t>排气筒高度</w:t>
            </w:r>
          </w:p>
        </w:tc>
        <w:tc>
          <w:tcPr>
            <w:tcW w:w="642" w:type="dxa"/>
            <w:vAlign w:val="center"/>
          </w:tcPr>
          <w:p w14:paraId="6FEA2034" w14:textId="77777777" w:rsidR="00E579B9" w:rsidRDefault="006A1398">
            <w:pPr>
              <w:spacing w:line="360" w:lineRule="exact"/>
              <w:ind w:firstLineChars="0" w:firstLine="0"/>
              <w:jc w:val="center"/>
              <w:rPr>
                <w:rFonts w:cs="Times New Roman"/>
                <w:sz w:val="21"/>
                <w:szCs w:val="21"/>
              </w:rPr>
            </w:pPr>
            <w:r>
              <w:rPr>
                <w:rFonts w:cs="Times New Roman"/>
                <w:sz w:val="21"/>
                <w:szCs w:val="21"/>
              </w:rPr>
              <w:t>排气筒内径</w:t>
            </w:r>
          </w:p>
        </w:tc>
        <w:tc>
          <w:tcPr>
            <w:tcW w:w="1100" w:type="dxa"/>
            <w:vAlign w:val="center"/>
          </w:tcPr>
          <w:p w14:paraId="03E25C43" w14:textId="77777777" w:rsidR="00E579B9" w:rsidRDefault="006A1398">
            <w:pPr>
              <w:spacing w:line="360" w:lineRule="exact"/>
              <w:ind w:firstLineChars="0" w:firstLine="0"/>
              <w:jc w:val="center"/>
              <w:rPr>
                <w:rFonts w:cs="Times New Roman"/>
                <w:sz w:val="21"/>
                <w:szCs w:val="21"/>
              </w:rPr>
            </w:pPr>
            <w:r>
              <w:rPr>
                <w:rFonts w:cs="Times New Roman"/>
                <w:sz w:val="21"/>
                <w:szCs w:val="21"/>
              </w:rPr>
              <w:t>烟气</w:t>
            </w:r>
            <w:r>
              <w:rPr>
                <w:rFonts w:cs="Times New Roman" w:hint="eastAsia"/>
                <w:sz w:val="21"/>
                <w:szCs w:val="21"/>
              </w:rPr>
              <w:t>流量（</w:t>
            </w:r>
            <w:r>
              <w:rPr>
                <w:rFonts w:cs="Times New Roman" w:hint="eastAsia"/>
                <w:sz w:val="21"/>
                <w:szCs w:val="21"/>
              </w:rPr>
              <w:t>m</w:t>
            </w:r>
            <w:r>
              <w:rPr>
                <w:rFonts w:cs="Times New Roman" w:hint="eastAsia"/>
                <w:sz w:val="21"/>
                <w:szCs w:val="21"/>
                <w:vertAlign w:val="superscript"/>
              </w:rPr>
              <w:t>3</w:t>
            </w:r>
            <w:r>
              <w:rPr>
                <w:rFonts w:cs="Times New Roman" w:hint="eastAsia"/>
                <w:sz w:val="21"/>
                <w:szCs w:val="21"/>
              </w:rPr>
              <w:t>/</w:t>
            </w:r>
            <w:r>
              <w:rPr>
                <w:rFonts w:cs="Times New Roman"/>
                <w:sz w:val="21"/>
                <w:szCs w:val="21"/>
              </w:rPr>
              <w:t>h</w:t>
            </w:r>
            <w:r>
              <w:rPr>
                <w:rFonts w:cs="Times New Roman" w:hint="eastAsia"/>
                <w:sz w:val="21"/>
                <w:szCs w:val="21"/>
              </w:rPr>
              <w:t>）</w:t>
            </w:r>
          </w:p>
        </w:tc>
        <w:tc>
          <w:tcPr>
            <w:tcW w:w="527" w:type="dxa"/>
            <w:vAlign w:val="center"/>
          </w:tcPr>
          <w:p w14:paraId="1DFA2313" w14:textId="77777777" w:rsidR="00E579B9" w:rsidRDefault="006A1398">
            <w:pPr>
              <w:spacing w:line="360" w:lineRule="exact"/>
              <w:ind w:firstLineChars="0" w:firstLine="0"/>
              <w:jc w:val="center"/>
              <w:rPr>
                <w:rFonts w:cs="Times New Roman"/>
                <w:sz w:val="21"/>
                <w:szCs w:val="21"/>
              </w:rPr>
            </w:pPr>
            <w:r>
              <w:rPr>
                <w:rFonts w:cs="Times New Roman"/>
                <w:sz w:val="21"/>
                <w:szCs w:val="21"/>
              </w:rPr>
              <w:t>烟气温度</w:t>
            </w:r>
          </w:p>
        </w:tc>
        <w:tc>
          <w:tcPr>
            <w:tcW w:w="742" w:type="dxa"/>
            <w:vAlign w:val="center"/>
          </w:tcPr>
          <w:p w14:paraId="2020543D" w14:textId="77777777" w:rsidR="00E579B9" w:rsidRDefault="006A1398">
            <w:pPr>
              <w:spacing w:line="360" w:lineRule="exact"/>
              <w:ind w:firstLineChars="0" w:firstLine="0"/>
              <w:jc w:val="center"/>
              <w:rPr>
                <w:rFonts w:cs="Times New Roman"/>
                <w:sz w:val="21"/>
                <w:szCs w:val="21"/>
              </w:rPr>
            </w:pPr>
            <w:r>
              <w:rPr>
                <w:rFonts w:cs="Times New Roman"/>
                <w:sz w:val="21"/>
                <w:szCs w:val="21"/>
              </w:rPr>
              <w:t>年排放小时数</w:t>
            </w:r>
          </w:p>
        </w:tc>
        <w:tc>
          <w:tcPr>
            <w:tcW w:w="426" w:type="dxa"/>
            <w:vAlign w:val="center"/>
          </w:tcPr>
          <w:p w14:paraId="134C74D1" w14:textId="77777777" w:rsidR="00E579B9" w:rsidRDefault="006A1398">
            <w:pPr>
              <w:spacing w:line="360" w:lineRule="exact"/>
              <w:ind w:firstLineChars="0" w:firstLine="0"/>
              <w:jc w:val="center"/>
              <w:rPr>
                <w:rFonts w:cs="Times New Roman"/>
                <w:sz w:val="21"/>
                <w:szCs w:val="21"/>
              </w:rPr>
            </w:pPr>
            <w:r>
              <w:rPr>
                <w:rFonts w:cs="Times New Roman"/>
                <w:sz w:val="21"/>
                <w:szCs w:val="21"/>
              </w:rPr>
              <w:t>排放工况</w:t>
            </w:r>
          </w:p>
        </w:tc>
        <w:tc>
          <w:tcPr>
            <w:tcW w:w="794" w:type="dxa"/>
            <w:vAlign w:val="center"/>
          </w:tcPr>
          <w:p w14:paraId="772A226E" w14:textId="77777777" w:rsidR="00E579B9" w:rsidRDefault="006A1398">
            <w:pPr>
              <w:spacing w:line="360" w:lineRule="exact"/>
              <w:ind w:firstLineChars="0" w:firstLine="0"/>
              <w:jc w:val="center"/>
              <w:rPr>
                <w:rFonts w:cs="Times New Roman"/>
                <w:sz w:val="21"/>
                <w:szCs w:val="21"/>
              </w:rPr>
            </w:pPr>
            <w:r>
              <w:rPr>
                <w:rFonts w:cs="Times New Roman"/>
                <w:sz w:val="21"/>
                <w:szCs w:val="21"/>
              </w:rPr>
              <w:t>排放速率</w:t>
            </w:r>
          </w:p>
        </w:tc>
      </w:tr>
      <w:tr w:rsidR="00E579B9" w14:paraId="0E7D8774" w14:textId="77777777">
        <w:tc>
          <w:tcPr>
            <w:tcW w:w="710" w:type="dxa"/>
            <w:vAlign w:val="center"/>
          </w:tcPr>
          <w:p w14:paraId="5DC4A1FD" w14:textId="77777777" w:rsidR="00E579B9" w:rsidRDefault="006A1398">
            <w:pPr>
              <w:spacing w:line="360" w:lineRule="exact"/>
              <w:ind w:firstLineChars="0" w:firstLine="0"/>
              <w:jc w:val="center"/>
              <w:rPr>
                <w:rFonts w:cs="Times New Roman"/>
                <w:sz w:val="21"/>
                <w:szCs w:val="21"/>
              </w:rPr>
            </w:pPr>
            <w:r>
              <w:rPr>
                <w:rFonts w:cs="Times New Roman"/>
                <w:sz w:val="21"/>
                <w:szCs w:val="21"/>
              </w:rPr>
              <w:t>1#</w:t>
            </w:r>
            <w:r>
              <w:rPr>
                <w:rFonts w:cs="Times New Roman"/>
                <w:sz w:val="21"/>
                <w:szCs w:val="21"/>
              </w:rPr>
              <w:t>排气筒</w:t>
            </w:r>
          </w:p>
        </w:tc>
        <w:tc>
          <w:tcPr>
            <w:tcW w:w="1700" w:type="dxa"/>
            <w:vAlign w:val="center"/>
          </w:tcPr>
          <w:p w14:paraId="5B873FA0" w14:textId="77777777" w:rsidR="00E579B9" w:rsidRDefault="006A1398">
            <w:pPr>
              <w:spacing w:line="360" w:lineRule="exact"/>
              <w:ind w:firstLineChars="0" w:firstLine="0"/>
              <w:rPr>
                <w:rFonts w:cs="Times New Roman"/>
                <w:sz w:val="21"/>
                <w:szCs w:val="21"/>
              </w:rPr>
            </w:pPr>
            <w:r>
              <w:rPr>
                <w:rFonts w:cs="Times New Roman"/>
                <w:sz w:val="21"/>
                <w:szCs w:val="21"/>
              </w:rPr>
              <w:t>E113.660699,</w:t>
            </w:r>
          </w:p>
          <w:p w14:paraId="6EA0B95C" w14:textId="77777777" w:rsidR="00E579B9" w:rsidRDefault="006A1398">
            <w:pPr>
              <w:spacing w:line="360" w:lineRule="exact"/>
              <w:ind w:firstLineChars="0" w:firstLine="0"/>
              <w:rPr>
                <w:rFonts w:cs="Times New Roman"/>
                <w:sz w:val="21"/>
                <w:szCs w:val="21"/>
              </w:rPr>
            </w:pPr>
            <w:r>
              <w:rPr>
                <w:rFonts w:cs="Times New Roman" w:hint="eastAsia"/>
                <w:sz w:val="21"/>
                <w:szCs w:val="21"/>
              </w:rPr>
              <w:t>N</w:t>
            </w:r>
            <w:r>
              <w:rPr>
                <w:rFonts w:cs="Times New Roman"/>
                <w:sz w:val="21"/>
                <w:szCs w:val="21"/>
              </w:rPr>
              <w:t>33.119141</w:t>
            </w:r>
          </w:p>
        </w:tc>
        <w:tc>
          <w:tcPr>
            <w:tcW w:w="1496" w:type="dxa"/>
            <w:vAlign w:val="center"/>
          </w:tcPr>
          <w:p w14:paraId="26F3EF44"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300</w:t>
            </w:r>
            <w:r>
              <w:rPr>
                <w:rFonts w:cs="Times New Roman"/>
                <w:sz w:val="21"/>
                <w:szCs w:val="21"/>
              </w:rPr>
              <w:t>m</w:t>
            </w:r>
          </w:p>
        </w:tc>
        <w:tc>
          <w:tcPr>
            <w:tcW w:w="590" w:type="dxa"/>
            <w:vAlign w:val="center"/>
          </w:tcPr>
          <w:p w14:paraId="772ECC75"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15</w:t>
            </w:r>
            <w:r>
              <w:rPr>
                <w:rFonts w:cs="Times New Roman"/>
                <w:sz w:val="21"/>
                <w:szCs w:val="21"/>
              </w:rPr>
              <w:t>m</w:t>
            </w:r>
          </w:p>
        </w:tc>
        <w:tc>
          <w:tcPr>
            <w:tcW w:w="642" w:type="dxa"/>
            <w:vAlign w:val="center"/>
          </w:tcPr>
          <w:p w14:paraId="59668CA7" w14:textId="77777777" w:rsidR="00E579B9" w:rsidRDefault="006A1398">
            <w:pPr>
              <w:spacing w:line="360" w:lineRule="exact"/>
              <w:ind w:firstLineChars="0" w:firstLine="0"/>
              <w:jc w:val="center"/>
              <w:rPr>
                <w:rFonts w:cs="Times New Roman"/>
                <w:sz w:val="21"/>
                <w:szCs w:val="21"/>
              </w:rPr>
            </w:pPr>
            <w:r>
              <w:rPr>
                <w:rFonts w:cs="Times New Roman"/>
                <w:sz w:val="21"/>
                <w:szCs w:val="21"/>
              </w:rPr>
              <w:t>0.3m</w:t>
            </w:r>
          </w:p>
        </w:tc>
        <w:tc>
          <w:tcPr>
            <w:tcW w:w="1100" w:type="dxa"/>
            <w:vAlign w:val="center"/>
          </w:tcPr>
          <w:p w14:paraId="4E2ECF17"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20000</w:t>
            </w:r>
          </w:p>
        </w:tc>
        <w:tc>
          <w:tcPr>
            <w:tcW w:w="527" w:type="dxa"/>
            <w:vAlign w:val="center"/>
          </w:tcPr>
          <w:p w14:paraId="74CB78D3" w14:textId="77777777" w:rsidR="00E579B9" w:rsidRDefault="006A1398">
            <w:pPr>
              <w:spacing w:line="360" w:lineRule="exact"/>
              <w:ind w:firstLineChars="0" w:firstLine="0"/>
              <w:jc w:val="center"/>
              <w:rPr>
                <w:rFonts w:cs="Times New Roman"/>
                <w:sz w:val="21"/>
                <w:szCs w:val="21"/>
              </w:rPr>
            </w:pPr>
            <w:r>
              <w:rPr>
                <w:rFonts w:cs="Times New Roman"/>
                <w:sz w:val="21"/>
                <w:szCs w:val="21"/>
              </w:rPr>
              <w:t>20</w:t>
            </w:r>
            <w:r>
              <w:rPr>
                <w:rFonts w:ascii="宋体" w:hAnsi="宋体" w:cs="宋体" w:hint="eastAsia"/>
                <w:sz w:val="21"/>
                <w:szCs w:val="21"/>
              </w:rPr>
              <w:t>℃</w:t>
            </w:r>
          </w:p>
        </w:tc>
        <w:tc>
          <w:tcPr>
            <w:tcW w:w="742" w:type="dxa"/>
            <w:vAlign w:val="center"/>
          </w:tcPr>
          <w:p w14:paraId="3CE71DD4"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4480</w:t>
            </w:r>
            <w:r>
              <w:rPr>
                <w:rFonts w:cs="Times New Roman"/>
                <w:sz w:val="21"/>
                <w:szCs w:val="21"/>
              </w:rPr>
              <w:t>h</w:t>
            </w:r>
          </w:p>
        </w:tc>
        <w:tc>
          <w:tcPr>
            <w:tcW w:w="426" w:type="dxa"/>
            <w:vAlign w:val="center"/>
          </w:tcPr>
          <w:p w14:paraId="09702C81" w14:textId="77777777" w:rsidR="00E579B9" w:rsidRDefault="006A1398">
            <w:pPr>
              <w:spacing w:line="360" w:lineRule="exact"/>
              <w:ind w:firstLineChars="0" w:firstLine="0"/>
              <w:jc w:val="center"/>
              <w:rPr>
                <w:rFonts w:cs="Times New Roman"/>
                <w:sz w:val="21"/>
                <w:szCs w:val="21"/>
              </w:rPr>
            </w:pPr>
            <w:r>
              <w:rPr>
                <w:rFonts w:cs="Times New Roman"/>
                <w:sz w:val="21"/>
                <w:szCs w:val="21"/>
              </w:rPr>
              <w:t>正常排放</w:t>
            </w:r>
          </w:p>
        </w:tc>
        <w:tc>
          <w:tcPr>
            <w:tcW w:w="794" w:type="dxa"/>
            <w:vAlign w:val="center"/>
          </w:tcPr>
          <w:p w14:paraId="2F680637" w14:textId="77777777" w:rsidR="00E579B9" w:rsidRDefault="006A1398">
            <w:pPr>
              <w:spacing w:line="360" w:lineRule="exact"/>
              <w:ind w:firstLineChars="0" w:firstLine="0"/>
              <w:jc w:val="center"/>
              <w:rPr>
                <w:rFonts w:cs="Times New Roman"/>
                <w:sz w:val="21"/>
                <w:szCs w:val="21"/>
              </w:rPr>
            </w:pPr>
            <w:r>
              <w:rPr>
                <w:rFonts w:cs="Times New Roman"/>
                <w:sz w:val="21"/>
                <w:szCs w:val="21"/>
              </w:rPr>
              <w:t>0.</w:t>
            </w:r>
            <w:r>
              <w:rPr>
                <w:rFonts w:cs="Times New Roman" w:hint="eastAsia"/>
                <w:sz w:val="21"/>
                <w:szCs w:val="21"/>
              </w:rPr>
              <w:t>0161</w:t>
            </w:r>
          </w:p>
          <w:p w14:paraId="44C32C0B" w14:textId="77777777" w:rsidR="00E579B9" w:rsidRDefault="006A1398">
            <w:pPr>
              <w:spacing w:line="360" w:lineRule="exact"/>
              <w:ind w:firstLineChars="0" w:firstLine="0"/>
              <w:jc w:val="center"/>
              <w:rPr>
                <w:rFonts w:cs="Times New Roman"/>
                <w:sz w:val="21"/>
                <w:szCs w:val="21"/>
              </w:rPr>
            </w:pPr>
            <w:r>
              <w:rPr>
                <w:rFonts w:cs="Times New Roman"/>
                <w:sz w:val="21"/>
                <w:szCs w:val="21"/>
              </w:rPr>
              <w:t>kg/h</w:t>
            </w:r>
          </w:p>
        </w:tc>
      </w:tr>
      <w:tr w:rsidR="00E579B9" w14:paraId="059C93E3" w14:textId="77777777">
        <w:tc>
          <w:tcPr>
            <w:tcW w:w="710" w:type="dxa"/>
            <w:vAlign w:val="center"/>
          </w:tcPr>
          <w:p w14:paraId="00C21E5F" w14:textId="77777777" w:rsidR="00E579B9" w:rsidRDefault="006A1398">
            <w:pPr>
              <w:spacing w:line="360" w:lineRule="exact"/>
              <w:ind w:firstLineChars="0" w:firstLine="0"/>
              <w:jc w:val="center"/>
              <w:rPr>
                <w:rFonts w:cs="Times New Roman"/>
                <w:sz w:val="21"/>
                <w:szCs w:val="21"/>
              </w:rPr>
            </w:pPr>
            <w:r>
              <w:rPr>
                <w:rFonts w:cs="Times New Roman"/>
                <w:sz w:val="21"/>
                <w:szCs w:val="21"/>
              </w:rPr>
              <w:t>2#</w:t>
            </w:r>
            <w:r>
              <w:rPr>
                <w:rFonts w:cs="Times New Roman"/>
                <w:sz w:val="21"/>
                <w:szCs w:val="21"/>
              </w:rPr>
              <w:t>排气筒</w:t>
            </w:r>
          </w:p>
        </w:tc>
        <w:tc>
          <w:tcPr>
            <w:tcW w:w="1700" w:type="dxa"/>
            <w:vAlign w:val="center"/>
          </w:tcPr>
          <w:p w14:paraId="3213E2F4" w14:textId="77777777" w:rsidR="00E579B9" w:rsidRDefault="006A1398">
            <w:pPr>
              <w:spacing w:line="360" w:lineRule="exact"/>
              <w:ind w:firstLineChars="0" w:firstLine="0"/>
              <w:rPr>
                <w:rFonts w:cs="Times New Roman"/>
                <w:sz w:val="21"/>
                <w:szCs w:val="21"/>
              </w:rPr>
            </w:pPr>
            <w:r>
              <w:rPr>
                <w:rFonts w:cs="Times New Roman"/>
                <w:sz w:val="21"/>
                <w:szCs w:val="21"/>
              </w:rPr>
              <w:t>E113.660</w:t>
            </w:r>
            <w:r>
              <w:rPr>
                <w:rFonts w:cs="Times New Roman" w:hint="eastAsia"/>
                <w:sz w:val="21"/>
                <w:szCs w:val="21"/>
              </w:rPr>
              <w:t>701</w:t>
            </w:r>
            <w:r>
              <w:rPr>
                <w:rFonts w:cs="Times New Roman"/>
                <w:sz w:val="21"/>
                <w:szCs w:val="21"/>
              </w:rPr>
              <w:t>,</w:t>
            </w:r>
          </w:p>
          <w:p w14:paraId="3FF66636"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N</w:t>
            </w:r>
            <w:r>
              <w:rPr>
                <w:rFonts w:cs="Times New Roman"/>
                <w:sz w:val="21"/>
                <w:szCs w:val="21"/>
              </w:rPr>
              <w:t>33.1191</w:t>
            </w:r>
            <w:r>
              <w:rPr>
                <w:rFonts w:cs="Times New Roman" w:hint="eastAsia"/>
                <w:sz w:val="21"/>
                <w:szCs w:val="21"/>
              </w:rPr>
              <w:t>29</w:t>
            </w:r>
          </w:p>
        </w:tc>
        <w:tc>
          <w:tcPr>
            <w:tcW w:w="1496" w:type="dxa"/>
            <w:vAlign w:val="center"/>
          </w:tcPr>
          <w:p w14:paraId="6ABBF41A"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300</w:t>
            </w:r>
            <w:r>
              <w:rPr>
                <w:rFonts w:cs="Times New Roman"/>
                <w:sz w:val="21"/>
                <w:szCs w:val="21"/>
              </w:rPr>
              <w:t>m</w:t>
            </w:r>
          </w:p>
        </w:tc>
        <w:tc>
          <w:tcPr>
            <w:tcW w:w="590" w:type="dxa"/>
            <w:vAlign w:val="center"/>
          </w:tcPr>
          <w:p w14:paraId="479080BB"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15</w:t>
            </w:r>
            <w:r>
              <w:rPr>
                <w:rFonts w:cs="Times New Roman"/>
                <w:sz w:val="21"/>
                <w:szCs w:val="21"/>
              </w:rPr>
              <w:t>m</w:t>
            </w:r>
          </w:p>
        </w:tc>
        <w:tc>
          <w:tcPr>
            <w:tcW w:w="642" w:type="dxa"/>
            <w:vAlign w:val="center"/>
          </w:tcPr>
          <w:p w14:paraId="0DA7665F" w14:textId="77777777" w:rsidR="00E579B9" w:rsidRDefault="006A1398">
            <w:pPr>
              <w:spacing w:line="360" w:lineRule="exact"/>
              <w:ind w:firstLineChars="0" w:firstLine="0"/>
              <w:jc w:val="center"/>
              <w:rPr>
                <w:rFonts w:cs="Times New Roman"/>
                <w:sz w:val="21"/>
                <w:szCs w:val="21"/>
              </w:rPr>
            </w:pPr>
            <w:r>
              <w:rPr>
                <w:rFonts w:cs="Times New Roman"/>
                <w:sz w:val="21"/>
                <w:szCs w:val="21"/>
              </w:rPr>
              <w:t>0.3m</w:t>
            </w:r>
          </w:p>
        </w:tc>
        <w:tc>
          <w:tcPr>
            <w:tcW w:w="1100" w:type="dxa"/>
            <w:vAlign w:val="center"/>
          </w:tcPr>
          <w:p w14:paraId="6A0EF538"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20000</w:t>
            </w:r>
          </w:p>
        </w:tc>
        <w:tc>
          <w:tcPr>
            <w:tcW w:w="527" w:type="dxa"/>
            <w:vAlign w:val="center"/>
          </w:tcPr>
          <w:p w14:paraId="5AE253B6" w14:textId="77777777" w:rsidR="00E579B9" w:rsidRDefault="006A1398">
            <w:pPr>
              <w:spacing w:line="360" w:lineRule="exact"/>
              <w:ind w:firstLineChars="0" w:firstLine="0"/>
              <w:jc w:val="center"/>
              <w:rPr>
                <w:rFonts w:cs="Times New Roman"/>
                <w:sz w:val="21"/>
                <w:szCs w:val="21"/>
              </w:rPr>
            </w:pPr>
            <w:r>
              <w:rPr>
                <w:rFonts w:cs="Times New Roman"/>
                <w:sz w:val="21"/>
                <w:szCs w:val="21"/>
              </w:rPr>
              <w:t>20</w:t>
            </w:r>
            <w:r>
              <w:rPr>
                <w:rFonts w:ascii="宋体" w:hAnsi="宋体" w:cs="宋体" w:hint="eastAsia"/>
                <w:sz w:val="21"/>
                <w:szCs w:val="21"/>
              </w:rPr>
              <w:t>℃</w:t>
            </w:r>
          </w:p>
        </w:tc>
        <w:tc>
          <w:tcPr>
            <w:tcW w:w="742" w:type="dxa"/>
            <w:vAlign w:val="center"/>
          </w:tcPr>
          <w:p w14:paraId="37B25C50"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4480</w:t>
            </w:r>
            <w:r>
              <w:rPr>
                <w:rFonts w:cs="Times New Roman"/>
                <w:sz w:val="21"/>
                <w:szCs w:val="21"/>
              </w:rPr>
              <w:t>h</w:t>
            </w:r>
          </w:p>
        </w:tc>
        <w:tc>
          <w:tcPr>
            <w:tcW w:w="426" w:type="dxa"/>
            <w:vAlign w:val="center"/>
          </w:tcPr>
          <w:p w14:paraId="508C31D1" w14:textId="77777777" w:rsidR="00E579B9" w:rsidRDefault="006A1398">
            <w:pPr>
              <w:spacing w:line="360" w:lineRule="exact"/>
              <w:ind w:firstLineChars="0" w:firstLine="0"/>
              <w:jc w:val="center"/>
              <w:rPr>
                <w:rFonts w:cs="Times New Roman"/>
                <w:sz w:val="21"/>
                <w:szCs w:val="21"/>
              </w:rPr>
            </w:pPr>
            <w:r>
              <w:rPr>
                <w:rFonts w:cs="Times New Roman"/>
                <w:sz w:val="21"/>
                <w:szCs w:val="21"/>
              </w:rPr>
              <w:t>正常排放</w:t>
            </w:r>
          </w:p>
        </w:tc>
        <w:tc>
          <w:tcPr>
            <w:tcW w:w="794" w:type="dxa"/>
            <w:vAlign w:val="center"/>
          </w:tcPr>
          <w:p w14:paraId="2D600714" w14:textId="77777777" w:rsidR="00E579B9" w:rsidRDefault="006A1398">
            <w:pPr>
              <w:spacing w:line="360" w:lineRule="exact"/>
              <w:ind w:firstLineChars="0" w:firstLine="0"/>
              <w:jc w:val="center"/>
              <w:rPr>
                <w:rFonts w:cs="Times New Roman"/>
                <w:sz w:val="21"/>
                <w:szCs w:val="21"/>
              </w:rPr>
            </w:pPr>
            <w:r>
              <w:rPr>
                <w:rFonts w:cs="Times New Roman"/>
                <w:sz w:val="21"/>
                <w:szCs w:val="21"/>
              </w:rPr>
              <w:t>0.</w:t>
            </w:r>
            <w:r>
              <w:rPr>
                <w:rFonts w:cs="Times New Roman" w:hint="eastAsia"/>
                <w:sz w:val="21"/>
                <w:szCs w:val="21"/>
              </w:rPr>
              <w:t>0166</w:t>
            </w:r>
          </w:p>
          <w:p w14:paraId="57FC502C" w14:textId="77777777" w:rsidR="00E579B9" w:rsidRDefault="006A1398">
            <w:pPr>
              <w:spacing w:line="360" w:lineRule="exact"/>
              <w:ind w:firstLineChars="0" w:firstLine="0"/>
              <w:jc w:val="center"/>
              <w:rPr>
                <w:rFonts w:cs="Times New Roman"/>
                <w:sz w:val="21"/>
                <w:szCs w:val="21"/>
              </w:rPr>
            </w:pPr>
            <w:r>
              <w:rPr>
                <w:rFonts w:cs="Times New Roman"/>
                <w:sz w:val="21"/>
                <w:szCs w:val="21"/>
              </w:rPr>
              <w:t>kg/h</w:t>
            </w:r>
          </w:p>
        </w:tc>
      </w:tr>
    </w:tbl>
    <w:p w14:paraId="62E20E28" w14:textId="4C37E69E" w:rsidR="00E579B9" w:rsidRDefault="006A1398">
      <w:pPr>
        <w:adjustRightInd w:val="0"/>
        <w:snapToGrid w:val="0"/>
        <w:spacing w:line="520" w:lineRule="exact"/>
        <w:jc w:val="center"/>
        <w:rPr>
          <w:rFonts w:eastAsia="黑体"/>
        </w:rPr>
      </w:pPr>
      <w:r>
        <w:rPr>
          <w:rFonts w:eastAsia="黑体" w:hint="eastAsia"/>
        </w:rPr>
        <w:t>表</w:t>
      </w:r>
      <w:r>
        <w:rPr>
          <w:rFonts w:eastAsia="黑体" w:hint="eastAsia"/>
        </w:rPr>
        <w:t>5.2-3</w:t>
      </w:r>
      <w:r>
        <w:rPr>
          <w:rFonts w:eastAsia="黑体" w:hint="eastAsia"/>
        </w:rPr>
        <w:t>项目面源排放参数</w:t>
      </w:r>
    </w:p>
    <w:tbl>
      <w:tblPr>
        <w:tblW w:w="8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3"/>
        <w:gridCol w:w="850"/>
        <w:gridCol w:w="709"/>
        <w:gridCol w:w="709"/>
        <w:gridCol w:w="709"/>
        <w:gridCol w:w="850"/>
        <w:gridCol w:w="850"/>
        <w:gridCol w:w="709"/>
        <w:gridCol w:w="1326"/>
      </w:tblGrid>
      <w:tr w:rsidR="00E579B9" w14:paraId="4F9E1E55" w14:textId="77777777">
        <w:trPr>
          <w:jc w:val="center"/>
        </w:trPr>
        <w:tc>
          <w:tcPr>
            <w:tcW w:w="1101" w:type="dxa"/>
            <w:vAlign w:val="center"/>
          </w:tcPr>
          <w:p w14:paraId="1545F232" w14:textId="77777777" w:rsidR="00E579B9" w:rsidRDefault="006A1398">
            <w:pPr>
              <w:spacing w:line="360" w:lineRule="exact"/>
              <w:ind w:firstLineChars="0" w:firstLine="0"/>
              <w:jc w:val="center"/>
              <w:rPr>
                <w:rFonts w:cs="Times New Roman"/>
                <w:sz w:val="21"/>
                <w:szCs w:val="21"/>
              </w:rPr>
            </w:pPr>
            <w:r>
              <w:rPr>
                <w:rFonts w:cs="Times New Roman"/>
                <w:sz w:val="21"/>
                <w:szCs w:val="21"/>
              </w:rPr>
              <w:t>面源名称</w:t>
            </w:r>
          </w:p>
        </w:tc>
        <w:tc>
          <w:tcPr>
            <w:tcW w:w="1133" w:type="dxa"/>
            <w:vAlign w:val="center"/>
          </w:tcPr>
          <w:p w14:paraId="37691D97" w14:textId="77777777" w:rsidR="00E579B9" w:rsidRDefault="006A1398">
            <w:pPr>
              <w:spacing w:line="360" w:lineRule="exact"/>
              <w:ind w:firstLineChars="0" w:firstLine="0"/>
              <w:jc w:val="center"/>
              <w:rPr>
                <w:rFonts w:cs="Times New Roman"/>
                <w:sz w:val="21"/>
                <w:szCs w:val="21"/>
              </w:rPr>
            </w:pPr>
            <w:r>
              <w:rPr>
                <w:rFonts w:cs="Times New Roman"/>
                <w:sz w:val="21"/>
                <w:szCs w:val="21"/>
              </w:rPr>
              <w:t>面源起点坐标</w:t>
            </w:r>
          </w:p>
        </w:tc>
        <w:tc>
          <w:tcPr>
            <w:tcW w:w="850" w:type="dxa"/>
            <w:vAlign w:val="center"/>
          </w:tcPr>
          <w:p w14:paraId="56A0F0E3" w14:textId="77777777" w:rsidR="00E579B9" w:rsidRDefault="006A1398">
            <w:pPr>
              <w:spacing w:line="360" w:lineRule="exact"/>
              <w:ind w:firstLineChars="0" w:firstLine="0"/>
              <w:jc w:val="center"/>
              <w:rPr>
                <w:rFonts w:cs="Times New Roman"/>
                <w:sz w:val="21"/>
                <w:szCs w:val="21"/>
              </w:rPr>
            </w:pPr>
            <w:r>
              <w:rPr>
                <w:rFonts w:cs="Times New Roman"/>
                <w:sz w:val="21"/>
                <w:szCs w:val="21"/>
              </w:rPr>
              <w:t>面源海拔高度</w:t>
            </w:r>
          </w:p>
        </w:tc>
        <w:tc>
          <w:tcPr>
            <w:tcW w:w="709" w:type="dxa"/>
            <w:vAlign w:val="center"/>
          </w:tcPr>
          <w:p w14:paraId="774615CB" w14:textId="77777777" w:rsidR="00E579B9" w:rsidRDefault="006A1398">
            <w:pPr>
              <w:spacing w:line="360" w:lineRule="exact"/>
              <w:ind w:firstLineChars="0" w:firstLine="0"/>
              <w:jc w:val="center"/>
              <w:rPr>
                <w:rFonts w:cs="Times New Roman"/>
                <w:sz w:val="21"/>
                <w:szCs w:val="21"/>
              </w:rPr>
            </w:pPr>
            <w:r>
              <w:rPr>
                <w:rFonts w:cs="Times New Roman"/>
                <w:sz w:val="21"/>
                <w:szCs w:val="21"/>
              </w:rPr>
              <w:t>面源长度</w:t>
            </w:r>
          </w:p>
        </w:tc>
        <w:tc>
          <w:tcPr>
            <w:tcW w:w="709" w:type="dxa"/>
            <w:vAlign w:val="center"/>
          </w:tcPr>
          <w:p w14:paraId="56BF0B13" w14:textId="77777777" w:rsidR="00E579B9" w:rsidRDefault="006A1398">
            <w:pPr>
              <w:spacing w:line="360" w:lineRule="exact"/>
              <w:ind w:firstLineChars="0" w:firstLine="0"/>
              <w:jc w:val="center"/>
              <w:rPr>
                <w:rFonts w:cs="Times New Roman"/>
                <w:sz w:val="21"/>
                <w:szCs w:val="21"/>
              </w:rPr>
            </w:pPr>
            <w:r>
              <w:rPr>
                <w:rFonts w:cs="Times New Roman"/>
                <w:sz w:val="21"/>
                <w:szCs w:val="21"/>
              </w:rPr>
              <w:t>面源宽度</w:t>
            </w:r>
          </w:p>
        </w:tc>
        <w:tc>
          <w:tcPr>
            <w:tcW w:w="709" w:type="dxa"/>
            <w:vAlign w:val="center"/>
          </w:tcPr>
          <w:p w14:paraId="7A18BB54" w14:textId="77777777" w:rsidR="00E579B9" w:rsidRDefault="006A1398">
            <w:pPr>
              <w:spacing w:line="360" w:lineRule="exact"/>
              <w:ind w:firstLineChars="0" w:firstLine="0"/>
              <w:jc w:val="center"/>
              <w:rPr>
                <w:rFonts w:cs="Times New Roman"/>
                <w:sz w:val="21"/>
                <w:szCs w:val="21"/>
              </w:rPr>
            </w:pPr>
            <w:r>
              <w:rPr>
                <w:rFonts w:cs="Times New Roman"/>
                <w:sz w:val="21"/>
                <w:szCs w:val="21"/>
              </w:rPr>
              <w:t>与</w:t>
            </w:r>
            <w:proofErr w:type="gramStart"/>
            <w:r>
              <w:rPr>
                <w:rFonts w:cs="Times New Roman"/>
                <w:sz w:val="21"/>
                <w:szCs w:val="21"/>
              </w:rPr>
              <w:t>正北向</w:t>
            </w:r>
            <w:proofErr w:type="gramEnd"/>
            <w:r>
              <w:rPr>
                <w:rFonts w:cs="Times New Roman"/>
                <w:sz w:val="21"/>
                <w:szCs w:val="21"/>
              </w:rPr>
              <w:t>夹角</w:t>
            </w:r>
          </w:p>
        </w:tc>
        <w:tc>
          <w:tcPr>
            <w:tcW w:w="850" w:type="dxa"/>
            <w:vAlign w:val="center"/>
          </w:tcPr>
          <w:p w14:paraId="21D78725" w14:textId="77777777" w:rsidR="00E579B9" w:rsidRDefault="006A1398">
            <w:pPr>
              <w:spacing w:line="360" w:lineRule="exact"/>
              <w:ind w:firstLineChars="0" w:firstLine="0"/>
              <w:jc w:val="center"/>
              <w:rPr>
                <w:rFonts w:cs="Times New Roman"/>
                <w:sz w:val="21"/>
                <w:szCs w:val="21"/>
              </w:rPr>
            </w:pPr>
            <w:r>
              <w:rPr>
                <w:rFonts w:cs="Times New Roman"/>
                <w:sz w:val="21"/>
                <w:szCs w:val="21"/>
              </w:rPr>
              <w:t>面</w:t>
            </w:r>
            <w:proofErr w:type="gramStart"/>
            <w:r>
              <w:rPr>
                <w:rFonts w:cs="Times New Roman"/>
                <w:sz w:val="21"/>
                <w:szCs w:val="21"/>
              </w:rPr>
              <w:t>源有效</w:t>
            </w:r>
            <w:proofErr w:type="gramEnd"/>
            <w:r>
              <w:rPr>
                <w:rFonts w:cs="Times New Roman"/>
                <w:sz w:val="21"/>
                <w:szCs w:val="21"/>
              </w:rPr>
              <w:t>排放高度</w:t>
            </w:r>
          </w:p>
        </w:tc>
        <w:tc>
          <w:tcPr>
            <w:tcW w:w="850" w:type="dxa"/>
            <w:vAlign w:val="center"/>
          </w:tcPr>
          <w:p w14:paraId="64685335" w14:textId="77777777" w:rsidR="00E579B9" w:rsidRDefault="006A1398">
            <w:pPr>
              <w:spacing w:line="360" w:lineRule="exact"/>
              <w:ind w:firstLineChars="0" w:firstLine="0"/>
              <w:jc w:val="center"/>
              <w:rPr>
                <w:rFonts w:cs="Times New Roman"/>
                <w:sz w:val="21"/>
                <w:szCs w:val="21"/>
              </w:rPr>
            </w:pPr>
            <w:r>
              <w:rPr>
                <w:rFonts w:cs="Times New Roman"/>
                <w:sz w:val="21"/>
                <w:szCs w:val="21"/>
              </w:rPr>
              <w:t>年排放小时数</w:t>
            </w:r>
          </w:p>
        </w:tc>
        <w:tc>
          <w:tcPr>
            <w:tcW w:w="709" w:type="dxa"/>
            <w:vAlign w:val="center"/>
          </w:tcPr>
          <w:p w14:paraId="114CFE02" w14:textId="77777777" w:rsidR="00E579B9" w:rsidRDefault="006A1398">
            <w:pPr>
              <w:spacing w:line="360" w:lineRule="exact"/>
              <w:ind w:firstLineChars="0" w:firstLine="0"/>
              <w:jc w:val="center"/>
              <w:rPr>
                <w:rFonts w:cs="Times New Roman"/>
                <w:sz w:val="21"/>
                <w:szCs w:val="21"/>
              </w:rPr>
            </w:pPr>
            <w:r>
              <w:rPr>
                <w:rFonts w:cs="Times New Roman"/>
                <w:sz w:val="21"/>
                <w:szCs w:val="21"/>
              </w:rPr>
              <w:t>排放工况</w:t>
            </w:r>
          </w:p>
        </w:tc>
        <w:tc>
          <w:tcPr>
            <w:tcW w:w="1326" w:type="dxa"/>
            <w:vAlign w:val="center"/>
          </w:tcPr>
          <w:p w14:paraId="51B95FD4" w14:textId="77777777" w:rsidR="00E579B9" w:rsidRDefault="006A1398">
            <w:pPr>
              <w:spacing w:line="360" w:lineRule="exact"/>
              <w:ind w:firstLineChars="0" w:firstLine="0"/>
              <w:jc w:val="center"/>
              <w:rPr>
                <w:rFonts w:cs="Times New Roman"/>
                <w:sz w:val="21"/>
                <w:szCs w:val="21"/>
              </w:rPr>
            </w:pPr>
            <w:r>
              <w:rPr>
                <w:rFonts w:cs="Times New Roman"/>
                <w:sz w:val="21"/>
                <w:szCs w:val="21"/>
              </w:rPr>
              <w:t>排放速率</w:t>
            </w:r>
          </w:p>
        </w:tc>
      </w:tr>
      <w:tr w:rsidR="00E579B9" w14:paraId="45833746" w14:textId="77777777">
        <w:trPr>
          <w:trHeight w:val="415"/>
          <w:jc w:val="center"/>
        </w:trPr>
        <w:tc>
          <w:tcPr>
            <w:tcW w:w="1101" w:type="dxa"/>
            <w:vAlign w:val="center"/>
          </w:tcPr>
          <w:p w14:paraId="7FFE864E"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露天采场</w:t>
            </w:r>
          </w:p>
        </w:tc>
        <w:tc>
          <w:tcPr>
            <w:tcW w:w="1133" w:type="dxa"/>
            <w:vAlign w:val="center"/>
          </w:tcPr>
          <w:p w14:paraId="62735FF6" w14:textId="77777777" w:rsidR="00E579B9" w:rsidRDefault="006A1398">
            <w:pPr>
              <w:spacing w:line="360" w:lineRule="exact"/>
              <w:ind w:firstLineChars="0" w:firstLine="0"/>
              <w:jc w:val="center"/>
              <w:rPr>
                <w:rFonts w:cs="Times New Roman"/>
                <w:sz w:val="21"/>
                <w:szCs w:val="21"/>
              </w:rPr>
            </w:pPr>
            <w:proofErr w:type="gramStart"/>
            <w:r>
              <w:rPr>
                <w:rFonts w:cs="Times New Roman" w:hint="eastAsia"/>
                <w:sz w:val="21"/>
                <w:szCs w:val="21"/>
              </w:rPr>
              <w:t>E</w:t>
            </w:r>
            <w:r>
              <w:rPr>
                <w:rFonts w:cs="Times New Roman"/>
                <w:sz w:val="21"/>
                <w:szCs w:val="21"/>
              </w:rPr>
              <w:t>113.654037,</w:t>
            </w:r>
            <w:r>
              <w:rPr>
                <w:rFonts w:cs="Times New Roman" w:hint="eastAsia"/>
                <w:sz w:val="21"/>
                <w:szCs w:val="21"/>
              </w:rPr>
              <w:t>N</w:t>
            </w:r>
            <w:proofErr w:type="gramEnd"/>
            <w:r>
              <w:rPr>
                <w:rFonts w:cs="Times New Roman"/>
                <w:sz w:val="21"/>
                <w:szCs w:val="21"/>
              </w:rPr>
              <w:t>33.124775</w:t>
            </w:r>
          </w:p>
        </w:tc>
        <w:tc>
          <w:tcPr>
            <w:tcW w:w="850" w:type="dxa"/>
            <w:vAlign w:val="center"/>
          </w:tcPr>
          <w:p w14:paraId="7F35437E"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400</w:t>
            </w:r>
            <w:r>
              <w:rPr>
                <w:rFonts w:cs="Times New Roman"/>
                <w:sz w:val="21"/>
                <w:szCs w:val="21"/>
              </w:rPr>
              <w:t>m</w:t>
            </w:r>
          </w:p>
        </w:tc>
        <w:tc>
          <w:tcPr>
            <w:tcW w:w="709" w:type="dxa"/>
            <w:vAlign w:val="center"/>
          </w:tcPr>
          <w:p w14:paraId="396B44E4"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785</w:t>
            </w:r>
            <w:r>
              <w:rPr>
                <w:rFonts w:cs="Times New Roman"/>
                <w:sz w:val="21"/>
                <w:szCs w:val="21"/>
              </w:rPr>
              <w:t>m</w:t>
            </w:r>
          </w:p>
        </w:tc>
        <w:tc>
          <w:tcPr>
            <w:tcW w:w="709" w:type="dxa"/>
            <w:vAlign w:val="center"/>
          </w:tcPr>
          <w:p w14:paraId="633EAC14"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615</w:t>
            </w:r>
            <w:r>
              <w:rPr>
                <w:rFonts w:cs="Times New Roman"/>
                <w:sz w:val="21"/>
                <w:szCs w:val="21"/>
              </w:rPr>
              <w:t>m</w:t>
            </w:r>
          </w:p>
        </w:tc>
        <w:tc>
          <w:tcPr>
            <w:tcW w:w="709" w:type="dxa"/>
            <w:vAlign w:val="center"/>
          </w:tcPr>
          <w:p w14:paraId="765C5F84"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30</w:t>
            </w:r>
            <w:r>
              <w:rPr>
                <w:rFonts w:cs="Times New Roman"/>
                <w:sz w:val="21"/>
                <w:szCs w:val="21"/>
              </w:rPr>
              <w:t>°</w:t>
            </w:r>
          </w:p>
        </w:tc>
        <w:tc>
          <w:tcPr>
            <w:tcW w:w="850" w:type="dxa"/>
            <w:vAlign w:val="center"/>
          </w:tcPr>
          <w:p w14:paraId="50C94C81"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7</w:t>
            </w:r>
            <w:r>
              <w:rPr>
                <w:rFonts w:cs="Times New Roman"/>
                <w:sz w:val="21"/>
                <w:szCs w:val="21"/>
              </w:rPr>
              <w:t>m</w:t>
            </w:r>
          </w:p>
        </w:tc>
        <w:tc>
          <w:tcPr>
            <w:tcW w:w="850" w:type="dxa"/>
            <w:vAlign w:val="center"/>
          </w:tcPr>
          <w:p w14:paraId="5588CCF3"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4480</w:t>
            </w:r>
            <w:r>
              <w:rPr>
                <w:rFonts w:cs="Times New Roman"/>
                <w:sz w:val="21"/>
                <w:szCs w:val="21"/>
              </w:rPr>
              <w:t>h</w:t>
            </w:r>
          </w:p>
        </w:tc>
        <w:tc>
          <w:tcPr>
            <w:tcW w:w="709" w:type="dxa"/>
            <w:vAlign w:val="center"/>
          </w:tcPr>
          <w:p w14:paraId="7C2B692E" w14:textId="77777777" w:rsidR="00E579B9" w:rsidRDefault="006A1398">
            <w:pPr>
              <w:spacing w:line="360" w:lineRule="exact"/>
              <w:ind w:firstLineChars="0" w:firstLine="0"/>
              <w:jc w:val="center"/>
              <w:rPr>
                <w:rFonts w:cs="Times New Roman"/>
                <w:sz w:val="21"/>
                <w:szCs w:val="21"/>
              </w:rPr>
            </w:pPr>
            <w:r>
              <w:rPr>
                <w:rFonts w:cs="Times New Roman"/>
                <w:sz w:val="21"/>
                <w:szCs w:val="21"/>
              </w:rPr>
              <w:t>正常工况</w:t>
            </w:r>
          </w:p>
        </w:tc>
        <w:tc>
          <w:tcPr>
            <w:tcW w:w="1326" w:type="dxa"/>
            <w:vAlign w:val="center"/>
          </w:tcPr>
          <w:p w14:paraId="286F00EC" w14:textId="77777777" w:rsidR="00E579B9" w:rsidRDefault="006A1398">
            <w:pPr>
              <w:spacing w:line="360" w:lineRule="exact"/>
              <w:ind w:firstLineChars="0" w:firstLine="0"/>
              <w:jc w:val="center"/>
              <w:rPr>
                <w:rFonts w:cs="Times New Roman"/>
                <w:sz w:val="21"/>
                <w:szCs w:val="21"/>
              </w:rPr>
            </w:pPr>
            <w:r>
              <w:rPr>
                <w:rFonts w:cs="Times New Roman"/>
                <w:sz w:val="21"/>
                <w:szCs w:val="21"/>
              </w:rPr>
              <w:t>颗粒物：</w:t>
            </w:r>
            <w:r>
              <w:rPr>
                <w:rFonts w:cs="Times New Roman" w:hint="eastAsia"/>
                <w:sz w:val="21"/>
                <w:szCs w:val="21"/>
              </w:rPr>
              <w:t>0.5147</w:t>
            </w:r>
            <w:r>
              <w:rPr>
                <w:rFonts w:cs="Times New Roman"/>
                <w:sz w:val="21"/>
                <w:szCs w:val="21"/>
              </w:rPr>
              <w:t>kg/h</w:t>
            </w:r>
          </w:p>
        </w:tc>
      </w:tr>
      <w:tr w:rsidR="00E579B9" w14:paraId="57D84F54" w14:textId="77777777">
        <w:trPr>
          <w:trHeight w:val="415"/>
          <w:jc w:val="center"/>
        </w:trPr>
        <w:tc>
          <w:tcPr>
            <w:tcW w:w="1101" w:type="dxa"/>
            <w:vAlign w:val="center"/>
          </w:tcPr>
          <w:p w14:paraId="55EC5497" w14:textId="77777777" w:rsidR="00E579B9" w:rsidRDefault="006A1398">
            <w:pPr>
              <w:spacing w:line="360" w:lineRule="exact"/>
              <w:ind w:firstLineChars="0" w:firstLine="0"/>
              <w:jc w:val="center"/>
              <w:rPr>
                <w:rFonts w:cs="Times New Roman"/>
                <w:sz w:val="21"/>
                <w:szCs w:val="21"/>
              </w:rPr>
            </w:pPr>
            <w:r>
              <w:rPr>
                <w:rFonts w:hint="eastAsia"/>
              </w:rPr>
              <w:t>破碎加工厂</w:t>
            </w:r>
          </w:p>
        </w:tc>
        <w:tc>
          <w:tcPr>
            <w:tcW w:w="1133" w:type="dxa"/>
            <w:vAlign w:val="center"/>
          </w:tcPr>
          <w:p w14:paraId="66760EBA" w14:textId="77777777" w:rsidR="00E579B9" w:rsidRDefault="006A1398">
            <w:pPr>
              <w:spacing w:line="360" w:lineRule="exact"/>
              <w:ind w:firstLineChars="0" w:firstLine="0"/>
              <w:jc w:val="center"/>
              <w:rPr>
                <w:rFonts w:cs="Times New Roman"/>
                <w:sz w:val="21"/>
                <w:szCs w:val="21"/>
              </w:rPr>
            </w:pPr>
            <w:proofErr w:type="gramStart"/>
            <w:r>
              <w:rPr>
                <w:rFonts w:cs="Times New Roman" w:hint="eastAsia"/>
                <w:sz w:val="21"/>
                <w:szCs w:val="21"/>
              </w:rPr>
              <w:t>E</w:t>
            </w:r>
            <w:r>
              <w:rPr>
                <w:rFonts w:cs="Times New Roman"/>
                <w:sz w:val="21"/>
                <w:szCs w:val="21"/>
              </w:rPr>
              <w:t>113.654037,</w:t>
            </w:r>
            <w:r>
              <w:rPr>
                <w:rFonts w:cs="Times New Roman" w:hint="eastAsia"/>
                <w:sz w:val="21"/>
                <w:szCs w:val="21"/>
              </w:rPr>
              <w:t>N</w:t>
            </w:r>
            <w:proofErr w:type="gramEnd"/>
            <w:r>
              <w:rPr>
                <w:rFonts w:cs="Times New Roman"/>
                <w:sz w:val="21"/>
                <w:szCs w:val="21"/>
              </w:rPr>
              <w:t>33.124775</w:t>
            </w:r>
          </w:p>
        </w:tc>
        <w:tc>
          <w:tcPr>
            <w:tcW w:w="850" w:type="dxa"/>
            <w:vAlign w:val="center"/>
          </w:tcPr>
          <w:p w14:paraId="5A1FE8A9"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300</w:t>
            </w:r>
            <w:r>
              <w:rPr>
                <w:rFonts w:cs="Times New Roman"/>
                <w:sz w:val="21"/>
                <w:szCs w:val="21"/>
              </w:rPr>
              <w:t>m</w:t>
            </w:r>
          </w:p>
        </w:tc>
        <w:tc>
          <w:tcPr>
            <w:tcW w:w="709" w:type="dxa"/>
            <w:vAlign w:val="center"/>
          </w:tcPr>
          <w:p w14:paraId="152D753D"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233</w:t>
            </w:r>
            <w:r>
              <w:rPr>
                <w:rFonts w:cs="Times New Roman"/>
                <w:sz w:val="21"/>
                <w:szCs w:val="21"/>
              </w:rPr>
              <w:t>m</w:t>
            </w:r>
          </w:p>
        </w:tc>
        <w:tc>
          <w:tcPr>
            <w:tcW w:w="709" w:type="dxa"/>
            <w:vAlign w:val="center"/>
          </w:tcPr>
          <w:p w14:paraId="0BF75079"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200</w:t>
            </w:r>
            <w:r>
              <w:rPr>
                <w:rFonts w:cs="Times New Roman"/>
                <w:sz w:val="21"/>
                <w:szCs w:val="21"/>
              </w:rPr>
              <w:t>m</w:t>
            </w:r>
          </w:p>
        </w:tc>
        <w:tc>
          <w:tcPr>
            <w:tcW w:w="709" w:type="dxa"/>
            <w:vAlign w:val="center"/>
          </w:tcPr>
          <w:p w14:paraId="29D6E4FC"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w:t>
            </w:r>
            <w:r>
              <w:rPr>
                <w:rFonts w:cs="Times New Roman"/>
                <w:sz w:val="21"/>
                <w:szCs w:val="21"/>
              </w:rPr>
              <w:t>°</w:t>
            </w:r>
          </w:p>
        </w:tc>
        <w:tc>
          <w:tcPr>
            <w:tcW w:w="850" w:type="dxa"/>
            <w:vAlign w:val="center"/>
          </w:tcPr>
          <w:p w14:paraId="341B65C6"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7</w:t>
            </w:r>
            <w:r>
              <w:rPr>
                <w:rFonts w:cs="Times New Roman"/>
                <w:sz w:val="21"/>
                <w:szCs w:val="21"/>
              </w:rPr>
              <w:t>m</w:t>
            </w:r>
          </w:p>
        </w:tc>
        <w:tc>
          <w:tcPr>
            <w:tcW w:w="850" w:type="dxa"/>
            <w:vAlign w:val="center"/>
          </w:tcPr>
          <w:p w14:paraId="1A1C28AF"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4480</w:t>
            </w:r>
            <w:r>
              <w:rPr>
                <w:rFonts w:cs="Times New Roman"/>
                <w:sz w:val="21"/>
                <w:szCs w:val="21"/>
              </w:rPr>
              <w:t>h</w:t>
            </w:r>
          </w:p>
        </w:tc>
        <w:tc>
          <w:tcPr>
            <w:tcW w:w="709" w:type="dxa"/>
            <w:vAlign w:val="center"/>
          </w:tcPr>
          <w:p w14:paraId="45518D8D" w14:textId="77777777" w:rsidR="00E579B9" w:rsidRDefault="006A1398">
            <w:pPr>
              <w:spacing w:line="360" w:lineRule="exact"/>
              <w:ind w:firstLineChars="0" w:firstLine="0"/>
              <w:jc w:val="center"/>
              <w:rPr>
                <w:rFonts w:cs="Times New Roman"/>
                <w:sz w:val="21"/>
                <w:szCs w:val="21"/>
              </w:rPr>
            </w:pPr>
            <w:r>
              <w:rPr>
                <w:rFonts w:cs="Times New Roman"/>
                <w:sz w:val="21"/>
                <w:szCs w:val="21"/>
              </w:rPr>
              <w:t>正常工况</w:t>
            </w:r>
          </w:p>
        </w:tc>
        <w:tc>
          <w:tcPr>
            <w:tcW w:w="1326" w:type="dxa"/>
            <w:vAlign w:val="center"/>
          </w:tcPr>
          <w:p w14:paraId="64B03B1A" w14:textId="77777777" w:rsidR="00E579B9" w:rsidRDefault="006A1398">
            <w:pPr>
              <w:spacing w:line="360" w:lineRule="exact"/>
              <w:ind w:firstLineChars="0" w:firstLine="0"/>
              <w:jc w:val="center"/>
              <w:rPr>
                <w:rFonts w:cs="Times New Roman"/>
                <w:sz w:val="21"/>
                <w:szCs w:val="21"/>
              </w:rPr>
            </w:pPr>
            <w:r>
              <w:rPr>
                <w:rFonts w:cs="Times New Roman"/>
                <w:sz w:val="21"/>
                <w:szCs w:val="21"/>
              </w:rPr>
              <w:t>颗粒物：</w:t>
            </w:r>
            <w:r>
              <w:rPr>
                <w:rFonts w:cs="Times New Roman" w:hint="eastAsia"/>
                <w:sz w:val="21"/>
                <w:szCs w:val="21"/>
              </w:rPr>
              <w:t>0.1719</w:t>
            </w:r>
            <w:r>
              <w:rPr>
                <w:rFonts w:cs="Times New Roman"/>
                <w:sz w:val="21"/>
                <w:szCs w:val="21"/>
              </w:rPr>
              <w:t>kg/h</w:t>
            </w:r>
          </w:p>
        </w:tc>
      </w:tr>
      <w:tr w:rsidR="00E579B9" w14:paraId="6B9DB9D6" w14:textId="77777777">
        <w:trPr>
          <w:trHeight w:val="415"/>
          <w:jc w:val="center"/>
        </w:trPr>
        <w:tc>
          <w:tcPr>
            <w:tcW w:w="1101" w:type="dxa"/>
            <w:vAlign w:val="center"/>
          </w:tcPr>
          <w:p w14:paraId="20681F29" w14:textId="77777777" w:rsidR="00E579B9" w:rsidRDefault="006A1398">
            <w:pPr>
              <w:spacing w:line="360" w:lineRule="exact"/>
              <w:ind w:firstLineChars="0" w:firstLine="0"/>
              <w:jc w:val="center"/>
            </w:pPr>
            <w:proofErr w:type="gramStart"/>
            <w:r>
              <w:rPr>
                <w:rFonts w:hint="eastAsia"/>
              </w:rPr>
              <w:t>表土场</w:t>
            </w:r>
            <w:proofErr w:type="gramEnd"/>
          </w:p>
        </w:tc>
        <w:tc>
          <w:tcPr>
            <w:tcW w:w="1133" w:type="dxa"/>
            <w:vAlign w:val="center"/>
          </w:tcPr>
          <w:p w14:paraId="558032F9" w14:textId="77777777" w:rsidR="00E579B9" w:rsidRDefault="006A1398">
            <w:pPr>
              <w:spacing w:line="360" w:lineRule="exact"/>
              <w:ind w:firstLineChars="0" w:firstLine="0"/>
              <w:jc w:val="center"/>
              <w:rPr>
                <w:rFonts w:cs="Times New Roman"/>
                <w:sz w:val="21"/>
                <w:szCs w:val="21"/>
              </w:rPr>
            </w:pPr>
            <w:proofErr w:type="gramStart"/>
            <w:r>
              <w:rPr>
                <w:rFonts w:cs="Times New Roman" w:hint="eastAsia"/>
                <w:sz w:val="21"/>
                <w:szCs w:val="21"/>
              </w:rPr>
              <w:t>E</w:t>
            </w:r>
            <w:r>
              <w:rPr>
                <w:rFonts w:cs="Times New Roman"/>
                <w:sz w:val="21"/>
                <w:szCs w:val="21"/>
              </w:rPr>
              <w:t>113.654037,</w:t>
            </w:r>
            <w:r>
              <w:rPr>
                <w:rFonts w:cs="Times New Roman" w:hint="eastAsia"/>
                <w:sz w:val="21"/>
                <w:szCs w:val="21"/>
              </w:rPr>
              <w:t>N</w:t>
            </w:r>
            <w:proofErr w:type="gramEnd"/>
            <w:r>
              <w:rPr>
                <w:rFonts w:cs="Times New Roman"/>
                <w:sz w:val="21"/>
                <w:szCs w:val="21"/>
              </w:rPr>
              <w:t>33.124775</w:t>
            </w:r>
          </w:p>
        </w:tc>
        <w:tc>
          <w:tcPr>
            <w:tcW w:w="850" w:type="dxa"/>
            <w:vAlign w:val="center"/>
          </w:tcPr>
          <w:p w14:paraId="32305472"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400</w:t>
            </w:r>
            <w:r>
              <w:rPr>
                <w:rFonts w:cs="Times New Roman"/>
                <w:sz w:val="21"/>
                <w:szCs w:val="21"/>
              </w:rPr>
              <w:t>m</w:t>
            </w:r>
          </w:p>
        </w:tc>
        <w:tc>
          <w:tcPr>
            <w:tcW w:w="709" w:type="dxa"/>
            <w:vAlign w:val="center"/>
          </w:tcPr>
          <w:p w14:paraId="03247907"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100</w:t>
            </w:r>
            <w:r>
              <w:rPr>
                <w:rFonts w:cs="Times New Roman"/>
                <w:sz w:val="21"/>
                <w:szCs w:val="21"/>
              </w:rPr>
              <w:t>m</w:t>
            </w:r>
          </w:p>
        </w:tc>
        <w:tc>
          <w:tcPr>
            <w:tcW w:w="709" w:type="dxa"/>
            <w:vAlign w:val="center"/>
          </w:tcPr>
          <w:p w14:paraId="2943AC54"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100</w:t>
            </w:r>
            <w:r>
              <w:rPr>
                <w:rFonts w:cs="Times New Roman"/>
                <w:sz w:val="21"/>
                <w:szCs w:val="21"/>
              </w:rPr>
              <w:t>m</w:t>
            </w:r>
          </w:p>
        </w:tc>
        <w:tc>
          <w:tcPr>
            <w:tcW w:w="709" w:type="dxa"/>
            <w:vAlign w:val="center"/>
          </w:tcPr>
          <w:p w14:paraId="2436E17F"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w:t>
            </w:r>
            <w:r>
              <w:rPr>
                <w:rFonts w:cs="Times New Roman"/>
                <w:sz w:val="21"/>
                <w:szCs w:val="21"/>
              </w:rPr>
              <w:t>°</w:t>
            </w:r>
          </w:p>
        </w:tc>
        <w:tc>
          <w:tcPr>
            <w:tcW w:w="850" w:type="dxa"/>
            <w:vAlign w:val="center"/>
          </w:tcPr>
          <w:p w14:paraId="68757A7C"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7</w:t>
            </w:r>
            <w:r>
              <w:rPr>
                <w:rFonts w:cs="Times New Roman"/>
                <w:sz w:val="21"/>
                <w:szCs w:val="21"/>
              </w:rPr>
              <w:t>m</w:t>
            </w:r>
          </w:p>
        </w:tc>
        <w:tc>
          <w:tcPr>
            <w:tcW w:w="850" w:type="dxa"/>
            <w:vAlign w:val="center"/>
          </w:tcPr>
          <w:p w14:paraId="7DE8CD78"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4480</w:t>
            </w:r>
            <w:r>
              <w:rPr>
                <w:rFonts w:cs="Times New Roman"/>
                <w:sz w:val="21"/>
                <w:szCs w:val="21"/>
              </w:rPr>
              <w:t>h</w:t>
            </w:r>
          </w:p>
        </w:tc>
        <w:tc>
          <w:tcPr>
            <w:tcW w:w="709" w:type="dxa"/>
            <w:vAlign w:val="center"/>
          </w:tcPr>
          <w:p w14:paraId="671F8068" w14:textId="77777777" w:rsidR="00E579B9" w:rsidRDefault="006A1398">
            <w:pPr>
              <w:spacing w:line="360" w:lineRule="exact"/>
              <w:ind w:firstLineChars="0" w:firstLine="0"/>
              <w:jc w:val="center"/>
              <w:rPr>
                <w:rFonts w:cs="Times New Roman"/>
                <w:sz w:val="21"/>
                <w:szCs w:val="21"/>
              </w:rPr>
            </w:pPr>
            <w:r>
              <w:rPr>
                <w:rFonts w:cs="Times New Roman"/>
                <w:sz w:val="21"/>
                <w:szCs w:val="21"/>
              </w:rPr>
              <w:t>正常工况</w:t>
            </w:r>
          </w:p>
        </w:tc>
        <w:tc>
          <w:tcPr>
            <w:tcW w:w="1326" w:type="dxa"/>
            <w:vAlign w:val="center"/>
          </w:tcPr>
          <w:p w14:paraId="3E8E13E3" w14:textId="77777777" w:rsidR="00E579B9" w:rsidRDefault="006A1398">
            <w:pPr>
              <w:spacing w:line="360" w:lineRule="exact"/>
              <w:ind w:firstLineChars="0" w:firstLine="0"/>
              <w:jc w:val="center"/>
              <w:rPr>
                <w:rFonts w:cs="Times New Roman"/>
                <w:sz w:val="21"/>
                <w:szCs w:val="21"/>
              </w:rPr>
            </w:pPr>
            <w:r>
              <w:rPr>
                <w:rFonts w:cs="Times New Roman"/>
                <w:sz w:val="21"/>
                <w:szCs w:val="21"/>
              </w:rPr>
              <w:t>颗粒物：</w:t>
            </w:r>
            <w:r>
              <w:rPr>
                <w:rFonts w:cs="Times New Roman" w:hint="eastAsia"/>
                <w:sz w:val="21"/>
                <w:szCs w:val="21"/>
              </w:rPr>
              <w:t>0.1071</w:t>
            </w:r>
            <w:r>
              <w:rPr>
                <w:rFonts w:cs="Times New Roman"/>
                <w:sz w:val="21"/>
                <w:szCs w:val="21"/>
              </w:rPr>
              <w:t>kg/h</w:t>
            </w:r>
          </w:p>
        </w:tc>
      </w:tr>
    </w:tbl>
    <w:p w14:paraId="1CEF46CC" w14:textId="77777777" w:rsidR="00E579B9" w:rsidRDefault="006A1398">
      <w:pPr>
        <w:pStyle w:val="226"/>
        <w:rPr>
          <w:rFonts w:cs="Times New Roman"/>
          <w:kern w:val="0"/>
        </w:rPr>
      </w:pPr>
      <w:r>
        <w:rPr>
          <w:rFonts w:hint="eastAsia"/>
        </w:rPr>
        <w:t>评价采用</w:t>
      </w:r>
      <w:r>
        <w:t>《环境影响评价技术导则大气环境》（</w:t>
      </w:r>
      <w:r>
        <w:t>HJ2.2-20</w:t>
      </w:r>
      <w:r>
        <w:rPr>
          <w:rFonts w:hint="eastAsia"/>
        </w:rPr>
        <w:t>1</w:t>
      </w:r>
      <w:r>
        <w:t>8</w:t>
      </w:r>
      <w:r>
        <w:t>）推荐的</w:t>
      </w:r>
      <w:r>
        <w:rPr>
          <w:rFonts w:hint="eastAsia"/>
        </w:rPr>
        <w:t>AERSCREEN</w:t>
      </w:r>
      <w:r>
        <w:t>估算模式</w:t>
      </w:r>
      <w:r>
        <w:rPr>
          <w:rFonts w:hint="eastAsia"/>
        </w:rPr>
        <w:t>对项目有组织及无组织排放颗粒物的</w:t>
      </w:r>
      <w:r>
        <w:t>最大落地浓度（</w:t>
      </w:r>
      <w:proofErr w:type="spellStart"/>
      <w:r>
        <w:t>Cmax</w:t>
      </w:r>
      <w:proofErr w:type="spellEnd"/>
      <w:r>
        <w:t>）</w:t>
      </w:r>
      <w:r>
        <w:rPr>
          <w:rFonts w:hint="eastAsia"/>
        </w:rPr>
        <w:t>和</w:t>
      </w:r>
      <w:r>
        <w:t>最大浓度占标率（</w:t>
      </w:r>
      <w:proofErr w:type="spellStart"/>
      <w:r>
        <w:rPr>
          <w:rFonts w:hint="eastAsia"/>
        </w:rPr>
        <w:t>P</w:t>
      </w:r>
      <w:r>
        <w:t>max</w:t>
      </w:r>
      <w:proofErr w:type="spellEnd"/>
      <w:r>
        <w:t>）</w:t>
      </w:r>
      <w:r>
        <w:rPr>
          <w:rFonts w:hint="eastAsia"/>
        </w:rPr>
        <w:t>分别进行预测计算。估算模型参数见表</w:t>
      </w:r>
      <w:r>
        <w:rPr>
          <w:rFonts w:hint="eastAsia"/>
        </w:rPr>
        <w:t>5.2-4</w:t>
      </w:r>
      <w:r>
        <w:rPr>
          <w:rFonts w:hint="eastAsia"/>
        </w:rPr>
        <w:t>。</w:t>
      </w:r>
    </w:p>
    <w:p w14:paraId="227BC3EC" w14:textId="77777777" w:rsidR="00E579B9" w:rsidRDefault="006A1398">
      <w:pPr>
        <w:pStyle w:val="21"/>
        <w:ind w:firstLineChars="800" w:firstLine="1920"/>
      </w:pPr>
      <w:r>
        <w:lastRenderedPageBreak/>
        <w:t>5.2-</w:t>
      </w:r>
      <w:r>
        <w:rPr>
          <w:rFonts w:hint="eastAsia"/>
        </w:rPr>
        <w:t>4</w:t>
      </w:r>
      <w:r>
        <w:t>估算模型参数一览表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3375"/>
        <w:gridCol w:w="3308"/>
      </w:tblGrid>
      <w:tr w:rsidR="00E579B9" w14:paraId="028339BD" w14:textId="77777777">
        <w:trPr>
          <w:jc w:val="center"/>
        </w:trPr>
        <w:tc>
          <w:tcPr>
            <w:tcW w:w="5214" w:type="dxa"/>
            <w:gridSpan w:val="2"/>
            <w:vAlign w:val="center"/>
          </w:tcPr>
          <w:p w14:paraId="0117F6FA" w14:textId="77777777" w:rsidR="00E579B9" w:rsidRDefault="006A1398">
            <w:pPr>
              <w:pStyle w:val="aa"/>
            </w:pPr>
            <w:r>
              <w:t>参数</w:t>
            </w:r>
          </w:p>
        </w:tc>
        <w:tc>
          <w:tcPr>
            <w:tcW w:w="3308" w:type="dxa"/>
            <w:vAlign w:val="center"/>
          </w:tcPr>
          <w:p w14:paraId="0F6A77D1" w14:textId="77777777" w:rsidR="00E579B9" w:rsidRDefault="006A1398">
            <w:pPr>
              <w:pStyle w:val="aa"/>
            </w:pPr>
            <w:r>
              <w:t>取值</w:t>
            </w:r>
          </w:p>
        </w:tc>
      </w:tr>
      <w:tr w:rsidR="00E579B9" w14:paraId="54935340" w14:textId="77777777">
        <w:trPr>
          <w:jc w:val="center"/>
        </w:trPr>
        <w:tc>
          <w:tcPr>
            <w:tcW w:w="1839" w:type="dxa"/>
            <w:vMerge w:val="restart"/>
            <w:vAlign w:val="center"/>
          </w:tcPr>
          <w:p w14:paraId="7F4AB819" w14:textId="77777777" w:rsidR="00E579B9" w:rsidRDefault="006A1398">
            <w:pPr>
              <w:pStyle w:val="aa"/>
            </w:pPr>
            <w:r>
              <w:t>城市</w:t>
            </w:r>
            <w:r>
              <w:t>/</w:t>
            </w:r>
            <w:r>
              <w:t>农村选项</w:t>
            </w:r>
          </w:p>
        </w:tc>
        <w:tc>
          <w:tcPr>
            <w:tcW w:w="3375" w:type="dxa"/>
            <w:vAlign w:val="center"/>
          </w:tcPr>
          <w:p w14:paraId="708594A0" w14:textId="77777777" w:rsidR="00E579B9" w:rsidRDefault="006A1398">
            <w:pPr>
              <w:pStyle w:val="aa"/>
            </w:pPr>
            <w:r>
              <w:t>城市</w:t>
            </w:r>
            <w:r>
              <w:t>/</w:t>
            </w:r>
            <w:r>
              <w:t>农村</w:t>
            </w:r>
          </w:p>
        </w:tc>
        <w:tc>
          <w:tcPr>
            <w:tcW w:w="3308" w:type="dxa"/>
            <w:vAlign w:val="center"/>
          </w:tcPr>
          <w:p w14:paraId="4FA3A8E6" w14:textId="77777777" w:rsidR="00E579B9" w:rsidRDefault="006A1398">
            <w:pPr>
              <w:pStyle w:val="aa"/>
            </w:pPr>
            <w:r>
              <w:t>农村</w:t>
            </w:r>
          </w:p>
        </w:tc>
      </w:tr>
      <w:tr w:rsidR="00E579B9" w14:paraId="2D32F0E6" w14:textId="77777777">
        <w:trPr>
          <w:jc w:val="center"/>
        </w:trPr>
        <w:tc>
          <w:tcPr>
            <w:tcW w:w="1839" w:type="dxa"/>
            <w:vMerge/>
            <w:vAlign w:val="center"/>
          </w:tcPr>
          <w:p w14:paraId="32ED93F8" w14:textId="77777777" w:rsidR="00E579B9" w:rsidRDefault="00E579B9">
            <w:pPr>
              <w:pStyle w:val="aa"/>
            </w:pPr>
          </w:p>
        </w:tc>
        <w:tc>
          <w:tcPr>
            <w:tcW w:w="3375" w:type="dxa"/>
            <w:vAlign w:val="center"/>
          </w:tcPr>
          <w:p w14:paraId="5F526323" w14:textId="77777777" w:rsidR="00E579B9" w:rsidRDefault="006A1398">
            <w:pPr>
              <w:pStyle w:val="aa"/>
            </w:pPr>
            <w:r>
              <w:t>人口数（城市选项时）</w:t>
            </w:r>
          </w:p>
        </w:tc>
        <w:tc>
          <w:tcPr>
            <w:tcW w:w="3308" w:type="dxa"/>
            <w:vAlign w:val="center"/>
          </w:tcPr>
          <w:p w14:paraId="76B231F1" w14:textId="77777777" w:rsidR="00E579B9" w:rsidRDefault="006A1398">
            <w:pPr>
              <w:pStyle w:val="aa"/>
            </w:pPr>
            <w:r>
              <w:rPr>
                <w:rFonts w:hint="eastAsia"/>
              </w:rPr>
              <w:t>/</w:t>
            </w:r>
          </w:p>
        </w:tc>
      </w:tr>
      <w:tr w:rsidR="00E579B9" w14:paraId="055DB3E4" w14:textId="77777777">
        <w:trPr>
          <w:jc w:val="center"/>
        </w:trPr>
        <w:tc>
          <w:tcPr>
            <w:tcW w:w="5214" w:type="dxa"/>
            <w:gridSpan w:val="2"/>
            <w:vAlign w:val="center"/>
          </w:tcPr>
          <w:p w14:paraId="16507542" w14:textId="77777777" w:rsidR="00E579B9" w:rsidRDefault="006A1398">
            <w:pPr>
              <w:pStyle w:val="aa"/>
            </w:pPr>
            <w:r>
              <w:t>最高环境温度</w:t>
            </w:r>
            <w:r>
              <w:t>/</w:t>
            </w:r>
            <w:r>
              <w:rPr>
                <w:rFonts w:ascii="宋体" w:hAnsi="宋体" w:cs="宋体" w:hint="eastAsia"/>
              </w:rPr>
              <w:t>℃</w:t>
            </w:r>
          </w:p>
        </w:tc>
        <w:tc>
          <w:tcPr>
            <w:tcW w:w="3308" w:type="dxa"/>
            <w:vAlign w:val="center"/>
          </w:tcPr>
          <w:p w14:paraId="27AF2651" w14:textId="77777777" w:rsidR="00E579B9" w:rsidRDefault="006A1398">
            <w:pPr>
              <w:pStyle w:val="aa"/>
              <w:rPr>
                <w:rFonts w:cs="Times New Roman"/>
              </w:rPr>
            </w:pPr>
            <w:r>
              <w:t>41.9</w:t>
            </w:r>
          </w:p>
        </w:tc>
      </w:tr>
      <w:tr w:rsidR="00E579B9" w14:paraId="6BD994BD" w14:textId="77777777">
        <w:trPr>
          <w:jc w:val="center"/>
        </w:trPr>
        <w:tc>
          <w:tcPr>
            <w:tcW w:w="5214" w:type="dxa"/>
            <w:gridSpan w:val="2"/>
            <w:vAlign w:val="center"/>
          </w:tcPr>
          <w:p w14:paraId="76CAE9B9" w14:textId="77777777" w:rsidR="00E579B9" w:rsidRDefault="006A1398">
            <w:pPr>
              <w:pStyle w:val="aa"/>
            </w:pPr>
            <w:r>
              <w:t>最低环境温度</w:t>
            </w:r>
            <w:r>
              <w:t>/</w:t>
            </w:r>
            <w:r>
              <w:rPr>
                <w:rFonts w:ascii="宋体" w:hAnsi="宋体" w:cs="宋体" w:hint="eastAsia"/>
              </w:rPr>
              <w:t>℃</w:t>
            </w:r>
          </w:p>
        </w:tc>
        <w:tc>
          <w:tcPr>
            <w:tcW w:w="3308" w:type="dxa"/>
            <w:vAlign w:val="center"/>
          </w:tcPr>
          <w:p w14:paraId="61754B60" w14:textId="77777777" w:rsidR="00E579B9" w:rsidRDefault="006A1398">
            <w:pPr>
              <w:pStyle w:val="aa"/>
              <w:rPr>
                <w:rFonts w:cs="Times New Roman"/>
              </w:rPr>
            </w:pPr>
            <w:r>
              <w:t>-17.4</w:t>
            </w:r>
          </w:p>
        </w:tc>
      </w:tr>
      <w:tr w:rsidR="00E579B9" w14:paraId="337941E6" w14:textId="77777777">
        <w:trPr>
          <w:jc w:val="center"/>
        </w:trPr>
        <w:tc>
          <w:tcPr>
            <w:tcW w:w="5214" w:type="dxa"/>
            <w:gridSpan w:val="2"/>
            <w:vAlign w:val="center"/>
          </w:tcPr>
          <w:p w14:paraId="152C01F6" w14:textId="77777777" w:rsidR="00E579B9" w:rsidRDefault="006A1398">
            <w:pPr>
              <w:pStyle w:val="aa"/>
            </w:pPr>
            <w:r>
              <w:t>土地利用类型</w:t>
            </w:r>
          </w:p>
        </w:tc>
        <w:tc>
          <w:tcPr>
            <w:tcW w:w="3308" w:type="dxa"/>
            <w:vAlign w:val="center"/>
          </w:tcPr>
          <w:p w14:paraId="5453F20A" w14:textId="77777777" w:rsidR="00E579B9" w:rsidRDefault="006A1398">
            <w:pPr>
              <w:pStyle w:val="aa"/>
            </w:pPr>
            <w:r>
              <w:rPr>
                <w:rFonts w:hint="eastAsia"/>
              </w:rPr>
              <w:t>主要为林地、灌草地</w:t>
            </w:r>
          </w:p>
        </w:tc>
      </w:tr>
      <w:tr w:rsidR="00E579B9" w14:paraId="17BA80B5" w14:textId="77777777">
        <w:trPr>
          <w:jc w:val="center"/>
        </w:trPr>
        <w:tc>
          <w:tcPr>
            <w:tcW w:w="5214" w:type="dxa"/>
            <w:gridSpan w:val="2"/>
            <w:vAlign w:val="center"/>
          </w:tcPr>
          <w:p w14:paraId="4DE1ED58" w14:textId="77777777" w:rsidR="00E579B9" w:rsidRDefault="006A1398">
            <w:pPr>
              <w:pStyle w:val="aa"/>
            </w:pPr>
            <w:r>
              <w:t>区域湿度条件</w:t>
            </w:r>
          </w:p>
        </w:tc>
        <w:tc>
          <w:tcPr>
            <w:tcW w:w="3308" w:type="dxa"/>
            <w:vAlign w:val="center"/>
          </w:tcPr>
          <w:p w14:paraId="6F5B2C2C" w14:textId="77777777" w:rsidR="00E579B9" w:rsidRDefault="006A1398">
            <w:pPr>
              <w:pStyle w:val="aa"/>
            </w:pPr>
            <w:r>
              <w:t>相对湿度</w:t>
            </w:r>
            <w:r>
              <w:t>72%</w:t>
            </w:r>
          </w:p>
        </w:tc>
      </w:tr>
      <w:tr w:rsidR="00E579B9" w14:paraId="77382E25" w14:textId="77777777">
        <w:trPr>
          <w:jc w:val="center"/>
        </w:trPr>
        <w:tc>
          <w:tcPr>
            <w:tcW w:w="1839" w:type="dxa"/>
            <w:vMerge w:val="restart"/>
            <w:vAlign w:val="center"/>
          </w:tcPr>
          <w:p w14:paraId="68E868CF" w14:textId="77777777" w:rsidR="00E579B9" w:rsidRDefault="006A1398">
            <w:pPr>
              <w:pStyle w:val="aa"/>
            </w:pPr>
            <w:r>
              <w:t>是否考虑地形</w:t>
            </w:r>
          </w:p>
        </w:tc>
        <w:tc>
          <w:tcPr>
            <w:tcW w:w="3375" w:type="dxa"/>
            <w:vAlign w:val="center"/>
          </w:tcPr>
          <w:p w14:paraId="3709AADC" w14:textId="77777777" w:rsidR="00E579B9" w:rsidRDefault="006A1398">
            <w:pPr>
              <w:pStyle w:val="aa"/>
            </w:pPr>
            <w:r>
              <w:t>考虑地形</w:t>
            </w:r>
          </w:p>
        </w:tc>
        <w:tc>
          <w:tcPr>
            <w:tcW w:w="3308" w:type="dxa"/>
            <w:vAlign w:val="center"/>
          </w:tcPr>
          <w:p w14:paraId="08EC95B6" w14:textId="77777777" w:rsidR="00E579B9" w:rsidRDefault="006A1398">
            <w:pPr>
              <w:pStyle w:val="aa"/>
            </w:pPr>
            <w:r>
              <w:sym w:font="Wingdings 2" w:char="0052"/>
            </w:r>
            <w:r>
              <w:t>是</w:t>
            </w:r>
            <w:r>
              <w:t>□</w:t>
            </w:r>
            <w:r>
              <w:t>否</w:t>
            </w:r>
          </w:p>
        </w:tc>
      </w:tr>
      <w:tr w:rsidR="00E579B9" w14:paraId="171729FE" w14:textId="77777777">
        <w:trPr>
          <w:jc w:val="center"/>
        </w:trPr>
        <w:tc>
          <w:tcPr>
            <w:tcW w:w="1839" w:type="dxa"/>
            <w:vMerge/>
            <w:vAlign w:val="center"/>
          </w:tcPr>
          <w:p w14:paraId="414F4923" w14:textId="77777777" w:rsidR="00E579B9" w:rsidRDefault="00E579B9">
            <w:pPr>
              <w:pStyle w:val="aa"/>
            </w:pPr>
          </w:p>
        </w:tc>
        <w:tc>
          <w:tcPr>
            <w:tcW w:w="3375" w:type="dxa"/>
            <w:vAlign w:val="center"/>
          </w:tcPr>
          <w:p w14:paraId="19B59BC2" w14:textId="77777777" w:rsidR="00E579B9" w:rsidRDefault="006A1398">
            <w:pPr>
              <w:pStyle w:val="aa"/>
            </w:pPr>
            <w:r>
              <w:t>地形数据分辨率</w:t>
            </w:r>
            <w:r>
              <w:t>/m</w:t>
            </w:r>
          </w:p>
        </w:tc>
        <w:tc>
          <w:tcPr>
            <w:tcW w:w="3308" w:type="dxa"/>
            <w:vAlign w:val="center"/>
          </w:tcPr>
          <w:p w14:paraId="6725255C" w14:textId="77777777" w:rsidR="00E579B9" w:rsidRDefault="006A1398">
            <w:pPr>
              <w:pStyle w:val="aa"/>
            </w:pPr>
            <w:r>
              <w:rPr>
                <w:rFonts w:hint="eastAsia"/>
              </w:rPr>
              <w:t>90</w:t>
            </w:r>
          </w:p>
        </w:tc>
      </w:tr>
      <w:tr w:rsidR="00E579B9" w14:paraId="3769A747" w14:textId="77777777">
        <w:trPr>
          <w:jc w:val="center"/>
        </w:trPr>
        <w:tc>
          <w:tcPr>
            <w:tcW w:w="1839" w:type="dxa"/>
            <w:vMerge w:val="restart"/>
            <w:vAlign w:val="center"/>
          </w:tcPr>
          <w:p w14:paraId="6EB2BA81" w14:textId="77777777" w:rsidR="00E579B9" w:rsidRDefault="006A1398">
            <w:pPr>
              <w:pStyle w:val="aa"/>
            </w:pPr>
            <w:r>
              <w:t>是否考虑岸线熏烟</w:t>
            </w:r>
          </w:p>
        </w:tc>
        <w:tc>
          <w:tcPr>
            <w:tcW w:w="3375" w:type="dxa"/>
            <w:vAlign w:val="center"/>
          </w:tcPr>
          <w:p w14:paraId="59A9E0C5" w14:textId="77777777" w:rsidR="00E579B9" w:rsidRDefault="006A1398">
            <w:pPr>
              <w:pStyle w:val="aa"/>
            </w:pPr>
            <w:r>
              <w:t>考虑岸线熏烟</w:t>
            </w:r>
          </w:p>
        </w:tc>
        <w:tc>
          <w:tcPr>
            <w:tcW w:w="3308" w:type="dxa"/>
            <w:vAlign w:val="center"/>
          </w:tcPr>
          <w:p w14:paraId="6520D3C9" w14:textId="77777777" w:rsidR="00E579B9" w:rsidRDefault="006A1398">
            <w:pPr>
              <w:pStyle w:val="aa"/>
            </w:pPr>
            <w:r>
              <w:t>□</w:t>
            </w:r>
            <w:r>
              <w:t>是</w:t>
            </w:r>
            <w:r>
              <w:sym w:font="Wingdings 2" w:char="0052"/>
            </w:r>
            <w:r>
              <w:t>否</w:t>
            </w:r>
          </w:p>
        </w:tc>
      </w:tr>
      <w:tr w:rsidR="00E579B9" w14:paraId="76949ED6" w14:textId="77777777">
        <w:trPr>
          <w:jc w:val="center"/>
        </w:trPr>
        <w:tc>
          <w:tcPr>
            <w:tcW w:w="1839" w:type="dxa"/>
            <w:vMerge/>
            <w:vAlign w:val="center"/>
          </w:tcPr>
          <w:p w14:paraId="6B431FCA" w14:textId="77777777" w:rsidR="00E579B9" w:rsidRDefault="00E579B9">
            <w:pPr>
              <w:pStyle w:val="aa"/>
            </w:pPr>
          </w:p>
        </w:tc>
        <w:tc>
          <w:tcPr>
            <w:tcW w:w="3375" w:type="dxa"/>
            <w:vAlign w:val="center"/>
          </w:tcPr>
          <w:p w14:paraId="09276FCA" w14:textId="77777777" w:rsidR="00E579B9" w:rsidRDefault="006A1398">
            <w:pPr>
              <w:pStyle w:val="aa"/>
            </w:pPr>
            <w:r>
              <w:t>岸线距离</w:t>
            </w:r>
            <w:r>
              <w:t>/km</w:t>
            </w:r>
          </w:p>
        </w:tc>
        <w:tc>
          <w:tcPr>
            <w:tcW w:w="3308" w:type="dxa"/>
            <w:vAlign w:val="center"/>
          </w:tcPr>
          <w:p w14:paraId="48F83EF8" w14:textId="77777777" w:rsidR="00E579B9" w:rsidRDefault="006A1398">
            <w:pPr>
              <w:pStyle w:val="aa"/>
            </w:pPr>
            <w:r>
              <w:rPr>
                <w:rFonts w:hint="eastAsia"/>
              </w:rPr>
              <w:t>/</w:t>
            </w:r>
          </w:p>
        </w:tc>
      </w:tr>
      <w:tr w:rsidR="00E579B9" w14:paraId="780935A8" w14:textId="77777777">
        <w:trPr>
          <w:trHeight w:val="440"/>
          <w:jc w:val="center"/>
        </w:trPr>
        <w:tc>
          <w:tcPr>
            <w:tcW w:w="1839" w:type="dxa"/>
            <w:vMerge/>
            <w:vAlign w:val="center"/>
          </w:tcPr>
          <w:p w14:paraId="3E9E636A" w14:textId="77777777" w:rsidR="00E579B9" w:rsidRDefault="00E579B9">
            <w:pPr>
              <w:pStyle w:val="aa"/>
            </w:pPr>
          </w:p>
        </w:tc>
        <w:tc>
          <w:tcPr>
            <w:tcW w:w="3375" w:type="dxa"/>
            <w:vAlign w:val="center"/>
          </w:tcPr>
          <w:p w14:paraId="5D58B418" w14:textId="77777777" w:rsidR="00E579B9" w:rsidRDefault="006A1398">
            <w:pPr>
              <w:pStyle w:val="aa"/>
            </w:pPr>
            <w:r>
              <w:t>岸线方向</w:t>
            </w:r>
            <w:r>
              <w:t>/°</w:t>
            </w:r>
          </w:p>
        </w:tc>
        <w:tc>
          <w:tcPr>
            <w:tcW w:w="3308" w:type="dxa"/>
            <w:vAlign w:val="center"/>
          </w:tcPr>
          <w:p w14:paraId="2F01EDB6" w14:textId="77777777" w:rsidR="00E579B9" w:rsidRDefault="006A1398">
            <w:pPr>
              <w:pStyle w:val="aa"/>
            </w:pPr>
            <w:r>
              <w:rPr>
                <w:rFonts w:hint="eastAsia"/>
              </w:rPr>
              <w:t>/</w:t>
            </w:r>
          </w:p>
        </w:tc>
      </w:tr>
    </w:tbl>
    <w:p w14:paraId="145C665E" w14:textId="77777777" w:rsidR="00E579B9" w:rsidRDefault="006A1398">
      <w:r>
        <w:rPr>
          <w:rFonts w:hint="eastAsia"/>
        </w:rPr>
        <w:t>采用</w:t>
      </w:r>
      <w:r>
        <w:rPr>
          <w:rFonts w:hint="eastAsia"/>
        </w:rPr>
        <w:t>AERSCREEN</w:t>
      </w:r>
      <w:r>
        <w:t>估算模式</w:t>
      </w:r>
      <w:r>
        <w:rPr>
          <w:rFonts w:hint="eastAsia"/>
        </w:rPr>
        <w:t>进行估算，结果见表</w:t>
      </w:r>
      <w:r>
        <w:rPr>
          <w:rFonts w:hint="eastAsia"/>
        </w:rPr>
        <w:t>5.2-5</w:t>
      </w:r>
      <w:r>
        <w:rPr>
          <w:rFonts w:hint="eastAsia"/>
        </w:rPr>
        <w:t>。</w:t>
      </w:r>
    </w:p>
    <w:p w14:paraId="37CFF333" w14:textId="5A8141B0" w:rsidR="00E579B9" w:rsidRDefault="006A1398">
      <w:pPr>
        <w:jc w:val="center"/>
        <w:rPr>
          <w:rFonts w:eastAsia="黑体"/>
        </w:rPr>
      </w:pPr>
      <w:r>
        <w:rPr>
          <w:rFonts w:eastAsia="黑体" w:hint="eastAsia"/>
        </w:rPr>
        <w:t>表</w:t>
      </w:r>
      <w:r>
        <w:rPr>
          <w:rFonts w:eastAsia="黑体" w:hint="eastAsia"/>
        </w:rPr>
        <w:t>5.2-5</w:t>
      </w:r>
      <w:r>
        <w:rPr>
          <w:rFonts w:eastAsia="黑体" w:hint="eastAsia"/>
        </w:rPr>
        <w:t>项目废气污染物估算结果一览表</w:t>
      </w:r>
    </w:p>
    <w:tbl>
      <w:tblPr>
        <w:tblW w:w="8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2"/>
        <w:gridCol w:w="1165"/>
        <w:gridCol w:w="1018"/>
        <w:gridCol w:w="1455"/>
        <w:gridCol w:w="1310"/>
        <w:gridCol w:w="1891"/>
        <w:gridCol w:w="1095"/>
      </w:tblGrid>
      <w:tr w:rsidR="00E579B9" w14:paraId="72454FB5" w14:textId="77777777">
        <w:trPr>
          <w:jc w:val="center"/>
        </w:trPr>
        <w:tc>
          <w:tcPr>
            <w:tcW w:w="3195" w:type="dxa"/>
            <w:gridSpan w:val="3"/>
            <w:vAlign w:val="center"/>
          </w:tcPr>
          <w:p w14:paraId="3FB1B735" w14:textId="77777777" w:rsidR="00E579B9" w:rsidRDefault="006A1398">
            <w:pPr>
              <w:spacing w:line="360" w:lineRule="exact"/>
              <w:ind w:firstLineChars="0" w:firstLine="0"/>
              <w:jc w:val="center"/>
              <w:rPr>
                <w:rFonts w:cs="Times New Roman"/>
                <w:sz w:val="21"/>
                <w:szCs w:val="21"/>
              </w:rPr>
            </w:pPr>
            <w:r>
              <w:rPr>
                <w:rFonts w:cs="Times New Roman"/>
                <w:sz w:val="21"/>
                <w:szCs w:val="21"/>
              </w:rPr>
              <w:t>估算因子</w:t>
            </w:r>
          </w:p>
        </w:tc>
        <w:tc>
          <w:tcPr>
            <w:tcW w:w="1455" w:type="dxa"/>
            <w:vAlign w:val="center"/>
          </w:tcPr>
          <w:p w14:paraId="1FCE3144" w14:textId="77777777" w:rsidR="00E579B9" w:rsidRDefault="006A1398">
            <w:pPr>
              <w:spacing w:line="360" w:lineRule="exact"/>
              <w:ind w:firstLineChars="0" w:firstLine="0"/>
              <w:jc w:val="center"/>
              <w:rPr>
                <w:rFonts w:cs="Times New Roman"/>
                <w:sz w:val="21"/>
                <w:szCs w:val="21"/>
              </w:rPr>
            </w:pPr>
            <w:r>
              <w:rPr>
                <w:rFonts w:cs="Times New Roman"/>
                <w:sz w:val="21"/>
                <w:szCs w:val="21"/>
              </w:rPr>
              <w:t>源强</w:t>
            </w:r>
            <w:r>
              <w:rPr>
                <w:rFonts w:cs="Times New Roman" w:hint="eastAsia"/>
                <w:sz w:val="21"/>
                <w:szCs w:val="21"/>
              </w:rPr>
              <w:t>（</w:t>
            </w:r>
            <w:r>
              <w:rPr>
                <w:rFonts w:cs="Times New Roman"/>
                <w:sz w:val="21"/>
                <w:szCs w:val="21"/>
              </w:rPr>
              <w:t>kg/h</w:t>
            </w:r>
            <w:r>
              <w:rPr>
                <w:rFonts w:cs="Times New Roman" w:hint="eastAsia"/>
                <w:sz w:val="21"/>
                <w:szCs w:val="21"/>
              </w:rPr>
              <w:t>）</w:t>
            </w:r>
          </w:p>
        </w:tc>
        <w:tc>
          <w:tcPr>
            <w:tcW w:w="1310" w:type="dxa"/>
            <w:vAlign w:val="center"/>
          </w:tcPr>
          <w:p w14:paraId="4444BC58" w14:textId="77777777" w:rsidR="00E579B9" w:rsidRDefault="006A1398">
            <w:pPr>
              <w:spacing w:line="360" w:lineRule="exact"/>
              <w:ind w:firstLineChars="0" w:firstLine="0"/>
              <w:jc w:val="center"/>
              <w:rPr>
                <w:rFonts w:cs="Times New Roman"/>
                <w:sz w:val="21"/>
                <w:szCs w:val="21"/>
              </w:rPr>
            </w:pPr>
            <w:r>
              <w:rPr>
                <w:rFonts w:cs="Times New Roman"/>
                <w:sz w:val="21"/>
                <w:szCs w:val="21"/>
              </w:rPr>
              <w:t>评价标准</w:t>
            </w:r>
          </w:p>
        </w:tc>
        <w:tc>
          <w:tcPr>
            <w:tcW w:w="1891" w:type="dxa"/>
            <w:vAlign w:val="center"/>
          </w:tcPr>
          <w:p w14:paraId="1BFA501E" w14:textId="77777777" w:rsidR="00E579B9" w:rsidRDefault="006A1398">
            <w:pPr>
              <w:spacing w:line="360" w:lineRule="exact"/>
              <w:ind w:firstLineChars="0" w:firstLine="0"/>
              <w:jc w:val="center"/>
              <w:rPr>
                <w:rFonts w:cs="Times New Roman"/>
                <w:sz w:val="21"/>
                <w:szCs w:val="21"/>
              </w:rPr>
            </w:pPr>
            <w:proofErr w:type="spellStart"/>
            <w:r>
              <w:rPr>
                <w:rFonts w:cs="Times New Roman"/>
                <w:sz w:val="21"/>
                <w:szCs w:val="21"/>
              </w:rPr>
              <w:t>Cmax</w:t>
            </w:r>
            <w:proofErr w:type="spellEnd"/>
            <w:r>
              <w:rPr>
                <w:rFonts w:cs="Times New Roman" w:hint="eastAsia"/>
                <w:sz w:val="21"/>
                <w:szCs w:val="21"/>
              </w:rPr>
              <w:t>（</w:t>
            </w:r>
            <w:r>
              <w:rPr>
                <w:rFonts w:cs="Times New Roman"/>
                <w:sz w:val="21"/>
                <w:szCs w:val="21"/>
              </w:rPr>
              <w:t>mg/m</w:t>
            </w:r>
            <w:r>
              <w:rPr>
                <w:rFonts w:cs="Times New Roman"/>
                <w:sz w:val="21"/>
                <w:szCs w:val="21"/>
                <w:vertAlign w:val="superscript"/>
              </w:rPr>
              <w:t>3</w:t>
            </w:r>
            <w:r>
              <w:rPr>
                <w:rFonts w:cs="Times New Roman" w:hint="eastAsia"/>
                <w:sz w:val="21"/>
                <w:szCs w:val="21"/>
              </w:rPr>
              <w:t>）</w:t>
            </w:r>
          </w:p>
        </w:tc>
        <w:tc>
          <w:tcPr>
            <w:tcW w:w="1095" w:type="dxa"/>
            <w:vAlign w:val="center"/>
          </w:tcPr>
          <w:p w14:paraId="6CE041B3" w14:textId="77777777" w:rsidR="00E579B9" w:rsidRDefault="006A1398">
            <w:pPr>
              <w:spacing w:line="360" w:lineRule="exact"/>
              <w:ind w:firstLineChars="0" w:firstLine="0"/>
              <w:jc w:val="center"/>
              <w:rPr>
                <w:rFonts w:cs="Times New Roman"/>
                <w:sz w:val="21"/>
                <w:szCs w:val="21"/>
              </w:rPr>
            </w:pPr>
            <w:proofErr w:type="spellStart"/>
            <w:r>
              <w:rPr>
                <w:rFonts w:cs="Times New Roman"/>
                <w:sz w:val="21"/>
                <w:szCs w:val="21"/>
              </w:rPr>
              <w:t>Pmax</w:t>
            </w:r>
            <w:proofErr w:type="spellEnd"/>
          </w:p>
        </w:tc>
      </w:tr>
      <w:tr w:rsidR="00E579B9" w14:paraId="07DE4A8E" w14:textId="77777777">
        <w:trPr>
          <w:jc w:val="center"/>
        </w:trPr>
        <w:tc>
          <w:tcPr>
            <w:tcW w:w="1012" w:type="dxa"/>
            <w:vMerge w:val="restart"/>
            <w:vAlign w:val="center"/>
          </w:tcPr>
          <w:p w14:paraId="680FD14E" w14:textId="77777777" w:rsidR="00E579B9" w:rsidRDefault="006A1398">
            <w:pPr>
              <w:spacing w:line="360" w:lineRule="exact"/>
              <w:ind w:firstLineChars="0" w:firstLine="0"/>
              <w:jc w:val="center"/>
              <w:rPr>
                <w:rFonts w:cs="Times New Roman"/>
                <w:sz w:val="21"/>
                <w:szCs w:val="21"/>
              </w:rPr>
            </w:pPr>
            <w:r>
              <w:rPr>
                <w:rFonts w:cs="Times New Roman"/>
                <w:sz w:val="21"/>
                <w:szCs w:val="21"/>
              </w:rPr>
              <w:t>有组织</w:t>
            </w:r>
          </w:p>
        </w:tc>
        <w:tc>
          <w:tcPr>
            <w:tcW w:w="1165" w:type="dxa"/>
            <w:vAlign w:val="center"/>
          </w:tcPr>
          <w:p w14:paraId="41DD9599" w14:textId="77777777" w:rsidR="00E579B9" w:rsidRDefault="006A1398">
            <w:pPr>
              <w:spacing w:line="360" w:lineRule="exact"/>
              <w:ind w:firstLineChars="0" w:firstLine="0"/>
              <w:jc w:val="center"/>
              <w:rPr>
                <w:rFonts w:cs="Times New Roman"/>
                <w:sz w:val="21"/>
                <w:szCs w:val="21"/>
              </w:rPr>
            </w:pPr>
            <w:r>
              <w:rPr>
                <w:rFonts w:cs="Times New Roman"/>
                <w:sz w:val="21"/>
                <w:szCs w:val="21"/>
              </w:rPr>
              <w:t>1#</w:t>
            </w:r>
            <w:r>
              <w:rPr>
                <w:rFonts w:cs="Times New Roman"/>
                <w:sz w:val="21"/>
                <w:szCs w:val="21"/>
              </w:rPr>
              <w:t>排气筒</w:t>
            </w:r>
          </w:p>
        </w:tc>
        <w:tc>
          <w:tcPr>
            <w:tcW w:w="1018" w:type="dxa"/>
            <w:vMerge w:val="restart"/>
            <w:vAlign w:val="center"/>
          </w:tcPr>
          <w:p w14:paraId="6CC0D683" w14:textId="77777777" w:rsidR="00E579B9" w:rsidRDefault="006A1398">
            <w:pPr>
              <w:spacing w:line="360" w:lineRule="exact"/>
              <w:ind w:firstLineChars="0" w:firstLine="0"/>
              <w:jc w:val="center"/>
              <w:rPr>
                <w:rFonts w:cs="Times New Roman"/>
                <w:sz w:val="21"/>
                <w:szCs w:val="21"/>
              </w:rPr>
            </w:pPr>
            <w:r>
              <w:rPr>
                <w:rFonts w:cs="Times New Roman"/>
                <w:sz w:val="21"/>
                <w:szCs w:val="21"/>
              </w:rPr>
              <w:t>颗粒物</w:t>
            </w:r>
          </w:p>
        </w:tc>
        <w:tc>
          <w:tcPr>
            <w:tcW w:w="1455" w:type="dxa"/>
            <w:vAlign w:val="center"/>
          </w:tcPr>
          <w:p w14:paraId="3CF247D1" w14:textId="77777777" w:rsidR="00E579B9" w:rsidRDefault="006A1398">
            <w:pPr>
              <w:spacing w:line="360" w:lineRule="exact"/>
              <w:ind w:firstLineChars="0" w:firstLine="0"/>
              <w:jc w:val="center"/>
              <w:rPr>
                <w:rFonts w:cs="Times New Roman"/>
                <w:sz w:val="21"/>
                <w:szCs w:val="21"/>
              </w:rPr>
            </w:pPr>
            <w:r>
              <w:rPr>
                <w:rFonts w:cs="Times New Roman"/>
                <w:sz w:val="21"/>
                <w:szCs w:val="21"/>
              </w:rPr>
              <w:t>0.</w:t>
            </w:r>
            <w:r>
              <w:rPr>
                <w:rFonts w:cs="Times New Roman" w:hint="eastAsia"/>
                <w:sz w:val="21"/>
                <w:szCs w:val="21"/>
              </w:rPr>
              <w:t>0161</w:t>
            </w:r>
          </w:p>
        </w:tc>
        <w:tc>
          <w:tcPr>
            <w:tcW w:w="1310" w:type="dxa"/>
            <w:vMerge w:val="restart"/>
            <w:vAlign w:val="center"/>
          </w:tcPr>
          <w:p w14:paraId="35B9E9E1" w14:textId="77777777" w:rsidR="00E579B9" w:rsidRDefault="006A1398">
            <w:pPr>
              <w:spacing w:line="360" w:lineRule="exact"/>
              <w:ind w:firstLineChars="0" w:firstLine="0"/>
              <w:jc w:val="center"/>
              <w:rPr>
                <w:rFonts w:cs="Times New Roman"/>
                <w:sz w:val="21"/>
                <w:szCs w:val="21"/>
              </w:rPr>
            </w:pPr>
            <w:r>
              <w:rPr>
                <w:rFonts w:cs="Times New Roman"/>
                <w:sz w:val="21"/>
                <w:szCs w:val="21"/>
              </w:rPr>
              <w:t>0.45mg/m</w:t>
            </w:r>
            <w:r>
              <w:rPr>
                <w:rFonts w:cs="Times New Roman"/>
                <w:sz w:val="21"/>
                <w:szCs w:val="21"/>
                <w:vertAlign w:val="superscript"/>
              </w:rPr>
              <w:t>3</w:t>
            </w:r>
          </w:p>
        </w:tc>
        <w:tc>
          <w:tcPr>
            <w:tcW w:w="1891" w:type="dxa"/>
            <w:vAlign w:val="center"/>
          </w:tcPr>
          <w:p w14:paraId="384E251F"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0.0129</w:t>
            </w:r>
          </w:p>
        </w:tc>
        <w:tc>
          <w:tcPr>
            <w:tcW w:w="1095" w:type="dxa"/>
            <w:vAlign w:val="center"/>
          </w:tcPr>
          <w:p w14:paraId="28F2DB92"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2.86</w:t>
            </w:r>
            <w:r>
              <w:rPr>
                <w:rFonts w:cs="Times New Roman"/>
                <w:sz w:val="21"/>
                <w:szCs w:val="21"/>
              </w:rPr>
              <w:t>%</w:t>
            </w:r>
          </w:p>
        </w:tc>
      </w:tr>
      <w:tr w:rsidR="00E579B9" w14:paraId="37BD16D0" w14:textId="77777777">
        <w:trPr>
          <w:jc w:val="center"/>
        </w:trPr>
        <w:tc>
          <w:tcPr>
            <w:tcW w:w="1012" w:type="dxa"/>
            <w:vMerge/>
            <w:vAlign w:val="center"/>
          </w:tcPr>
          <w:p w14:paraId="75DEED3E" w14:textId="77777777" w:rsidR="00E579B9" w:rsidRDefault="00E579B9">
            <w:pPr>
              <w:spacing w:line="360" w:lineRule="exact"/>
              <w:ind w:firstLineChars="0" w:firstLine="0"/>
              <w:jc w:val="center"/>
              <w:rPr>
                <w:rFonts w:cs="Times New Roman"/>
                <w:sz w:val="21"/>
                <w:szCs w:val="21"/>
              </w:rPr>
            </w:pPr>
          </w:p>
        </w:tc>
        <w:tc>
          <w:tcPr>
            <w:tcW w:w="1165" w:type="dxa"/>
            <w:vAlign w:val="center"/>
          </w:tcPr>
          <w:p w14:paraId="0440648E" w14:textId="77777777" w:rsidR="00E579B9" w:rsidRDefault="006A1398">
            <w:pPr>
              <w:spacing w:line="360" w:lineRule="exact"/>
              <w:ind w:firstLineChars="0" w:firstLine="0"/>
              <w:jc w:val="center"/>
              <w:rPr>
                <w:rFonts w:cs="Times New Roman"/>
                <w:sz w:val="21"/>
                <w:szCs w:val="21"/>
              </w:rPr>
            </w:pPr>
            <w:r>
              <w:rPr>
                <w:rFonts w:cs="Times New Roman"/>
                <w:sz w:val="21"/>
                <w:szCs w:val="21"/>
              </w:rPr>
              <w:t>2#</w:t>
            </w:r>
            <w:r>
              <w:rPr>
                <w:rFonts w:cs="Times New Roman"/>
                <w:sz w:val="21"/>
                <w:szCs w:val="21"/>
              </w:rPr>
              <w:t>排气筒</w:t>
            </w:r>
          </w:p>
        </w:tc>
        <w:tc>
          <w:tcPr>
            <w:tcW w:w="1018" w:type="dxa"/>
            <w:vMerge/>
            <w:vAlign w:val="center"/>
          </w:tcPr>
          <w:p w14:paraId="355E46F8" w14:textId="77777777" w:rsidR="00E579B9" w:rsidRDefault="00E579B9">
            <w:pPr>
              <w:spacing w:line="360" w:lineRule="exact"/>
              <w:ind w:firstLine="420"/>
              <w:jc w:val="center"/>
              <w:rPr>
                <w:rFonts w:cs="Times New Roman"/>
                <w:sz w:val="21"/>
                <w:szCs w:val="21"/>
              </w:rPr>
            </w:pPr>
          </w:p>
        </w:tc>
        <w:tc>
          <w:tcPr>
            <w:tcW w:w="1455" w:type="dxa"/>
            <w:vAlign w:val="center"/>
          </w:tcPr>
          <w:p w14:paraId="7CD57873" w14:textId="77777777" w:rsidR="00E579B9" w:rsidRDefault="006A1398">
            <w:pPr>
              <w:spacing w:line="360" w:lineRule="exact"/>
              <w:ind w:firstLineChars="0" w:firstLine="0"/>
              <w:jc w:val="center"/>
              <w:rPr>
                <w:rFonts w:cs="Times New Roman"/>
                <w:sz w:val="21"/>
                <w:szCs w:val="21"/>
              </w:rPr>
            </w:pPr>
            <w:r>
              <w:rPr>
                <w:rFonts w:cs="Times New Roman"/>
                <w:sz w:val="21"/>
                <w:szCs w:val="21"/>
              </w:rPr>
              <w:t>0.</w:t>
            </w:r>
            <w:r>
              <w:rPr>
                <w:rFonts w:cs="Times New Roman" w:hint="eastAsia"/>
                <w:sz w:val="21"/>
                <w:szCs w:val="21"/>
              </w:rPr>
              <w:t>0166</w:t>
            </w:r>
          </w:p>
        </w:tc>
        <w:tc>
          <w:tcPr>
            <w:tcW w:w="1310" w:type="dxa"/>
            <w:vMerge/>
            <w:tcBorders>
              <w:bottom w:val="single" w:sz="4" w:space="0" w:color="auto"/>
            </w:tcBorders>
            <w:vAlign w:val="center"/>
          </w:tcPr>
          <w:p w14:paraId="247AC43F" w14:textId="77777777" w:rsidR="00E579B9" w:rsidRDefault="00E579B9">
            <w:pPr>
              <w:spacing w:line="360" w:lineRule="exact"/>
              <w:ind w:firstLine="420"/>
              <w:jc w:val="center"/>
              <w:rPr>
                <w:rFonts w:cs="Times New Roman"/>
                <w:sz w:val="21"/>
                <w:szCs w:val="21"/>
              </w:rPr>
            </w:pPr>
          </w:p>
        </w:tc>
        <w:tc>
          <w:tcPr>
            <w:tcW w:w="1891" w:type="dxa"/>
            <w:tcBorders>
              <w:bottom w:val="single" w:sz="4" w:space="0" w:color="auto"/>
            </w:tcBorders>
            <w:vAlign w:val="center"/>
          </w:tcPr>
          <w:p w14:paraId="14C77117" w14:textId="77777777" w:rsidR="00E579B9" w:rsidRDefault="006A1398">
            <w:pPr>
              <w:spacing w:line="360" w:lineRule="exact"/>
              <w:ind w:firstLineChars="0" w:firstLine="0"/>
              <w:jc w:val="center"/>
              <w:rPr>
                <w:rFonts w:cs="Times New Roman"/>
                <w:sz w:val="21"/>
                <w:szCs w:val="21"/>
              </w:rPr>
            </w:pPr>
            <w:r>
              <w:rPr>
                <w:rFonts w:cs="Times New Roman"/>
                <w:sz w:val="21"/>
                <w:szCs w:val="21"/>
              </w:rPr>
              <w:t>0.0</w:t>
            </w:r>
            <w:r>
              <w:rPr>
                <w:rFonts w:cs="Times New Roman" w:hint="eastAsia"/>
                <w:sz w:val="21"/>
                <w:szCs w:val="21"/>
              </w:rPr>
              <w:t>133</w:t>
            </w:r>
          </w:p>
        </w:tc>
        <w:tc>
          <w:tcPr>
            <w:tcW w:w="1095" w:type="dxa"/>
            <w:vAlign w:val="center"/>
          </w:tcPr>
          <w:p w14:paraId="424A4EC8"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2.95</w:t>
            </w:r>
            <w:r>
              <w:rPr>
                <w:rFonts w:cs="Times New Roman"/>
                <w:sz w:val="21"/>
                <w:szCs w:val="21"/>
              </w:rPr>
              <w:t>%</w:t>
            </w:r>
          </w:p>
        </w:tc>
      </w:tr>
      <w:tr w:rsidR="00E579B9" w14:paraId="5E15CEEA" w14:textId="77777777">
        <w:trPr>
          <w:jc w:val="center"/>
        </w:trPr>
        <w:tc>
          <w:tcPr>
            <w:tcW w:w="1012" w:type="dxa"/>
            <w:vMerge w:val="restart"/>
            <w:vAlign w:val="center"/>
          </w:tcPr>
          <w:p w14:paraId="6C210054" w14:textId="77777777" w:rsidR="00E579B9" w:rsidRDefault="006A1398">
            <w:pPr>
              <w:spacing w:line="360" w:lineRule="exact"/>
              <w:ind w:firstLineChars="0" w:firstLine="0"/>
              <w:jc w:val="center"/>
              <w:rPr>
                <w:rFonts w:cs="Times New Roman"/>
                <w:sz w:val="21"/>
                <w:szCs w:val="21"/>
              </w:rPr>
            </w:pPr>
            <w:r>
              <w:rPr>
                <w:rFonts w:cs="Times New Roman"/>
                <w:sz w:val="21"/>
                <w:szCs w:val="21"/>
              </w:rPr>
              <w:t>无组织</w:t>
            </w:r>
          </w:p>
        </w:tc>
        <w:tc>
          <w:tcPr>
            <w:tcW w:w="1165" w:type="dxa"/>
            <w:vAlign w:val="center"/>
          </w:tcPr>
          <w:p w14:paraId="49167D64"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露天采场</w:t>
            </w:r>
          </w:p>
        </w:tc>
        <w:tc>
          <w:tcPr>
            <w:tcW w:w="1018" w:type="dxa"/>
            <w:vMerge/>
            <w:vAlign w:val="center"/>
          </w:tcPr>
          <w:p w14:paraId="7ED54E4D" w14:textId="77777777" w:rsidR="00E579B9" w:rsidRDefault="00E579B9">
            <w:pPr>
              <w:spacing w:line="360" w:lineRule="exact"/>
              <w:ind w:firstLine="420"/>
              <w:jc w:val="center"/>
              <w:rPr>
                <w:rFonts w:cs="Times New Roman"/>
                <w:sz w:val="21"/>
                <w:szCs w:val="21"/>
              </w:rPr>
            </w:pPr>
          </w:p>
        </w:tc>
        <w:tc>
          <w:tcPr>
            <w:tcW w:w="1455" w:type="dxa"/>
            <w:vAlign w:val="center"/>
          </w:tcPr>
          <w:p w14:paraId="5829CC2B"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0.514</w:t>
            </w:r>
          </w:p>
        </w:tc>
        <w:tc>
          <w:tcPr>
            <w:tcW w:w="1310" w:type="dxa"/>
            <w:vMerge w:val="restart"/>
            <w:tcBorders>
              <w:top w:val="single" w:sz="4" w:space="0" w:color="auto"/>
            </w:tcBorders>
            <w:vAlign w:val="center"/>
          </w:tcPr>
          <w:p w14:paraId="568A728C" w14:textId="77777777" w:rsidR="00E579B9" w:rsidRDefault="006A1398">
            <w:pPr>
              <w:spacing w:line="360" w:lineRule="exact"/>
              <w:ind w:firstLineChars="0" w:firstLine="0"/>
              <w:rPr>
                <w:rFonts w:cs="Times New Roman"/>
                <w:sz w:val="21"/>
                <w:szCs w:val="21"/>
              </w:rPr>
            </w:pPr>
            <w:r>
              <w:rPr>
                <w:rFonts w:cs="Times New Roman"/>
                <w:sz w:val="21"/>
                <w:szCs w:val="21"/>
              </w:rPr>
              <w:t>0.</w:t>
            </w:r>
            <w:r>
              <w:rPr>
                <w:rFonts w:cs="Times New Roman" w:hint="eastAsia"/>
                <w:sz w:val="21"/>
                <w:szCs w:val="21"/>
              </w:rPr>
              <w:t>9</w:t>
            </w:r>
            <w:r>
              <w:rPr>
                <w:rFonts w:cs="Times New Roman"/>
                <w:sz w:val="21"/>
                <w:szCs w:val="21"/>
              </w:rPr>
              <w:t>mg/m</w:t>
            </w:r>
            <w:r>
              <w:rPr>
                <w:rFonts w:cs="Times New Roman"/>
                <w:sz w:val="21"/>
                <w:szCs w:val="21"/>
                <w:vertAlign w:val="superscript"/>
              </w:rPr>
              <w:t>3</w:t>
            </w:r>
          </w:p>
        </w:tc>
        <w:tc>
          <w:tcPr>
            <w:tcW w:w="1891" w:type="dxa"/>
            <w:tcBorders>
              <w:top w:val="single" w:sz="4" w:space="0" w:color="auto"/>
              <w:bottom w:val="single" w:sz="4" w:space="0" w:color="auto"/>
            </w:tcBorders>
            <w:vAlign w:val="center"/>
          </w:tcPr>
          <w:p w14:paraId="18595867"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0.0314</w:t>
            </w:r>
          </w:p>
        </w:tc>
        <w:tc>
          <w:tcPr>
            <w:tcW w:w="1095" w:type="dxa"/>
            <w:vAlign w:val="center"/>
          </w:tcPr>
          <w:p w14:paraId="36A11E57"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3.49</w:t>
            </w:r>
            <w:r>
              <w:rPr>
                <w:rFonts w:cs="Times New Roman"/>
                <w:sz w:val="21"/>
                <w:szCs w:val="21"/>
              </w:rPr>
              <w:t>%</w:t>
            </w:r>
          </w:p>
        </w:tc>
      </w:tr>
      <w:tr w:rsidR="00E579B9" w14:paraId="44DBEC1A" w14:textId="77777777">
        <w:trPr>
          <w:jc w:val="center"/>
        </w:trPr>
        <w:tc>
          <w:tcPr>
            <w:tcW w:w="1012" w:type="dxa"/>
            <w:vMerge/>
            <w:vAlign w:val="center"/>
          </w:tcPr>
          <w:p w14:paraId="05AFC2A6" w14:textId="77777777" w:rsidR="00E579B9" w:rsidRDefault="00E579B9">
            <w:pPr>
              <w:spacing w:line="360" w:lineRule="exact"/>
              <w:ind w:firstLineChars="0" w:firstLine="0"/>
              <w:jc w:val="center"/>
              <w:rPr>
                <w:rFonts w:cs="Times New Roman"/>
                <w:sz w:val="21"/>
                <w:szCs w:val="21"/>
              </w:rPr>
            </w:pPr>
          </w:p>
        </w:tc>
        <w:tc>
          <w:tcPr>
            <w:tcW w:w="1165" w:type="dxa"/>
            <w:vAlign w:val="center"/>
          </w:tcPr>
          <w:p w14:paraId="42CB1366"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破碎场地</w:t>
            </w:r>
          </w:p>
        </w:tc>
        <w:tc>
          <w:tcPr>
            <w:tcW w:w="1018" w:type="dxa"/>
            <w:vMerge/>
            <w:vAlign w:val="center"/>
          </w:tcPr>
          <w:p w14:paraId="03B419A2" w14:textId="77777777" w:rsidR="00E579B9" w:rsidRDefault="00E579B9">
            <w:pPr>
              <w:spacing w:line="360" w:lineRule="exact"/>
              <w:ind w:firstLine="420"/>
              <w:jc w:val="center"/>
              <w:rPr>
                <w:rFonts w:cs="Times New Roman"/>
                <w:sz w:val="21"/>
                <w:szCs w:val="21"/>
              </w:rPr>
            </w:pPr>
          </w:p>
        </w:tc>
        <w:tc>
          <w:tcPr>
            <w:tcW w:w="1455" w:type="dxa"/>
            <w:vAlign w:val="center"/>
          </w:tcPr>
          <w:p w14:paraId="2F480CB5"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0.1719</w:t>
            </w:r>
          </w:p>
        </w:tc>
        <w:tc>
          <w:tcPr>
            <w:tcW w:w="1310" w:type="dxa"/>
            <w:vMerge/>
            <w:vAlign w:val="center"/>
          </w:tcPr>
          <w:p w14:paraId="7A1C3FB6" w14:textId="77777777" w:rsidR="00E579B9" w:rsidRDefault="00E579B9">
            <w:pPr>
              <w:spacing w:line="360" w:lineRule="exact"/>
              <w:ind w:firstLineChars="0" w:firstLine="0"/>
              <w:rPr>
                <w:rFonts w:cs="Times New Roman"/>
                <w:sz w:val="21"/>
                <w:szCs w:val="21"/>
              </w:rPr>
            </w:pPr>
          </w:p>
        </w:tc>
        <w:tc>
          <w:tcPr>
            <w:tcW w:w="1891" w:type="dxa"/>
            <w:tcBorders>
              <w:top w:val="single" w:sz="4" w:space="0" w:color="auto"/>
              <w:bottom w:val="single" w:sz="4" w:space="0" w:color="auto"/>
            </w:tcBorders>
            <w:vAlign w:val="center"/>
          </w:tcPr>
          <w:p w14:paraId="28C51FA8"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0.0315</w:t>
            </w:r>
          </w:p>
        </w:tc>
        <w:tc>
          <w:tcPr>
            <w:tcW w:w="1095" w:type="dxa"/>
            <w:vAlign w:val="center"/>
          </w:tcPr>
          <w:p w14:paraId="2D5C314C"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3.50</w:t>
            </w:r>
            <w:r>
              <w:rPr>
                <w:rFonts w:cs="Times New Roman"/>
                <w:sz w:val="21"/>
                <w:szCs w:val="21"/>
              </w:rPr>
              <w:t>%</w:t>
            </w:r>
          </w:p>
        </w:tc>
      </w:tr>
      <w:tr w:rsidR="00E579B9" w14:paraId="6FE589F1" w14:textId="77777777">
        <w:trPr>
          <w:jc w:val="center"/>
        </w:trPr>
        <w:tc>
          <w:tcPr>
            <w:tcW w:w="1012" w:type="dxa"/>
            <w:vMerge/>
            <w:vAlign w:val="center"/>
          </w:tcPr>
          <w:p w14:paraId="43FD83D4" w14:textId="77777777" w:rsidR="00E579B9" w:rsidRDefault="00E579B9">
            <w:pPr>
              <w:spacing w:line="360" w:lineRule="exact"/>
              <w:ind w:firstLineChars="0" w:firstLine="0"/>
              <w:jc w:val="center"/>
              <w:rPr>
                <w:rFonts w:cs="Times New Roman"/>
                <w:sz w:val="21"/>
                <w:szCs w:val="21"/>
              </w:rPr>
            </w:pPr>
          </w:p>
        </w:tc>
        <w:tc>
          <w:tcPr>
            <w:tcW w:w="1165" w:type="dxa"/>
            <w:vAlign w:val="center"/>
          </w:tcPr>
          <w:p w14:paraId="6FB72272" w14:textId="77777777" w:rsidR="00E579B9" w:rsidRDefault="006A1398">
            <w:pPr>
              <w:spacing w:line="360" w:lineRule="exact"/>
              <w:ind w:firstLineChars="0" w:firstLine="0"/>
              <w:jc w:val="center"/>
              <w:rPr>
                <w:rFonts w:cs="Times New Roman"/>
                <w:sz w:val="21"/>
                <w:szCs w:val="21"/>
              </w:rPr>
            </w:pPr>
            <w:proofErr w:type="gramStart"/>
            <w:r>
              <w:rPr>
                <w:rFonts w:cs="Times New Roman" w:hint="eastAsia"/>
                <w:sz w:val="21"/>
                <w:szCs w:val="21"/>
              </w:rPr>
              <w:t>表土场</w:t>
            </w:r>
            <w:proofErr w:type="gramEnd"/>
          </w:p>
        </w:tc>
        <w:tc>
          <w:tcPr>
            <w:tcW w:w="1018" w:type="dxa"/>
            <w:vMerge/>
            <w:vAlign w:val="center"/>
          </w:tcPr>
          <w:p w14:paraId="5FB165B9" w14:textId="77777777" w:rsidR="00E579B9" w:rsidRDefault="00E579B9">
            <w:pPr>
              <w:spacing w:line="360" w:lineRule="exact"/>
              <w:ind w:firstLine="420"/>
              <w:jc w:val="center"/>
              <w:rPr>
                <w:rFonts w:cs="Times New Roman"/>
                <w:sz w:val="21"/>
                <w:szCs w:val="21"/>
              </w:rPr>
            </w:pPr>
          </w:p>
        </w:tc>
        <w:tc>
          <w:tcPr>
            <w:tcW w:w="1455" w:type="dxa"/>
            <w:vAlign w:val="center"/>
          </w:tcPr>
          <w:p w14:paraId="33986338"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0.1071</w:t>
            </w:r>
          </w:p>
        </w:tc>
        <w:tc>
          <w:tcPr>
            <w:tcW w:w="1310" w:type="dxa"/>
            <w:vMerge/>
            <w:vAlign w:val="center"/>
          </w:tcPr>
          <w:p w14:paraId="78231C3B" w14:textId="77777777" w:rsidR="00E579B9" w:rsidRDefault="00E579B9">
            <w:pPr>
              <w:spacing w:line="360" w:lineRule="exact"/>
              <w:ind w:firstLineChars="0" w:firstLine="0"/>
              <w:rPr>
                <w:rFonts w:cs="Times New Roman"/>
                <w:sz w:val="21"/>
                <w:szCs w:val="21"/>
              </w:rPr>
            </w:pPr>
          </w:p>
        </w:tc>
        <w:tc>
          <w:tcPr>
            <w:tcW w:w="1891" w:type="dxa"/>
            <w:tcBorders>
              <w:top w:val="single" w:sz="4" w:space="0" w:color="auto"/>
            </w:tcBorders>
            <w:vAlign w:val="center"/>
          </w:tcPr>
          <w:p w14:paraId="75FEE8CF"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0.0355</w:t>
            </w:r>
          </w:p>
        </w:tc>
        <w:tc>
          <w:tcPr>
            <w:tcW w:w="1095" w:type="dxa"/>
            <w:vAlign w:val="center"/>
          </w:tcPr>
          <w:p w14:paraId="4F364442"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3.95</w:t>
            </w:r>
            <w:r>
              <w:rPr>
                <w:rFonts w:cs="Times New Roman"/>
                <w:sz w:val="21"/>
                <w:szCs w:val="21"/>
              </w:rPr>
              <w:t>%</w:t>
            </w:r>
          </w:p>
        </w:tc>
      </w:tr>
    </w:tbl>
    <w:p w14:paraId="53E9C6F4" w14:textId="77777777" w:rsidR="00E579B9" w:rsidRDefault="006A1398">
      <w:pPr>
        <w:pStyle w:val="226"/>
      </w:pPr>
      <w:r>
        <w:rPr>
          <w:rFonts w:cs="Times New Roman" w:hint="eastAsia"/>
          <w:kern w:val="0"/>
        </w:rPr>
        <w:t>由表</w:t>
      </w:r>
      <w:r>
        <w:rPr>
          <w:rFonts w:cs="Times New Roman" w:hint="eastAsia"/>
          <w:kern w:val="0"/>
        </w:rPr>
        <w:t>5.2-5</w:t>
      </w:r>
      <w:r>
        <w:rPr>
          <w:rFonts w:cs="Times New Roman" w:hint="eastAsia"/>
          <w:kern w:val="0"/>
        </w:rPr>
        <w:t>的估算结果可知，项目排放的各项污染物中</w:t>
      </w:r>
      <w:proofErr w:type="gramStart"/>
      <w:r>
        <w:rPr>
          <w:rFonts w:cs="Times New Roman" w:hint="eastAsia"/>
          <w:kern w:val="0"/>
        </w:rPr>
        <w:t>表土场无</w:t>
      </w:r>
      <w:proofErr w:type="gramEnd"/>
      <w:r>
        <w:rPr>
          <w:rFonts w:cs="Times New Roman" w:hint="eastAsia"/>
          <w:kern w:val="0"/>
        </w:rPr>
        <w:t>组织排放的颗粒物的最大落地浓度占标率最高，为</w:t>
      </w:r>
      <w:r>
        <w:rPr>
          <w:rFonts w:cs="Times New Roman" w:hint="eastAsia"/>
          <w:kern w:val="0"/>
        </w:rPr>
        <w:t>3.95%</w:t>
      </w:r>
      <w:r>
        <w:rPr>
          <w:rFonts w:cs="Times New Roman" w:hint="eastAsia"/>
          <w:kern w:val="0"/>
        </w:rPr>
        <w:t>＜</w:t>
      </w:r>
      <w:r>
        <w:rPr>
          <w:rFonts w:cs="Times New Roman" w:hint="eastAsia"/>
          <w:kern w:val="0"/>
        </w:rPr>
        <w:t>10%</w:t>
      </w:r>
      <w:r>
        <w:rPr>
          <w:rFonts w:cs="Times New Roman" w:hint="eastAsia"/>
          <w:kern w:val="0"/>
        </w:rPr>
        <w:t>，按照</w:t>
      </w:r>
      <w:r>
        <w:t>《环境影响评价技术导则大气环境》（</w:t>
      </w:r>
      <w:r>
        <w:t>HJ2.2-20</w:t>
      </w:r>
      <w:r>
        <w:rPr>
          <w:rFonts w:hint="eastAsia"/>
        </w:rPr>
        <w:t>1</w:t>
      </w:r>
      <w:r>
        <w:t>8</w:t>
      </w:r>
      <w:r>
        <w:t>）</w:t>
      </w:r>
      <w:r>
        <w:rPr>
          <w:rFonts w:hint="eastAsia"/>
        </w:rPr>
        <w:t>中评价工作等级划分依据，本项目大气环境评价等级应为二级。</w:t>
      </w:r>
      <w:r>
        <w:rPr>
          <w:bCs/>
        </w:rPr>
        <w:t>二级评价项目大气评价范围为以</w:t>
      </w:r>
      <w:r>
        <w:rPr>
          <w:rFonts w:hint="eastAsia"/>
          <w:bCs/>
        </w:rPr>
        <w:t>矿区</w:t>
      </w:r>
      <w:r>
        <w:rPr>
          <w:bCs/>
        </w:rPr>
        <w:t>为中心，边长</w:t>
      </w:r>
      <w:r>
        <w:rPr>
          <w:bCs/>
        </w:rPr>
        <w:t>5km</w:t>
      </w:r>
      <w:r>
        <w:rPr>
          <w:bCs/>
        </w:rPr>
        <w:t>的矩形。</w:t>
      </w:r>
      <w:r>
        <w:rPr>
          <w:rFonts w:hint="eastAsia"/>
        </w:rPr>
        <w:t>根据导则要求，二级评价项目不进行进一步预测与评价，只对污染物排放量进行核算。</w:t>
      </w:r>
    </w:p>
    <w:p w14:paraId="4A8267C4" w14:textId="77777777" w:rsidR="00E579B9" w:rsidRDefault="006A1398">
      <w:pPr>
        <w:pStyle w:val="226"/>
        <w:rPr>
          <w:rFonts w:cs="Times New Roman"/>
          <w:kern w:val="0"/>
        </w:rPr>
      </w:pPr>
      <w:r>
        <w:rPr>
          <w:rFonts w:cs="Times New Roman" w:hint="eastAsia"/>
          <w:kern w:val="0"/>
        </w:rPr>
        <w:t>项目运营期有组织排放大气污染物核算情况见表</w:t>
      </w:r>
      <w:r>
        <w:rPr>
          <w:rFonts w:cs="Times New Roman" w:hint="eastAsia"/>
          <w:kern w:val="0"/>
        </w:rPr>
        <w:t>5.2-6</w:t>
      </w:r>
      <w:r>
        <w:rPr>
          <w:rFonts w:cs="Times New Roman" w:hint="eastAsia"/>
          <w:kern w:val="0"/>
        </w:rPr>
        <w:t>，无组织排放大气污染物核算情况见表</w:t>
      </w:r>
      <w:r>
        <w:rPr>
          <w:rFonts w:cs="Times New Roman" w:hint="eastAsia"/>
          <w:kern w:val="0"/>
        </w:rPr>
        <w:t>5.2-7</w:t>
      </w:r>
      <w:r>
        <w:rPr>
          <w:rFonts w:cs="Times New Roman" w:hint="eastAsia"/>
          <w:kern w:val="0"/>
        </w:rPr>
        <w:t>。</w:t>
      </w:r>
    </w:p>
    <w:p w14:paraId="07D39DFA" w14:textId="77777777" w:rsidR="00E579B9" w:rsidRDefault="006A1398">
      <w:pPr>
        <w:adjustRightInd w:val="0"/>
        <w:snapToGrid w:val="0"/>
        <w:spacing w:line="520" w:lineRule="exact"/>
        <w:jc w:val="center"/>
        <w:rPr>
          <w:rFonts w:eastAsia="黑体"/>
        </w:rPr>
      </w:pPr>
      <w:r>
        <w:rPr>
          <w:rFonts w:eastAsia="黑体" w:hint="eastAsia"/>
        </w:rPr>
        <w:t>表</w:t>
      </w:r>
      <w:r>
        <w:rPr>
          <w:rFonts w:eastAsia="黑体" w:hint="eastAsia"/>
        </w:rPr>
        <w:t>5.2-6</w:t>
      </w:r>
      <w:r>
        <w:rPr>
          <w:rFonts w:eastAsia="黑体" w:hint="eastAsia"/>
        </w:rPr>
        <w:t>项目运营期大气污染物有组织排放量核算表</w:t>
      </w:r>
    </w:p>
    <w:tbl>
      <w:tblPr>
        <w:tblW w:w="863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410"/>
        <w:gridCol w:w="1276"/>
        <w:gridCol w:w="1559"/>
        <w:gridCol w:w="1559"/>
        <w:gridCol w:w="1134"/>
      </w:tblGrid>
      <w:tr w:rsidR="00E579B9" w14:paraId="1AA038F6" w14:textId="77777777">
        <w:trPr>
          <w:trHeight w:val="685"/>
        </w:trPr>
        <w:tc>
          <w:tcPr>
            <w:tcW w:w="699" w:type="dxa"/>
            <w:vAlign w:val="center"/>
          </w:tcPr>
          <w:p w14:paraId="5C603624"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t>序号</w:t>
            </w:r>
          </w:p>
        </w:tc>
        <w:tc>
          <w:tcPr>
            <w:tcW w:w="2410" w:type="dxa"/>
            <w:vAlign w:val="center"/>
          </w:tcPr>
          <w:p w14:paraId="7209F75D"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t>排放口编号</w:t>
            </w:r>
          </w:p>
        </w:tc>
        <w:tc>
          <w:tcPr>
            <w:tcW w:w="1276" w:type="dxa"/>
            <w:vAlign w:val="center"/>
          </w:tcPr>
          <w:p w14:paraId="0363A765"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t>污染物</w:t>
            </w:r>
          </w:p>
        </w:tc>
        <w:tc>
          <w:tcPr>
            <w:tcW w:w="1559" w:type="dxa"/>
            <w:vAlign w:val="center"/>
          </w:tcPr>
          <w:p w14:paraId="211983DE"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t>核算排放浓度</w:t>
            </w:r>
          </w:p>
          <w:p w14:paraId="6AE49BA3" w14:textId="77777777" w:rsidR="00E579B9" w:rsidRDefault="006A1398">
            <w:pPr>
              <w:spacing w:line="360" w:lineRule="exact"/>
              <w:ind w:firstLineChars="0" w:firstLine="0"/>
              <w:jc w:val="center"/>
              <w:rPr>
                <w:rFonts w:ascii="宋体" w:hAnsi="宋体" w:cs="宋体"/>
                <w:kern w:val="0"/>
                <w:sz w:val="21"/>
                <w:szCs w:val="21"/>
              </w:rPr>
            </w:pPr>
            <w:r>
              <w:rPr>
                <w:kern w:val="0"/>
                <w:sz w:val="21"/>
                <w:szCs w:val="21"/>
              </w:rPr>
              <w:t>(</w:t>
            </w:r>
            <w:r>
              <w:rPr>
                <w:rFonts w:hint="eastAsia"/>
                <w:kern w:val="0"/>
                <w:sz w:val="21"/>
                <w:szCs w:val="21"/>
              </w:rPr>
              <w:t>m</w:t>
            </w:r>
            <w:r>
              <w:rPr>
                <w:kern w:val="0"/>
                <w:sz w:val="21"/>
                <w:szCs w:val="21"/>
              </w:rPr>
              <w:t>g/m</w:t>
            </w:r>
            <w:r>
              <w:rPr>
                <w:kern w:val="0"/>
                <w:sz w:val="21"/>
                <w:szCs w:val="21"/>
                <w:vertAlign w:val="superscript"/>
              </w:rPr>
              <w:t>3</w:t>
            </w:r>
            <w:r>
              <w:rPr>
                <w:kern w:val="0"/>
                <w:sz w:val="21"/>
                <w:szCs w:val="21"/>
              </w:rPr>
              <w:t>)</w:t>
            </w:r>
          </w:p>
        </w:tc>
        <w:tc>
          <w:tcPr>
            <w:tcW w:w="1559" w:type="dxa"/>
            <w:vAlign w:val="center"/>
          </w:tcPr>
          <w:p w14:paraId="5F339AB3"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t>核算排放速率（</w:t>
            </w:r>
            <w:r>
              <w:rPr>
                <w:kern w:val="0"/>
                <w:sz w:val="21"/>
                <w:szCs w:val="21"/>
              </w:rPr>
              <w:t>kg/h</w:t>
            </w:r>
            <w:r>
              <w:rPr>
                <w:rFonts w:ascii="宋体" w:hAnsi="宋体" w:cs="宋体" w:hint="eastAsia"/>
                <w:kern w:val="0"/>
                <w:sz w:val="21"/>
                <w:szCs w:val="21"/>
              </w:rPr>
              <w:t>）</w:t>
            </w:r>
          </w:p>
        </w:tc>
        <w:tc>
          <w:tcPr>
            <w:tcW w:w="1134" w:type="dxa"/>
            <w:vAlign w:val="center"/>
          </w:tcPr>
          <w:p w14:paraId="59C2A0D0"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t>核算年排放量（</w:t>
            </w:r>
            <w:r>
              <w:rPr>
                <w:kern w:val="0"/>
                <w:sz w:val="21"/>
                <w:szCs w:val="21"/>
              </w:rPr>
              <w:t>t/a</w:t>
            </w:r>
            <w:r>
              <w:rPr>
                <w:rFonts w:ascii="宋体" w:hAnsi="宋体" w:cs="宋体" w:hint="eastAsia"/>
                <w:kern w:val="0"/>
                <w:sz w:val="21"/>
                <w:szCs w:val="21"/>
              </w:rPr>
              <w:t>）</w:t>
            </w:r>
          </w:p>
        </w:tc>
      </w:tr>
      <w:tr w:rsidR="00E579B9" w14:paraId="51D1EB35" w14:textId="77777777">
        <w:trPr>
          <w:trHeight w:val="285"/>
        </w:trPr>
        <w:tc>
          <w:tcPr>
            <w:tcW w:w="8637" w:type="dxa"/>
            <w:gridSpan w:val="6"/>
            <w:vAlign w:val="center"/>
          </w:tcPr>
          <w:p w14:paraId="0FB5F057"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lastRenderedPageBreak/>
              <w:t>主要排放口</w:t>
            </w:r>
          </w:p>
        </w:tc>
      </w:tr>
      <w:tr w:rsidR="00E579B9" w14:paraId="6EBCB058" w14:textId="77777777">
        <w:trPr>
          <w:trHeight w:val="285"/>
        </w:trPr>
        <w:tc>
          <w:tcPr>
            <w:tcW w:w="699" w:type="dxa"/>
            <w:vAlign w:val="center"/>
          </w:tcPr>
          <w:p w14:paraId="7D393388" w14:textId="77777777" w:rsidR="00E579B9" w:rsidRDefault="006A1398">
            <w:pPr>
              <w:spacing w:line="360" w:lineRule="exact"/>
              <w:ind w:firstLineChars="0" w:firstLine="0"/>
              <w:jc w:val="center"/>
              <w:rPr>
                <w:kern w:val="0"/>
                <w:sz w:val="21"/>
                <w:szCs w:val="21"/>
              </w:rPr>
            </w:pPr>
            <w:r>
              <w:rPr>
                <w:kern w:val="0"/>
                <w:sz w:val="21"/>
                <w:szCs w:val="21"/>
              </w:rPr>
              <w:t>1</w:t>
            </w:r>
          </w:p>
        </w:tc>
        <w:tc>
          <w:tcPr>
            <w:tcW w:w="2410" w:type="dxa"/>
            <w:vAlign w:val="center"/>
          </w:tcPr>
          <w:p w14:paraId="167ADC19" w14:textId="77777777" w:rsidR="00E579B9" w:rsidRDefault="006A1398">
            <w:pPr>
              <w:spacing w:line="360" w:lineRule="exact"/>
              <w:ind w:firstLineChars="0" w:firstLine="0"/>
              <w:jc w:val="center"/>
              <w:rPr>
                <w:sz w:val="21"/>
                <w:szCs w:val="21"/>
              </w:rPr>
            </w:pPr>
            <w:r>
              <w:rPr>
                <w:rFonts w:hint="eastAsia"/>
                <w:sz w:val="21"/>
                <w:szCs w:val="21"/>
              </w:rPr>
              <w:t>破碎场地一破、二破、</w:t>
            </w:r>
            <w:proofErr w:type="gramStart"/>
            <w:r>
              <w:rPr>
                <w:rFonts w:hint="eastAsia"/>
                <w:sz w:val="21"/>
                <w:szCs w:val="21"/>
              </w:rPr>
              <w:t>一</w:t>
            </w:r>
            <w:proofErr w:type="gramEnd"/>
            <w:r>
              <w:rPr>
                <w:rFonts w:hint="eastAsia"/>
                <w:sz w:val="21"/>
                <w:szCs w:val="21"/>
              </w:rPr>
              <w:t>筛工序脉冲袋式除尘器排气筒（</w:t>
            </w:r>
            <w:r>
              <w:rPr>
                <w:rFonts w:hint="eastAsia"/>
                <w:sz w:val="21"/>
                <w:szCs w:val="21"/>
              </w:rPr>
              <w:t>1#</w:t>
            </w:r>
            <w:r>
              <w:rPr>
                <w:rFonts w:hint="eastAsia"/>
                <w:sz w:val="21"/>
                <w:szCs w:val="21"/>
              </w:rPr>
              <w:t>排气筒）</w:t>
            </w:r>
          </w:p>
        </w:tc>
        <w:tc>
          <w:tcPr>
            <w:tcW w:w="1276" w:type="dxa"/>
            <w:vAlign w:val="center"/>
          </w:tcPr>
          <w:p w14:paraId="025A6FF2"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t>颗粒物</w:t>
            </w:r>
          </w:p>
        </w:tc>
        <w:tc>
          <w:tcPr>
            <w:tcW w:w="1559" w:type="dxa"/>
            <w:vAlign w:val="center"/>
          </w:tcPr>
          <w:p w14:paraId="6285479E" w14:textId="77777777" w:rsidR="00E579B9" w:rsidRDefault="006A1398">
            <w:pPr>
              <w:spacing w:line="360" w:lineRule="exact"/>
              <w:ind w:firstLineChars="0" w:firstLine="0"/>
              <w:jc w:val="center"/>
              <w:rPr>
                <w:kern w:val="0"/>
                <w:sz w:val="21"/>
                <w:szCs w:val="21"/>
              </w:rPr>
            </w:pPr>
            <w:r>
              <w:rPr>
                <w:rFonts w:hint="eastAsia"/>
                <w:kern w:val="0"/>
                <w:sz w:val="21"/>
                <w:szCs w:val="21"/>
              </w:rPr>
              <w:t>0.805</w:t>
            </w:r>
          </w:p>
        </w:tc>
        <w:tc>
          <w:tcPr>
            <w:tcW w:w="1559" w:type="dxa"/>
            <w:vAlign w:val="center"/>
          </w:tcPr>
          <w:p w14:paraId="2E1954CA" w14:textId="77777777" w:rsidR="00E579B9" w:rsidRDefault="006A1398">
            <w:pPr>
              <w:spacing w:line="360" w:lineRule="exact"/>
              <w:ind w:firstLineChars="0" w:firstLine="0"/>
              <w:jc w:val="center"/>
              <w:rPr>
                <w:sz w:val="21"/>
                <w:szCs w:val="21"/>
              </w:rPr>
            </w:pPr>
            <w:r>
              <w:rPr>
                <w:rFonts w:hint="eastAsia"/>
                <w:sz w:val="21"/>
                <w:szCs w:val="21"/>
              </w:rPr>
              <w:t>0.0161</w:t>
            </w:r>
          </w:p>
        </w:tc>
        <w:tc>
          <w:tcPr>
            <w:tcW w:w="1134" w:type="dxa"/>
            <w:vAlign w:val="center"/>
          </w:tcPr>
          <w:p w14:paraId="1CD69271" w14:textId="77777777" w:rsidR="00E579B9" w:rsidRDefault="006A1398">
            <w:pPr>
              <w:spacing w:line="360" w:lineRule="exact"/>
              <w:ind w:firstLineChars="0" w:firstLine="0"/>
              <w:jc w:val="center"/>
              <w:rPr>
                <w:bCs/>
                <w:kern w:val="0"/>
                <w:sz w:val="21"/>
                <w:szCs w:val="21"/>
              </w:rPr>
            </w:pPr>
            <w:r>
              <w:rPr>
                <w:rFonts w:hint="eastAsia"/>
                <w:bCs/>
                <w:kern w:val="0"/>
                <w:sz w:val="21"/>
                <w:szCs w:val="21"/>
              </w:rPr>
              <w:t>0.0721</w:t>
            </w:r>
          </w:p>
        </w:tc>
      </w:tr>
      <w:tr w:rsidR="00E579B9" w14:paraId="47ADB38A" w14:textId="77777777">
        <w:trPr>
          <w:trHeight w:val="300"/>
        </w:trPr>
        <w:tc>
          <w:tcPr>
            <w:tcW w:w="699" w:type="dxa"/>
            <w:vAlign w:val="center"/>
          </w:tcPr>
          <w:p w14:paraId="57C6221E" w14:textId="77777777" w:rsidR="00E579B9" w:rsidRDefault="006A1398">
            <w:pPr>
              <w:spacing w:line="360" w:lineRule="exact"/>
              <w:ind w:firstLineChars="0" w:firstLine="0"/>
              <w:jc w:val="center"/>
              <w:rPr>
                <w:kern w:val="0"/>
                <w:sz w:val="21"/>
                <w:szCs w:val="21"/>
              </w:rPr>
            </w:pPr>
            <w:r>
              <w:rPr>
                <w:rFonts w:hint="eastAsia"/>
                <w:kern w:val="0"/>
                <w:sz w:val="21"/>
                <w:szCs w:val="21"/>
              </w:rPr>
              <w:t>2</w:t>
            </w:r>
          </w:p>
        </w:tc>
        <w:tc>
          <w:tcPr>
            <w:tcW w:w="2410" w:type="dxa"/>
            <w:vAlign w:val="center"/>
          </w:tcPr>
          <w:p w14:paraId="6717C65E" w14:textId="77777777" w:rsidR="00E579B9" w:rsidRDefault="006A1398">
            <w:pPr>
              <w:spacing w:line="360" w:lineRule="exact"/>
              <w:ind w:firstLineChars="0" w:firstLine="0"/>
              <w:jc w:val="center"/>
              <w:rPr>
                <w:sz w:val="21"/>
                <w:szCs w:val="21"/>
              </w:rPr>
            </w:pPr>
            <w:r>
              <w:rPr>
                <w:rFonts w:hint="eastAsia"/>
                <w:sz w:val="21"/>
                <w:szCs w:val="21"/>
              </w:rPr>
              <w:t>破碎场地二筛、三筛工序脉冲袋式除尘器排气筒（</w:t>
            </w:r>
            <w:r>
              <w:rPr>
                <w:rFonts w:hint="eastAsia"/>
                <w:sz w:val="21"/>
                <w:szCs w:val="21"/>
              </w:rPr>
              <w:t>2#</w:t>
            </w:r>
            <w:r>
              <w:rPr>
                <w:rFonts w:hint="eastAsia"/>
                <w:sz w:val="21"/>
                <w:szCs w:val="21"/>
              </w:rPr>
              <w:t>排气筒）</w:t>
            </w:r>
          </w:p>
        </w:tc>
        <w:tc>
          <w:tcPr>
            <w:tcW w:w="1276" w:type="dxa"/>
            <w:vAlign w:val="center"/>
          </w:tcPr>
          <w:p w14:paraId="1621EC74"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t>颗粒物</w:t>
            </w:r>
          </w:p>
        </w:tc>
        <w:tc>
          <w:tcPr>
            <w:tcW w:w="1559" w:type="dxa"/>
            <w:vAlign w:val="center"/>
          </w:tcPr>
          <w:p w14:paraId="2E78CBA0" w14:textId="77777777" w:rsidR="00E579B9" w:rsidRDefault="006A1398">
            <w:pPr>
              <w:spacing w:line="360" w:lineRule="exact"/>
              <w:ind w:firstLineChars="0" w:firstLine="0"/>
              <w:jc w:val="center"/>
              <w:rPr>
                <w:kern w:val="0"/>
                <w:sz w:val="21"/>
                <w:szCs w:val="21"/>
              </w:rPr>
            </w:pPr>
            <w:r>
              <w:rPr>
                <w:rFonts w:hint="eastAsia"/>
                <w:kern w:val="0"/>
                <w:sz w:val="21"/>
                <w:szCs w:val="21"/>
              </w:rPr>
              <w:t>0.829</w:t>
            </w:r>
          </w:p>
        </w:tc>
        <w:tc>
          <w:tcPr>
            <w:tcW w:w="1559" w:type="dxa"/>
            <w:vAlign w:val="center"/>
          </w:tcPr>
          <w:p w14:paraId="6B28766A" w14:textId="77777777" w:rsidR="00E579B9" w:rsidRDefault="006A1398">
            <w:pPr>
              <w:spacing w:line="360" w:lineRule="exact"/>
              <w:ind w:firstLineChars="0" w:firstLine="0"/>
              <w:jc w:val="center"/>
              <w:rPr>
                <w:sz w:val="21"/>
                <w:szCs w:val="21"/>
              </w:rPr>
            </w:pPr>
            <w:r>
              <w:rPr>
                <w:rFonts w:hint="eastAsia"/>
                <w:sz w:val="21"/>
                <w:szCs w:val="21"/>
              </w:rPr>
              <w:t>0.0166</w:t>
            </w:r>
          </w:p>
        </w:tc>
        <w:tc>
          <w:tcPr>
            <w:tcW w:w="1134" w:type="dxa"/>
            <w:vAlign w:val="center"/>
          </w:tcPr>
          <w:p w14:paraId="0A53B0AE" w14:textId="77777777" w:rsidR="00E579B9" w:rsidRDefault="006A1398">
            <w:pPr>
              <w:spacing w:line="360" w:lineRule="exact"/>
              <w:ind w:firstLineChars="0" w:firstLine="0"/>
              <w:jc w:val="center"/>
              <w:rPr>
                <w:bCs/>
                <w:kern w:val="0"/>
                <w:sz w:val="21"/>
                <w:szCs w:val="21"/>
              </w:rPr>
            </w:pPr>
            <w:r>
              <w:rPr>
                <w:rFonts w:hint="eastAsia"/>
                <w:bCs/>
                <w:kern w:val="0"/>
                <w:sz w:val="21"/>
                <w:szCs w:val="21"/>
              </w:rPr>
              <w:t>0.0743</w:t>
            </w:r>
          </w:p>
        </w:tc>
      </w:tr>
      <w:tr w:rsidR="00E579B9" w14:paraId="02DB8DA8" w14:textId="77777777">
        <w:trPr>
          <w:trHeight w:val="285"/>
        </w:trPr>
        <w:tc>
          <w:tcPr>
            <w:tcW w:w="8637" w:type="dxa"/>
            <w:gridSpan w:val="6"/>
            <w:vAlign w:val="center"/>
          </w:tcPr>
          <w:p w14:paraId="6DCD950A"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t>有组织排放总计</w:t>
            </w:r>
          </w:p>
        </w:tc>
      </w:tr>
      <w:tr w:rsidR="00E579B9" w14:paraId="254BE6C3" w14:textId="77777777">
        <w:trPr>
          <w:trHeight w:val="285"/>
        </w:trPr>
        <w:tc>
          <w:tcPr>
            <w:tcW w:w="3109" w:type="dxa"/>
            <w:gridSpan w:val="2"/>
            <w:vAlign w:val="center"/>
          </w:tcPr>
          <w:p w14:paraId="3BD62499"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t>有组织排放总计</w:t>
            </w:r>
          </w:p>
        </w:tc>
        <w:tc>
          <w:tcPr>
            <w:tcW w:w="1276" w:type="dxa"/>
            <w:vAlign w:val="center"/>
          </w:tcPr>
          <w:p w14:paraId="2146CEC3" w14:textId="77777777" w:rsidR="00E579B9" w:rsidRDefault="006A1398">
            <w:pPr>
              <w:spacing w:line="360" w:lineRule="exact"/>
              <w:ind w:firstLineChars="0" w:firstLine="0"/>
              <w:jc w:val="center"/>
              <w:rPr>
                <w:rFonts w:ascii="宋体" w:hAnsi="宋体" w:cs="宋体"/>
                <w:kern w:val="0"/>
                <w:sz w:val="21"/>
                <w:szCs w:val="21"/>
              </w:rPr>
            </w:pPr>
            <w:r>
              <w:rPr>
                <w:rFonts w:ascii="宋体" w:hAnsi="宋体" w:cs="宋体" w:hint="eastAsia"/>
                <w:kern w:val="0"/>
                <w:sz w:val="21"/>
                <w:szCs w:val="21"/>
              </w:rPr>
              <w:t>颗粒物</w:t>
            </w:r>
          </w:p>
        </w:tc>
        <w:tc>
          <w:tcPr>
            <w:tcW w:w="1559" w:type="dxa"/>
            <w:vAlign w:val="center"/>
          </w:tcPr>
          <w:p w14:paraId="3476DCC4" w14:textId="77777777" w:rsidR="00E579B9" w:rsidRDefault="006A1398">
            <w:pPr>
              <w:spacing w:line="360" w:lineRule="exact"/>
              <w:ind w:firstLineChars="0" w:firstLine="0"/>
              <w:jc w:val="center"/>
              <w:rPr>
                <w:kern w:val="0"/>
                <w:sz w:val="21"/>
                <w:szCs w:val="21"/>
              </w:rPr>
            </w:pPr>
            <w:r>
              <w:rPr>
                <w:rFonts w:hint="eastAsia"/>
                <w:kern w:val="0"/>
                <w:sz w:val="21"/>
                <w:szCs w:val="21"/>
              </w:rPr>
              <w:t>/</w:t>
            </w:r>
          </w:p>
        </w:tc>
        <w:tc>
          <w:tcPr>
            <w:tcW w:w="1559" w:type="dxa"/>
            <w:vAlign w:val="center"/>
          </w:tcPr>
          <w:p w14:paraId="4F002172" w14:textId="77777777" w:rsidR="00E579B9" w:rsidRDefault="006A1398">
            <w:pPr>
              <w:spacing w:line="360" w:lineRule="exact"/>
              <w:ind w:firstLineChars="0" w:firstLine="0"/>
              <w:jc w:val="center"/>
              <w:rPr>
                <w:sz w:val="21"/>
                <w:szCs w:val="21"/>
              </w:rPr>
            </w:pPr>
            <w:r>
              <w:rPr>
                <w:rFonts w:hint="eastAsia"/>
                <w:sz w:val="21"/>
                <w:szCs w:val="21"/>
              </w:rPr>
              <w:t>0.0327</w:t>
            </w:r>
          </w:p>
        </w:tc>
        <w:tc>
          <w:tcPr>
            <w:tcW w:w="1134" w:type="dxa"/>
            <w:vAlign w:val="center"/>
          </w:tcPr>
          <w:p w14:paraId="530FEEE0" w14:textId="77777777" w:rsidR="00E579B9" w:rsidRDefault="006A1398">
            <w:pPr>
              <w:spacing w:line="360" w:lineRule="exact"/>
              <w:ind w:firstLineChars="0" w:firstLine="0"/>
              <w:jc w:val="center"/>
              <w:rPr>
                <w:bCs/>
                <w:kern w:val="0"/>
                <w:sz w:val="21"/>
                <w:szCs w:val="21"/>
              </w:rPr>
            </w:pPr>
            <w:r>
              <w:rPr>
                <w:rFonts w:hint="eastAsia"/>
                <w:bCs/>
                <w:kern w:val="0"/>
                <w:sz w:val="21"/>
                <w:szCs w:val="21"/>
              </w:rPr>
              <w:t>0.1464</w:t>
            </w:r>
          </w:p>
        </w:tc>
      </w:tr>
    </w:tbl>
    <w:p w14:paraId="6BE08314" w14:textId="77777777" w:rsidR="00E579B9" w:rsidRDefault="006A1398">
      <w:pPr>
        <w:pStyle w:val="226"/>
        <w:rPr>
          <w:rFonts w:cs="Times New Roman"/>
          <w:kern w:val="0"/>
        </w:rPr>
      </w:pPr>
      <w:r>
        <w:rPr>
          <w:rFonts w:hint="eastAsia"/>
        </w:rPr>
        <w:t>由表</w:t>
      </w:r>
      <w:r>
        <w:rPr>
          <w:rFonts w:hint="eastAsia"/>
        </w:rPr>
        <w:t>5.2-6</w:t>
      </w:r>
      <w:r>
        <w:rPr>
          <w:rFonts w:hint="eastAsia"/>
        </w:rPr>
        <w:t>可知，项目破碎场地有组织排放的颗粒物浓度均能满足</w:t>
      </w:r>
      <w:r>
        <w:t>《</w:t>
      </w:r>
      <w:r>
        <w:rPr>
          <w:rFonts w:hint="eastAsia"/>
        </w:rPr>
        <w:t>水泥工业大气</w:t>
      </w:r>
      <w:r>
        <w:t>污染物排放标准》（</w:t>
      </w:r>
      <w:r>
        <w:t>GB</w:t>
      </w:r>
      <w:r>
        <w:rPr>
          <w:rFonts w:hint="eastAsia"/>
        </w:rPr>
        <w:t>4915</w:t>
      </w:r>
      <w:r>
        <w:t>-</w:t>
      </w:r>
      <w:r>
        <w:rPr>
          <w:rFonts w:hint="eastAsia"/>
        </w:rPr>
        <w:t>2013</w:t>
      </w:r>
      <w:r>
        <w:t>）表</w:t>
      </w:r>
      <w:r>
        <w:rPr>
          <w:rFonts w:hint="eastAsia"/>
        </w:rPr>
        <w:t>2</w:t>
      </w:r>
      <w:r>
        <w:rPr>
          <w:rFonts w:hint="eastAsia"/>
        </w:rPr>
        <w:t>中特别排放限值要求（颗粒物排放浓度≤</w:t>
      </w:r>
      <w:r>
        <w:rPr>
          <w:rFonts w:hint="eastAsia"/>
        </w:rPr>
        <w:t>10mg/m</w:t>
      </w:r>
      <w:r>
        <w:rPr>
          <w:rFonts w:hint="eastAsia"/>
          <w:vertAlign w:val="superscript"/>
        </w:rPr>
        <w:t>3</w:t>
      </w:r>
      <w:r>
        <w:rPr>
          <w:rFonts w:hint="eastAsia"/>
        </w:rPr>
        <w:t>）。</w:t>
      </w:r>
    </w:p>
    <w:p w14:paraId="1F1197F8" w14:textId="77777777" w:rsidR="00E579B9" w:rsidRDefault="006A1398">
      <w:pPr>
        <w:adjustRightInd w:val="0"/>
        <w:snapToGrid w:val="0"/>
        <w:spacing w:line="520" w:lineRule="exact"/>
        <w:jc w:val="center"/>
        <w:rPr>
          <w:rFonts w:eastAsia="黑体"/>
        </w:rPr>
      </w:pPr>
      <w:r>
        <w:rPr>
          <w:rFonts w:eastAsia="黑体" w:hint="eastAsia"/>
        </w:rPr>
        <w:t>表</w:t>
      </w:r>
      <w:r>
        <w:rPr>
          <w:rFonts w:eastAsia="黑体" w:hint="eastAsia"/>
        </w:rPr>
        <w:t>5.2-7</w:t>
      </w:r>
      <w:r>
        <w:rPr>
          <w:rFonts w:eastAsia="黑体" w:hint="eastAsia"/>
        </w:rPr>
        <w:t>项目运营期大气污染物无组织排放量核算表</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850"/>
        <w:gridCol w:w="1026"/>
        <w:gridCol w:w="709"/>
        <w:gridCol w:w="2268"/>
        <w:gridCol w:w="1844"/>
        <w:gridCol w:w="675"/>
        <w:gridCol w:w="851"/>
      </w:tblGrid>
      <w:tr w:rsidR="00E579B9" w14:paraId="5C7E8CE9" w14:textId="77777777">
        <w:trPr>
          <w:jc w:val="center"/>
        </w:trPr>
        <w:tc>
          <w:tcPr>
            <w:tcW w:w="561" w:type="dxa"/>
            <w:vMerge w:val="restart"/>
            <w:vAlign w:val="center"/>
          </w:tcPr>
          <w:p w14:paraId="00FFC8C2" w14:textId="77777777" w:rsidR="00E579B9" w:rsidRDefault="006A1398">
            <w:pPr>
              <w:spacing w:line="360" w:lineRule="exact"/>
              <w:ind w:firstLineChars="0" w:firstLine="0"/>
              <w:jc w:val="center"/>
              <w:rPr>
                <w:sz w:val="21"/>
                <w:szCs w:val="21"/>
              </w:rPr>
            </w:pPr>
            <w:r>
              <w:rPr>
                <w:rFonts w:hint="eastAsia"/>
                <w:sz w:val="21"/>
                <w:szCs w:val="21"/>
              </w:rPr>
              <w:t>序号</w:t>
            </w:r>
          </w:p>
        </w:tc>
        <w:tc>
          <w:tcPr>
            <w:tcW w:w="850" w:type="dxa"/>
            <w:vMerge w:val="restart"/>
            <w:vAlign w:val="center"/>
          </w:tcPr>
          <w:p w14:paraId="6FC56EC6" w14:textId="77777777" w:rsidR="00E579B9" w:rsidRDefault="006A1398">
            <w:pPr>
              <w:spacing w:line="360" w:lineRule="exact"/>
              <w:ind w:firstLineChars="0" w:firstLine="0"/>
              <w:jc w:val="center"/>
              <w:rPr>
                <w:sz w:val="21"/>
                <w:szCs w:val="21"/>
              </w:rPr>
            </w:pPr>
            <w:r>
              <w:rPr>
                <w:rFonts w:hint="eastAsia"/>
                <w:sz w:val="21"/>
                <w:szCs w:val="21"/>
              </w:rPr>
              <w:t>排放口编号</w:t>
            </w:r>
          </w:p>
        </w:tc>
        <w:tc>
          <w:tcPr>
            <w:tcW w:w="1026" w:type="dxa"/>
            <w:vMerge w:val="restart"/>
            <w:vAlign w:val="center"/>
          </w:tcPr>
          <w:p w14:paraId="043799E5" w14:textId="77777777" w:rsidR="00E579B9" w:rsidRDefault="006A1398">
            <w:pPr>
              <w:spacing w:line="360" w:lineRule="exact"/>
              <w:ind w:firstLineChars="0" w:firstLine="0"/>
              <w:jc w:val="center"/>
              <w:rPr>
                <w:sz w:val="21"/>
                <w:szCs w:val="21"/>
              </w:rPr>
            </w:pPr>
            <w:proofErr w:type="gramStart"/>
            <w:r>
              <w:rPr>
                <w:rFonts w:hint="eastAsia"/>
                <w:sz w:val="21"/>
                <w:szCs w:val="21"/>
              </w:rPr>
              <w:t>产污环节</w:t>
            </w:r>
            <w:proofErr w:type="gramEnd"/>
          </w:p>
        </w:tc>
        <w:tc>
          <w:tcPr>
            <w:tcW w:w="709" w:type="dxa"/>
            <w:vMerge w:val="restart"/>
            <w:vAlign w:val="center"/>
          </w:tcPr>
          <w:p w14:paraId="64179DDC" w14:textId="77777777" w:rsidR="00E579B9" w:rsidRDefault="006A1398">
            <w:pPr>
              <w:spacing w:line="360" w:lineRule="exact"/>
              <w:ind w:firstLineChars="0" w:firstLine="0"/>
              <w:jc w:val="center"/>
              <w:rPr>
                <w:sz w:val="21"/>
                <w:szCs w:val="21"/>
              </w:rPr>
            </w:pPr>
            <w:r>
              <w:rPr>
                <w:rFonts w:hint="eastAsia"/>
                <w:sz w:val="21"/>
                <w:szCs w:val="21"/>
              </w:rPr>
              <w:t>污染物</w:t>
            </w:r>
          </w:p>
        </w:tc>
        <w:tc>
          <w:tcPr>
            <w:tcW w:w="2268" w:type="dxa"/>
            <w:vMerge w:val="restart"/>
            <w:vAlign w:val="center"/>
          </w:tcPr>
          <w:p w14:paraId="790FFF8C" w14:textId="77777777" w:rsidR="00E579B9" w:rsidRDefault="006A1398">
            <w:pPr>
              <w:spacing w:line="360" w:lineRule="exact"/>
              <w:ind w:firstLineChars="0" w:firstLine="0"/>
              <w:jc w:val="center"/>
              <w:rPr>
                <w:sz w:val="21"/>
                <w:szCs w:val="21"/>
              </w:rPr>
            </w:pPr>
            <w:r>
              <w:rPr>
                <w:rFonts w:hint="eastAsia"/>
                <w:sz w:val="21"/>
                <w:szCs w:val="21"/>
              </w:rPr>
              <w:t>主要污染治理措施</w:t>
            </w:r>
          </w:p>
        </w:tc>
        <w:tc>
          <w:tcPr>
            <w:tcW w:w="2519" w:type="dxa"/>
            <w:gridSpan w:val="2"/>
            <w:vAlign w:val="center"/>
          </w:tcPr>
          <w:p w14:paraId="75CB9D02" w14:textId="77777777" w:rsidR="00E579B9" w:rsidRDefault="006A1398">
            <w:pPr>
              <w:spacing w:line="360" w:lineRule="exact"/>
              <w:ind w:firstLineChars="0" w:firstLine="0"/>
              <w:jc w:val="center"/>
              <w:rPr>
                <w:sz w:val="21"/>
                <w:szCs w:val="21"/>
              </w:rPr>
            </w:pPr>
            <w:r>
              <w:rPr>
                <w:rFonts w:hint="eastAsia"/>
                <w:sz w:val="21"/>
                <w:szCs w:val="21"/>
              </w:rPr>
              <w:t>排放标准</w:t>
            </w:r>
          </w:p>
        </w:tc>
        <w:tc>
          <w:tcPr>
            <w:tcW w:w="851" w:type="dxa"/>
            <w:vMerge w:val="restart"/>
            <w:vAlign w:val="center"/>
          </w:tcPr>
          <w:p w14:paraId="1F535F5F" w14:textId="77777777" w:rsidR="00E579B9" w:rsidRDefault="006A1398">
            <w:pPr>
              <w:spacing w:line="360" w:lineRule="exact"/>
              <w:ind w:firstLineChars="0" w:firstLine="0"/>
              <w:jc w:val="center"/>
              <w:rPr>
                <w:sz w:val="21"/>
                <w:szCs w:val="21"/>
              </w:rPr>
            </w:pPr>
            <w:r>
              <w:rPr>
                <w:rFonts w:hint="eastAsia"/>
                <w:sz w:val="21"/>
                <w:szCs w:val="21"/>
              </w:rPr>
              <w:t>年排放量（</w:t>
            </w:r>
            <w:r>
              <w:rPr>
                <w:rFonts w:hint="eastAsia"/>
                <w:sz w:val="21"/>
                <w:szCs w:val="21"/>
              </w:rPr>
              <w:t>t/a</w:t>
            </w:r>
            <w:r>
              <w:rPr>
                <w:rFonts w:hint="eastAsia"/>
                <w:sz w:val="21"/>
                <w:szCs w:val="21"/>
              </w:rPr>
              <w:t>）</w:t>
            </w:r>
          </w:p>
        </w:tc>
      </w:tr>
      <w:tr w:rsidR="00E579B9" w14:paraId="61E8CF01" w14:textId="77777777">
        <w:trPr>
          <w:jc w:val="center"/>
        </w:trPr>
        <w:tc>
          <w:tcPr>
            <w:tcW w:w="561" w:type="dxa"/>
            <w:vMerge/>
            <w:vAlign w:val="center"/>
          </w:tcPr>
          <w:p w14:paraId="7DF0B8D5" w14:textId="77777777" w:rsidR="00E579B9" w:rsidRDefault="00E579B9">
            <w:pPr>
              <w:spacing w:line="360" w:lineRule="exact"/>
              <w:ind w:firstLineChars="0" w:firstLine="0"/>
              <w:jc w:val="center"/>
              <w:rPr>
                <w:sz w:val="21"/>
                <w:szCs w:val="21"/>
              </w:rPr>
            </w:pPr>
          </w:p>
        </w:tc>
        <w:tc>
          <w:tcPr>
            <w:tcW w:w="850" w:type="dxa"/>
            <w:vMerge/>
            <w:vAlign w:val="center"/>
          </w:tcPr>
          <w:p w14:paraId="16EFBCB1" w14:textId="77777777" w:rsidR="00E579B9" w:rsidRDefault="00E579B9">
            <w:pPr>
              <w:spacing w:line="360" w:lineRule="exact"/>
              <w:ind w:firstLineChars="0" w:firstLine="0"/>
              <w:jc w:val="center"/>
              <w:rPr>
                <w:sz w:val="21"/>
                <w:szCs w:val="21"/>
              </w:rPr>
            </w:pPr>
          </w:p>
        </w:tc>
        <w:tc>
          <w:tcPr>
            <w:tcW w:w="1026" w:type="dxa"/>
            <w:vMerge/>
            <w:vAlign w:val="center"/>
          </w:tcPr>
          <w:p w14:paraId="062688C7" w14:textId="77777777" w:rsidR="00E579B9" w:rsidRDefault="00E579B9">
            <w:pPr>
              <w:spacing w:line="360" w:lineRule="exact"/>
              <w:ind w:firstLineChars="0" w:firstLine="0"/>
              <w:jc w:val="center"/>
              <w:rPr>
                <w:sz w:val="21"/>
                <w:szCs w:val="21"/>
              </w:rPr>
            </w:pPr>
          </w:p>
        </w:tc>
        <w:tc>
          <w:tcPr>
            <w:tcW w:w="709" w:type="dxa"/>
            <w:vMerge/>
            <w:vAlign w:val="center"/>
          </w:tcPr>
          <w:p w14:paraId="0F59EFCC" w14:textId="77777777" w:rsidR="00E579B9" w:rsidRDefault="00E579B9">
            <w:pPr>
              <w:spacing w:line="360" w:lineRule="exact"/>
              <w:ind w:firstLineChars="0" w:firstLine="0"/>
              <w:jc w:val="center"/>
              <w:rPr>
                <w:sz w:val="21"/>
                <w:szCs w:val="21"/>
              </w:rPr>
            </w:pPr>
          </w:p>
        </w:tc>
        <w:tc>
          <w:tcPr>
            <w:tcW w:w="2268" w:type="dxa"/>
            <w:vMerge/>
            <w:vAlign w:val="center"/>
          </w:tcPr>
          <w:p w14:paraId="08510CC0" w14:textId="77777777" w:rsidR="00E579B9" w:rsidRDefault="00E579B9">
            <w:pPr>
              <w:spacing w:line="360" w:lineRule="exact"/>
              <w:ind w:firstLineChars="0" w:firstLine="0"/>
              <w:jc w:val="center"/>
              <w:rPr>
                <w:sz w:val="21"/>
                <w:szCs w:val="21"/>
              </w:rPr>
            </w:pPr>
          </w:p>
        </w:tc>
        <w:tc>
          <w:tcPr>
            <w:tcW w:w="1844" w:type="dxa"/>
            <w:vAlign w:val="center"/>
          </w:tcPr>
          <w:p w14:paraId="2862D899" w14:textId="77777777" w:rsidR="00E579B9" w:rsidRDefault="006A1398">
            <w:pPr>
              <w:spacing w:line="360" w:lineRule="exact"/>
              <w:ind w:firstLineChars="0" w:firstLine="0"/>
              <w:jc w:val="center"/>
              <w:rPr>
                <w:sz w:val="21"/>
                <w:szCs w:val="21"/>
              </w:rPr>
            </w:pPr>
            <w:r>
              <w:rPr>
                <w:rFonts w:hint="eastAsia"/>
                <w:sz w:val="21"/>
                <w:szCs w:val="21"/>
              </w:rPr>
              <w:t>标准名称</w:t>
            </w:r>
          </w:p>
        </w:tc>
        <w:tc>
          <w:tcPr>
            <w:tcW w:w="675" w:type="dxa"/>
            <w:vAlign w:val="center"/>
          </w:tcPr>
          <w:p w14:paraId="731C3DEB" w14:textId="77777777" w:rsidR="00E579B9" w:rsidRDefault="006A1398">
            <w:pPr>
              <w:spacing w:line="360" w:lineRule="exact"/>
              <w:ind w:firstLineChars="0" w:firstLine="0"/>
              <w:jc w:val="center"/>
              <w:rPr>
                <w:sz w:val="21"/>
                <w:szCs w:val="21"/>
              </w:rPr>
            </w:pPr>
            <w:r>
              <w:rPr>
                <w:rFonts w:hint="eastAsia"/>
                <w:sz w:val="21"/>
                <w:szCs w:val="21"/>
              </w:rPr>
              <w:t>浓度限值</w:t>
            </w:r>
          </w:p>
        </w:tc>
        <w:tc>
          <w:tcPr>
            <w:tcW w:w="851" w:type="dxa"/>
            <w:vMerge/>
            <w:vAlign w:val="center"/>
          </w:tcPr>
          <w:p w14:paraId="1D80667F" w14:textId="77777777" w:rsidR="00E579B9" w:rsidRDefault="00E579B9">
            <w:pPr>
              <w:spacing w:line="360" w:lineRule="exact"/>
              <w:ind w:firstLineChars="0" w:firstLine="0"/>
              <w:jc w:val="center"/>
              <w:rPr>
                <w:sz w:val="21"/>
                <w:szCs w:val="21"/>
              </w:rPr>
            </w:pPr>
          </w:p>
        </w:tc>
      </w:tr>
      <w:tr w:rsidR="00733A8D" w14:paraId="3BF7ACE3" w14:textId="77777777">
        <w:trPr>
          <w:jc w:val="center"/>
        </w:trPr>
        <w:tc>
          <w:tcPr>
            <w:tcW w:w="561" w:type="dxa"/>
            <w:vAlign w:val="center"/>
          </w:tcPr>
          <w:p w14:paraId="3B5A5465" w14:textId="77777777" w:rsidR="00733A8D" w:rsidRDefault="00733A8D">
            <w:pPr>
              <w:spacing w:line="360" w:lineRule="exact"/>
              <w:ind w:firstLineChars="0" w:firstLine="0"/>
              <w:jc w:val="center"/>
              <w:rPr>
                <w:sz w:val="21"/>
                <w:szCs w:val="21"/>
              </w:rPr>
            </w:pPr>
            <w:r>
              <w:rPr>
                <w:rFonts w:hint="eastAsia"/>
                <w:sz w:val="21"/>
                <w:szCs w:val="21"/>
              </w:rPr>
              <w:t>1</w:t>
            </w:r>
          </w:p>
        </w:tc>
        <w:tc>
          <w:tcPr>
            <w:tcW w:w="850" w:type="dxa"/>
            <w:vAlign w:val="center"/>
          </w:tcPr>
          <w:p w14:paraId="13648A46" w14:textId="77777777" w:rsidR="00733A8D" w:rsidRDefault="00733A8D">
            <w:pPr>
              <w:spacing w:line="360" w:lineRule="exact"/>
              <w:ind w:firstLineChars="0" w:firstLine="0"/>
              <w:jc w:val="center"/>
              <w:rPr>
                <w:sz w:val="21"/>
                <w:szCs w:val="21"/>
              </w:rPr>
            </w:pPr>
            <w:r>
              <w:rPr>
                <w:rFonts w:hint="eastAsia"/>
                <w:sz w:val="21"/>
                <w:szCs w:val="21"/>
              </w:rPr>
              <w:t>露天采场</w:t>
            </w:r>
          </w:p>
        </w:tc>
        <w:tc>
          <w:tcPr>
            <w:tcW w:w="1026" w:type="dxa"/>
            <w:vAlign w:val="center"/>
          </w:tcPr>
          <w:p w14:paraId="13196245" w14:textId="77777777" w:rsidR="00733A8D" w:rsidRDefault="00733A8D">
            <w:pPr>
              <w:spacing w:line="360" w:lineRule="exact"/>
              <w:ind w:firstLineChars="0" w:firstLine="0"/>
              <w:jc w:val="center"/>
              <w:rPr>
                <w:sz w:val="21"/>
                <w:szCs w:val="21"/>
              </w:rPr>
            </w:pPr>
            <w:r>
              <w:rPr>
                <w:rFonts w:hint="eastAsia"/>
                <w:sz w:val="21"/>
                <w:szCs w:val="21"/>
              </w:rPr>
              <w:t>钻孔、爆破、矿石装卸</w:t>
            </w:r>
          </w:p>
        </w:tc>
        <w:tc>
          <w:tcPr>
            <w:tcW w:w="709" w:type="dxa"/>
            <w:vAlign w:val="center"/>
          </w:tcPr>
          <w:p w14:paraId="4FDBA571" w14:textId="77777777" w:rsidR="00733A8D" w:rsidRDefault="00733A8D">
            <w:pPr>
              <w:spacing w:line="360" w:lineRule="exact"/>
              <w:ind w:firstLineChars="0" w:firstLine="0"/>
              <w:jc w:val="center"/>
              <w:rPr>
                <w:sz w:val="21"/>
                <w:szCs w:val="21"/>
              </w:rPr>
            </w:pPr>
            <w:r>
              <w:rPr>
                <w:rFonts w:hint="eastAsia"/>
                <w:sz w:val="21"/>
                <w:szCs w:val="21"/>
              </w:rPr>
              <w:t>颗粒物</w:t>
            </w:r>
          </w:p>
        </w:tc>
        <w:tc>
          <w:tcPr>
            <w:tcW w:w="2268" w:type="dxa"/>
            <w:vAlign w:val="center"/>
          </w:tcPr>
          <w:p w14:paraId="3866B89E" w14:textId="77777777" w:rsidR="00733A8D" w:rsidRDefault="00733A8D">
            <w:pPr>
              <w:spacing w:line="360" w:lineRule="exact"/>
              <w:ind w:firstLineChars="0" w:firstLine="0"/>
              <w:jc w:val="center"/>
              <w:rPr>
                <w:sz w:val="21"/>
                <w:szCs w:val="21"/>
              </w:rPr>
            </w:pPr>
            <w:r>
              <w:rPr>
                <w:rFonts w:cs="Times New Roman"/>
                <w:sz w:val="21"/>
                <w:szCs w:val="21"/>
              </w:rPr>
              <w:t>湿式凿岩，</w:t>
            </w:r>
            <w:r>
              <w:rPr>
                <w:rFonts w:cs="Times New Roman" w:hint="eastAsia"/>
                <w:sz w:val="21"/>
                <w:szCs w:val="21"/>
              </w:rPr>
              <w:t>凿岩机</w:t>
            </w:r>
            <w:r>
              <w:rPr>
                <w:rFonts w:cs="Times New Roman"/>
                <w:sz w:val="21"/>
                <w:szCs w:val="21"/>
              </w:rPr>
              <w:t>自带收尘器</w:t>
            </w:r>
            <w:r>
              <w:rPr>
                <w:rFonts w:cs="Times New Roman" w:hint="eastAsia"/>
                <w:sz w:val="21"/>
                <w:szCs w:val="21"/>
              </w:rPr>
              <w:t>；</w:t>
            </w:r>
            <w:r>
              <w:rPr>
                <w:rFonts w:cs="Times New Roman"/>
                <w:sz w:val="21"/>
                <w:szCs w:val="21"/>
              </w:rPr>
              <w:t>采用水封爆破法</w:t>
            </w:r>
            <w:r>
              <w:rPr>
                <w:rFonts w:cs="Times New Roman" w:hint="eastAsia"/>
                <w:sz w:val="21"/>
                <w:szCs w:val="21"/>
              </w:rPr>
              <w:t>；降低装卸落差</w:t>
            </w:r>
            <w:r>
              <w:rPr>
                <w:rFonts w:cs="Times New Roman"/>
                <w:sz w:val="21"/>
                <w:szCs w:val="21"/>
              </w:rPr>
              <w:t>+</w:t>
            </w:r>
            <w:r>
              <w:rPr>
                <w:rFonts w:cs="Times New Roman"/>
                <w:sz w:val="21"/>
                <w:szCs w:val="21"/>
              </w:rPr>
              <w:t>装卸部位喷雾降尘</w:t>
            </w:r>
          </w:p>
        </w:tc>
        <w:tc>
          <w:tcPr>
            <w:tcW w:w="1844" w:type="dxa"/>
            <w:vMerge w:val="restart"/>
            <w:vAlign w:val="center"/>
          </w:tcPr>
          <w:p w14:paraId="57C553B3" w14:textId="563CF50C" w:rsidR="00733A8D" w:rsidRPr="00733A8D" w:rsidRDefault="00733A8D" w:rsidP="00733A8D">
            <w:pPr>
              <w:spacing w:line="360" w:lineRule="exact"/>
              <w:ind w:firstLineChars="0" w:firstLine="0"/>
              <w:jc w:val="center"/>
              <w:rPr>
                <w:sz w:val="21"/>
                <w:szCs w:val="21"/>
              </w:rPr>
            </w:pPr>
            <w:r w:rsidRPr="00733A8D">
              <w:rPr>
                <w:rFonts w:hint="eastAsia"/>
                <w:sz w:val="21"/>
                <w:szCs w:val="21"/>
              </w:rPr>
              <w:t>水泥工业大气污染物排放标准</w:t>
            </w:r>
            <w:proofErr w:type="gramStart"/>
            <w:r w:rsidRPr="00733A8D">
              <w:rPr>
                <w:rFonts w:hint="eastAsia"/>
                <w:sz w:val="21"/>
                <w:szCs w:val="21"/>
              </w:rPr>
              <w:t>》</w:t>
            </w:r>
            <w:proofErr w:type="gramEnd"/>
            <w:r w:rsidRPr="00733A8D">
              <w:rPr>
                <w:rFonts w:hint="eastAsia"/>
                <w:sz w:val="21"/>
                <w:szCs w:val="21"/>
              </w:rPr>
              <w:t>（</w:t>
            </w:r>
            <w:r w:rsidRPr="00733A8D">
              <w:rPr>
                <w:rFonts w:hint="eastAsia"/>
                <w:sz w:val="21"/>
                <w:szCs w:val="21"/>
              </w:rPr>
              <w:t>GB4915-2013</w:t>
            </w:r>
            <w:r w:rsidRPr="00733A8D">
              <w:rPr>
                <w:rFonts w:hint="eastAsia"/>
                <w:sz w:val="21"/>
                <w:szCs w:val="21"/>
              </w:rPr>
              <w:t>）表</w:t>
            </w:r>
            <w:r w:rsidRPr="00733A8D">
              <w:rPr>
                <w:rFonts w:hint="eastAsia"/>
                <w:sz w:val="21"/>
                <w:szCs w:val="21"/>
              </w:rPr>
              <w:t>3</w:t>
            </w:r>
            <w:r w:rsidRPr="00733A8D">
              <w:rPr>
                <w:rFonts w:hint="eastAsia"/>
                <w:sz w:val="21"/>
                <w:szCs w:val="21"/>
              </w:rPr>
              <w:t>中相关标准、</w:t>
            </w:r>
            <w:r w:rsidRPr="00733A8D">
              <w:rPr>
                <w:bCs/>
                <w:color w:val="FF0000"/>
                <w:sz w:val="21"/>
                <w:szCs w:val="21"/>
              </w:rPr>
              <w:t>《建筑石料、石材矿绿色矿山建设规范》（</w:t>
            </w:r>
            <w:r w:rsidRPr="00733A8D">
              <w:rPr>
                <w:bCs/>
                <w:color w:val="FF0000"/>
                <w:sz w:val="21"/>
                <w:szCs w:val="21"/>
              </w:rPr>
              <w:t>DB41/T1665-2018</w:t>
            </w:r>
            <w:r w:rsidRPr="00733A8D">
              <w:rPr>
                <w:bCs/>
                <w:color w:val="FF0000"/>
                <w:sz w:val="21"/>
                <w:szCs w:val="21"/>
              </w:rPr>
              <w:t>）</w:t>
            </w:r>
          </w:p>
        </w:tc>
        <w:tc>
          <w:tcPr>
            <w:tcW w:w="675" w:type="dxa"/>
            <w:vMerge w:val="restart"/>
            <w:vAlign w:val="center"/>
          </w:tcPr>
          <w:p w14:paraId="4828CCBF" w14:textId="77777777" w:rsidR="00733A8D" w:rsidRDefault="00733A8D">
            <w:pPr>
              <w:spacing w:line="360" w:lineRule="exact"/>
              <w:ind w:firstLineChars="0" w:firstLine="0"/>
              <w:jc w:val="center"/>
              <w:rPr>
                <w:sz w:val="21"/>
                <w:szCs w:val="21"/>
              </w:rPr>
            </w:pPr>
            <w:r>
              <w:rPr>
                <w:rFonts w:hint="eastAsia"/>
                <w:sz w:val="21"/>
                <w:szCs w:val="21"/>
              </w:rPr>
              <w:t>0.5</w:t>
            </w:r>
          </w:p>
          <w:p w14:paraId="6043A99B" w14:textId="0F63D8AC" w:rsidR="00733A8D" w:rsidRDefault="00733A8D" w:rsidP="00733A8D">
            <w:pPr>
              <w:spacing w:line="360" w:lineRule="exact"/>
              <w:ind w:firstLineChars="0" w:firstLine="0"/>
              <w:jc w:val="center"/>
              <w:rPr>
                <w:sz w:val="21"/>
                <w:szCs w:val="21"/>
              </w:rPr>
            </w:pPr>
            <w:r>
              <w:rPr>
                <w:rFonts w:hint="eastAsia"/>
                <w:sz w:val="21"/>
                <w:szCs w:val="21"/>
              </w:rPr>
              <w:t>mg/m</w:t>
            </w:r>
            <w:r>
              <w:rPr>
                <w:rFonts w:hint="eastAsia"/>
                <w:sz w:val="21"/>
                <w:szCs w:val="21"/>
                <w:vertAlign w:val="superscript"/>
              </w:rPr>
              <w:t>3</w:t>
            </w:r>
          </w:p>
        </w:tc>
        <w:tc>
          <w:tcPr>
            <w:tcW w:w="851" w:type="dxa"/>
            <w:vAlign w:val="center"/>
          </w:tcPr>
          <w:p w14:paraId="1ECE8091" w14:textId="77777777" w:rsidR="00733A8D" w:rsidRDefault="00733A8D">
            <w:pPr>
              <w:spacing w:line="360" w:lineRule="exact"/>
              <w:ind w:firstLineChars="0" w:firstLine="0"/>
              <w:jc w:val="center"/>
              <w:rPr>
                <w:sz w:val="21"/>
                <w:szCs w:val="21"/>
              </w:rPr>
            </w:pPr>
            <w:r>
              <w:rPr>
                <w:rFonts w:hint="eastAsia"/>
                <w:sz w:val="21"/>
                <w:szCs w:val="21"/>
              </w:rPr>
              <w:t>2.306</w:t>
            </w:r>
          </w:p>
          <w:p w14:paraId="73270BAC" w14:textId="77777777" w:rsidR="00733A8D" w:rsidRDefault="00733A8D">
            <w:pPr>
              <w:spacing w:line="360" w:lineRule="exact"/>
              <w:ind w:firstLineChars="0" w:firstLine="0"/>
              <w:jc w:val="center"/>
              <w:rPr>
                <w:sz w:val="21"/>
                <w:szCs w:val="21"/>
              </w:rPr>
            </w:pPr>
          </w:p>
        </w:tc>
      </w:tr>
      <w:tr w:rsidR="00733A8D" w14:paraId="2174E947" w14:textId="77777777">
        <w:trPr>
          <w:jc w:val="center"/>
        </w:trPr>
        <w:tc>
          <w:tcPr>
            <w:tcW w:w="561" w:type="dxa"/>
            <w:vAlign w:val="center"/>
          </w:tcPr>
          <w:p w14:paraId="27B04D6B" w14:textId="77777777" w:rsidR="00733A8D" w:rsidRDefault="00733A8D">
            <w:pPr>
              <w:spacing w:line="360" w:lineRule="exact"/>
              <w:ind w:firstLineChars="0" w:firstLine="0"/>
              <w:jc w:val="center"/>
              <w:rPr>
                <w:sz w:val="21"/>
                <w:szCs w:val="21"/>
              </w:rPr>
            </w:pPr>
            <w:r>
              <w:rPr>
                <w:rFonts w:hint="eastAsia"/>
                <w:sz w:val="21"/>
                <w:szCs w:val="21"/>
              </w:rPr>
              <w:t>2</w:t>
            </w:r>
          </w:p>
        </w:tc>
        <w:tc>
          <w:tcPr>
            <w:tcW w:w="850" w:type="dxa"/>
            <w:vAlign w:val="center"/>
          </w:tcPr>
          <w:p w14:paraId="3196CA41" w14:textId="77777777" w:rsidR="00733A8D" w:rsidRDefault="00733A8D">
            <w:pPr>
              <w:spacing w:line="360" w:lineRule="exact"/>
              <w:ind w:firstLineChars="0" w:firstLine="0"/>
              <w:jc w:val="center"/>
              <w:rPr>
                <w:sz w:val="21"/>
                <w:szCs w:val="21"/>
              </w:rPr>
            </w:pPr>
            <w:r>
              <w:rPr>
                <w:rFonts w:hint="eastAsia"/>
                <w:sz w:val="21"/>
                <w:szCs w:val="21"/>
              </w:rPr>
              <w:t>破碎场地</w:t>
            </w:r>
          </w:p>
        </w:tc>
        <w:tc>
          <w:tcPr>
            <w:tcW w:w="1026" w:type="dxa"/>
            <w:vAlign w:val="center"/>
          </w:tcPr>
          <w:p w14:paraId="00D9E4ED" w14:textId="77777777" w:rsidR="00733A8D" w:rsidRDefault="00733A8D">
            <w:pPr>
              <w:spacing w:line="360" w:lineRule="exact"/>
              <w:ind w:firstLineChars="0" w:firstLine="0"/>
              <w:jc w:val="center"/>
              <w:rPr>
                <w:sz w:val="21"/>
                <w:szCs w:val="21"/>
              </w:rPr>
            </w:pPr>
            <w:r>
              <w:rPr>
                <w:rFonts w:hint="eastAsia"/>
                <w:sz w:val="21"/>
                <w:szCs w:val="21"/>
              </w:rPr>
              <w:t>破碎、筛分</w:t>
            </w:r>
          </w:p>
        </w:tc>
        <w:tc>
          <w:tcPr>
            <w:tcW w:w="709" w:type="dxa"/>
            <w:vAlign w:val="center"/>
          </w:tcPr>
          <w:p w14:paraId="42300C3F" w14:textId="77777777" w:rsidR="00733A8D" w:rsidRDefault="00733A8D">
            <w:pPr>
              <w:spacing w:line="360" w:lineRule="exact"/>
              <w:ind w:firstLineChars="0" w:firstLine="0"/>
              <w:jc w:val="center"/>
              <w:rPr>
                <w:sz w:val="21"/>
                <w:szCs w:val="21"/>
              </w:rPr>
            </w:pPr>
            <w:r>
              <w:rPr>
                <w:rFonts w:hint="eastAsia"/>
                <w:sz w:val="21"/>
                <w:szCs w:val="21"/>
              </w:rPr>
              <w:t>颗粒物</w:t>
            </w:r>
          </w:p>
        </w:tc>
        <w:tc>
          <w:tcPr>
            <w:tcW w:w="2268" w:type="dxa"/>
            <w:vAlign w:val="center"/>
          </w:tcPr>
          <w:p w14:paraId="4852B6E9" w14:textId="77777777" w:rsidR="00733A8D" w:rsidRDefault="00733A8D">
            <w:pPr>
              <w:spacing w:line="360" w:lineRule="exact"/>
              <w:ind w:firstLineChars="0" w:firstLine="0"/>
              <w:jc w:val="center"/>
              <w:rPr>
                <w:sz w:val="21"/>
                <w:szCs w:val="21"/>
              </w:rPr>
            </w:pPr>
            <w:r>
              <w:rPr>
                <w:rFonts w:hint="eastAsia"/>
                <w:sz w:val="21"/>
                <w:szCs w:val="21"/>
              </w:rPr>
              <w:t>密闭破碎车间、筛分车间</w:t>
            </w:r>
          </w:p>
        </w:tc>
        <w:tc>
          <w:tcPr>
            <w:tcW w:w="1844" w:type="dxa"/>
            <w:vMerge/>
            <w:vAlign w:val="center"/>
          </w:tcPr>
          <w:p w14:paraId="283FEEC6" w14:textId="369C526B" w:rsidR="00733A8D" w:rsidRDefault="00733A8D" w:rsidP="00FB6EE0">
            <w:pPr>
              <w:spacing w:line="360" w:lineRule="exact"/>
              <w:ind w:firstLine="420"/>
              <w:jc w:val="center"/>
              <w:rPr>
                <w:sz w:val="21"/>
                <w:szCs w:val="21"/>
              </w:rPr>
            </w:pPr>
          </w:p>
        </w:tc>
        <w:tc>
          <w:tcPr>
            <w:tcW w:w="675" w:type="dxa"/>
            <w:vMerge/>
            <w:vAlign w:val="center"/>
          </w:tcPr>
          <w:p w14:paraId="37B7EB83" w14:textId="2DEF0DB6" w:rsidR="00733A8D" w:rsidRDefault="00733A8D" w:rsidP="00FB6EE0">
            <w:pPr>
              <w:spacing w:line="360" w:lineRule="exact"/>
              <w:ind w:firstLine="420"/>
              <w:jc w:val="center"/>
              <w:rPr>
                <w:sz w:val="21"/>
                <w:szCs w:val="21"/>
              </w:rPr>
            </w:pPr>
          </w:p>
        </w:tc>
        <w:tc>
          <w:tcPr>
            <w:tcW w:w="851" w:type="dxa"/>
            <w:vAlign w:val="center"/>
          </w:tcPr>
          <w:p w14:paraId="25D2C24E" w14:textId="77777777" w:rsidR="00733A8D" w:rsidRDefault="00733A8D">
            <w:pPr>
              <w:spacing w:line="360" w:lineRule="exact"/>
              <w:ind w:firstLineChars="0" w:firstLine="0"/>
              <w:jc w:val="center"/>
              <w:rPr>
                <w:sz w:val="21"/>
                <w:szCs w:val="21"/>
              </w:rPr>
            </w:pPr>
            <w:r>
              <w:rPr>
                <w:rFonts w:hint="eastAsia"/>
                <w:sz w:val="21"/>
                <w:szCs w:val="21"/>
              </w:rPr>
              <w:t>0.77</w:t>
            </w:r>
          </w:p>
        </w:tc>
      </w:tr>
      <w:tr w:rsidR="00733A8D" w14:paraId="13BFE3AD" w14:textId="77777777">
        <w:trPr>
          <w:jc w:val="center"/>
        </w:trPr>
        <w:tc>
          <w:tcPr>
            <w:tcW w:w="561" w:type="dxa"/>
            <w:vAlign w:val="center"/>
          </w:tcPr>
          <w:p w14:paraId="1D261273" w14:textId="77777777" w:rsidR="00733A8D" w:rsidRDefault="00733A8D">
            <w:pPr>
              <w:spacing w:line="360" w:lineRule="exact"/>
              <w:ind w:firstLineChars="0" w:firstLine="0"/>
              <w:jc w:val="center"/>
              <w:rPr>
                <w:sz w:val="21"/>
                <w:szCs w:val="21"/>
              </w:rPr>
            </w:pPr>
            <w:r>
              <w:rPr>
                <w:rFonts w:hint="eastAsia"/>
                <w:sz w:val="21"/>
                <w:szCs w:val="21"/>
              </w:rPr>
              <w:t>3</w:t>
            </w:r>
          </w:p>
        </w:tc>
        <w:tc>
          <w:tcPr>
            <w:tcW w:w="850" w:type="dxa"/>
            <w:vAlign w:val="center"/>
          </w:tcPr>
          <w:p w14:paraId="589E8E75" w14:textId="77777777" w:rsidR="00733A8D" w:rsidRDefault="00733A8D">
            <w:pPr>
              <w:spacing w:line="360" w:lineRule="exact"/>
              <w:ind w:firstLineChars="0" w:firstLine="0"/>
              <w:jc w:val="center"/>
              <w:rPr>
                <w:sz w:val="21"/>
                <w:szCs w:val="21"/>
              </w:rPr>
            </w:pPr>
            <w:proofErr w:type="gramStart"/>
            <w:r>
              <w:rPr>
                <w:rFonts w:hint="eastAsia"/>
                <w:sz w:val="21"/>
                <w:szCs w:val="21"/>
              </w:rPr>
              <w:t>表土场</w:t>
            </w:r>
            <w:proofErr w:type="gramEnd"/>
          </w:p>
        </w:tc>
        <w:tc>
          <w:tcPr>
            <w:tcW w:w="1026" w:type="dxa"/>
            <w:vAlign w:val="center"/>
          </w:tcPr>
          <w:p w14:paraId="55CBFFAF" w14:textId="77777777" w:rsidR="00733A8D" w:rsidRDefault="00733A8D">
            <w:pPr>
              <w:spacing w:line="360" w:lineRule="exact"/>
              <w:ind w:firstLineChars="0" w:firstLine="0"/>
              <w:jc w:val="center"/>
              <w:rPr>
                <w:sz w:val="21"/>
                <w:szCs w:val="21"/>
              </w:rPr>
            </w:pPr>
            <w:r>
              <w:rPr>
                <w:rFonts w:hint="eastAsia"/>
                <w:sz w:val="21"/>
                <w:szCs w:val="21"/>
              </w:rPr>
              <w:t>风力起尘</w:t>
            </w:r>
          </w:p>
        </w:tc>
        <w:tc>
          <w:tcPr>
            <w:tcW w:w="709" w:type="dxa"/>
            <w:vAlign w:val="center"/>
          </w:tcPr>
          <w:p w14:paraId="0E1CCCF8" w14:textId="77777777" w:rsidR="00733A8D" w:rsidRDefault="00733A8D">
            <w:pPr>
              <w:spacing w:line="360" w:lineRule="exact"/>
              <w:ind w:firstLineChars="0" w:firstLine="0"/>
              <w:jc w:val="center"/>
              <w:rPr>
                <w:sz w:val="21"/>
                <w:szCs w:val="21"/>
              </w:rPr>
            </w:pPr>
            <w:r>
              <w:rPr>
                <w:rFonts w:hint="eastAsia"/>
                <w:sz w:val="21"/>
                <w:szCs w:val="21"/>
              </w:rPr>
              <w:t>颗粒物</w:t>
            </w:r>
          </w:p>
        </w:tc>
        <w:tc>
          <w:tcPr>
            <w:tcW w:w="2268" w:type="dxa"/>
            <w:vAlign w:val="center"/>
          </w:tcPr>
          <w:p w14:paraId="01F00B42" w14:textId="77777777" w:rsidR="00733A8D" w:rsidRDefault="00733A8D">
            <w:pPr>
              <w:spacing w:line="360" w:lineRule="exact"/>
              <w:ind w:firstLineChars="0" w:firstLine="0"/>
              <w:jc w:val="center"/>
              <w:rPr>
                <w:sz w:val="21"/>
                <w:szCs w:val="21"/>
              </w:rPr>
            </w:pPr>
            <w:r>
              <w:rPr>
                <w:rFonts w:hint="eastAsia"/>
                <w:sz w:val="21"/>
                <w:szCs w:val="21"/>
              </w:rPr>
              <w:t>洒水降尘</w:t>
            </w:r>
          </w:p>
        </w:tc>
        <w:tc>
          <w:tcPr>
            <w:tcW w:w="1844" w:type="dxa"/>
            <w:vMerge/>
            <w:vAlign w:val="center"/>
          </w:tcPr>
          <w:p w14:paraId="70EC8930" w14:textId="049C20DE" w:rsidR="00733A8D" w:rsidRDefault="00733A8D">
            <w:pPr>
              <w:spacing w:line="360" w:lineRule="exact"/>
              <w:ind w:firstLineChars="0" w:firstLine="0"/>
              <w:jc w:val="center"/>
              <w:rPr>
                <w:sz w:val="21"/>
                <w:szCs w:val="21"/>
              </w:rPr>
            </w:pPr>
          </w:p>
        </w:tc>
        <w:tc>
          <w:tcPr>
            <w:tcW w:w="675" w:type="dxa"/>
            <w:vMerge/>
            <w:vAlign w:val="center"/>
          </w:tcPr>
          <w:p w14:paraId="7087324E" w14:textId="0C297469" w:rsidR="00733A8D" w:rsidRDefault="00733A8D">
            <w:pPr>
              <w:spacing w:line="360" w:lineRule="exact"/>
              <w:ind w:firstLineChars="0" w:firstLine="0"/>
              <w:jc w:val="center"/>
              <w:rPr>
                <w:sz w:val="21"/>
                <w:szCs w:val="21"/>
              </w:rPr>
            </w:pPr>
          </w:p>
        </w:tc>
        <w:tc>
          <w:tcPr>
            <w:tcW w:w="851" w:type="dxa"/>
            <w:vAlign w:val="center"/>
          </w:tcPr>
          <w:p w14:paraId="0DA1D047" w14:textId="77777777" w:rsidR="00733A8D" w:rsidRDefault="00733A8D">
            <w:pPr>
              <w:spacing w:line="360" w:lineRule="exact"/>
              <w:ind w:firstLineChars="0" w:firstLine="0"/>
              <w:jc w:val="center"/>
              <w:rPr>
                <w:sz w:val="21"/>
                <w:szCs w:val="21"/>
              </w:rPr>
            </w:pPr>
            <w:r>
              <w:rPr>
                <w:rFonts w:hint="eastAsia"/>
                <w:sz w:val="21"/>
                <w:szCs w:val="21"/>
              </w:rPr>
              <w:t>0.48</w:t>
            </w:r>
          </w:p>
        </w:tc>
      </w:tr>
      <w:tr w:rsidR="00E579B9" w14:paraId="3D86384C" w14:textId="77777777">
        <w:trPr>
          <w:jc w:val="center"/>
        </w:trPr>
        <w:tc>
          <w:tcPr>
            <w:tcW w:w="8784" w:type="dxa"/>
            <w:gridSpan w:val="8"/>
            <w:vAlign w:val="center"/>
          </w:tcPr>
          <w:p w14:paraId="438E19F2" w14:textId="77777777" w:rsidR="00E579B9" w:rsidRDefault="006A1398">
            <w:pPr>
              <w:spacing w:line="360" w:lineRule="exact"/>
              <w:ind w:firstLineChars="0" w:firstLine="0"/>
              <w:jc w:val="center"/>
              <w:rPr>
                <w:sz w:val="21"/>
                <w:szCs w:val="21"/>
              </w:rPr>
            </w:pPr>
            <w:r>
              <w:rPr>
                <w:rFonts w:hint="eastAsia"/>
                <w:sz w:val="21"/>
                <w:szCs w:val="21"/>
              </w:rPr>
              <w:t>无组织排放总计</w:t>
            </w:r>
          </w:p>
        </w:tc>
      </w:tr>
      <w:tr w:rsidR="00E579B9" w14:paraId="756F5885" w14:textId="77777777">
        <w:trPr>
          <w:jc w:val="center"/>
        </w:trPr>
        <w:tc>
          <w:tcPr>
            <w:tcW w:w="3146" w:type="dxa"/>
            <w:gridSpan w:val="4"/>
            <w:vAlign w:val="center"/>
          </w:tcPr>
          <w:p w14:paraId="612A9E37" w14:textId="77777777" w:rsidR="00E579B9" w:rsidRDefault="006A1398">
            <w:pPr>
              <w:spacing w:line="360" w:lineRule="exact"/>
              <w:ind w:firstLineChars="0" w:firstLine="0"/>
              <w:jc w:val="center"/>
              <w:rPr>
                <w:sz w:val="21"/>
                <w:szCs w:val="21"/>
              </w:rPr>
            </w:pPr>
            <w:r>
              <w:rPr>
                <w:rFonts w:hint="eastAsia"/>
                <w:sz w:val="21"/>
                <w:szCs w:val="21"/>
              </w:rPr>
              <w:t>无组织排放总计</w:t>
            </w:r>
          </w:p>
        </w:tc>
        <w:tc>
          <w:tcPr>
            <w:tcW w:w="2268" w:type="dxa"/>
            <w:vAlign w:val="center"/>
          </w:tcPr>
          <w:p w14:paraId="3B047F52" w14:textId="77777777" w:rsidR="00E579B9" w:rsidRDefault="006A1398">
            <w:pPr>
              <w:spacing w:line="360" w:lineRule="exact"/>
              <w:ind w:firstLineChars="0" w:firstLine="0"/>
              <w:jc w:val="center"/>
              <w:rPr>
                <w:sz w:val="21"/>
                <w:szCs w:val="21"/>
              </w:rPr>
            </w:pPr>
            <w:r>
              <w:rPr>
                <w:rFonts w:hint="eastAsia"/>
                <w:sz w:val="21"/>
                <w:szCs w:val="21"/>
              </w:rPr>
              <w:t>颗粒物</w:t>
            </w:r>
          </w:p>
        </w:tc>
        <w:tc>
          <w:tcPr>
            <w:tcW w:w="1844" w:type="dxa"/>
            <w:vAlign w:val="center"/>
          </w:tcPr>
          <w:p w14:paraId="36953060" w14:textId="77777777" w:rsidR="00E579B9" w:rsidRDefault="006A1398">
            <w:pPr>
              <w:spacing w:line="360" w:lineRule="exact"/>
              <w:ind w:firstLineChars="0" w:firstLine="0"/>
              <w:jc w:val="center"/>
              <w:rPr>
                <w:sz w:val="21"/>
                <w:szCs w:val="21"/>
              </w:rPr>
            </w:pPr>
            <w:r>
              <w:rPr>
                <w:rFonts w:hint="eastAsia"/>
                <w:sz w:val="21"/>
                <w:szCs w:val="21"/>
              </w:rPr>
              <w:t>/</w:t>
            </w:r>
          </w:p>
        </w:tc>
        <w:tc>
          <w:tcPr>
            <w:tcW w:w="675" w:type="dxa"/>
            <w:vAlign w:val="center"/>
          </w:tcPr>
          <w:p w14:paraId="146DA693" w14:textId="77777777" w:rsidR="00E579B9" w:rsidRDefault="006A1398">
            <w:pPr>
              <w:spacing w:line="360" w:lineRule="exact"/>
              <w:ind w:firstLineChars="0" w:firstLine="0"/>
              <w:jc w:val="center"/>
              <w:rPr>
                <w:sz w:val="21"/>
                <w:szCs w:val="21"/>
              </w:rPr>
            </w:pPr>
            <w:r>
              <w:rPr>
                <w:rFonts w:hint="eastAsia"/>
                <w:sz w:val="21"/>
                <w:szCs w:val="21"/>
              </w:rPr>
              <w:t>/</w:t>
            </w:r>
          </w:p>
        </w:tc>
        <w:tc>
          <w:tcPr>
            <w:tcW w:w="851" w:type="dxa"/>
            <w:vAlign w:val="center"/>
          </w:tcPr>
          <w:p w14:paraId="4D9C04C2" w14:textId="77777777" w:rsidR="00E579B9" w:rsidRDefault="006A1398">
            <w:pPr>
              <w:spacing w:line="360" w:lineRule="exact"/>
              <w:ind w:firstLineChars="0" w:firstLine="0"/>
              <w:jc w:val="center"/>
              <w:rPr>
                <w:sz w:val="21"/>
                <w:szCs w:val="21"/>
              </w:rPr>
            </w:pPr>
            <w:r>
              <w:rPr>
                <w:rFonts w:hint="eastAsia"/>
                <w:sz w:val="21"/>
                <w:szCs w:val="21"/>
              </w:rPr>
              <w:t>3.476</w:t>
            </w:r>
          </w:p>
        </w:tc>
      </w:tr>
    </w:tbl>
    <w:p w14:paraId="4BA3E28C" w14:textId="52B9C27D" w:rsidR="00E579B9" w:rsidRDefault="006A1398">
      <w:pPr>
        <w:pStyle w:val="226"/>
        <w:rPr>
          <w:rFonts w:cs="Times New Roman"/>
          <w:kern w:val="0"/>
        </w:rPr>
      </w:pPr>
      <w:r>
        <w:rPr>
          <w:rFonts w:cs="Times New Roman" w:hint="eastAsia"/>
          <w:kern w:val="0"/>
        </w:rPr>
        <w:t>由表</w:t>
      </w:r>
      <w:r>
        <w:rPr>
          <w:rFonts w:cs="Times New Roman" w:hint="eastAsia"/>
          <w:kern w:val="0"/>
        </w:rPr>
        <w:t>5.2-7</w:t>
      </w:r>
      <w:r>
        <w:rPr>
          <w:rFonts w:cs="Times New Roman" w:hint="eastAsia"/>
          <w:kern w:val="0"/>
        </w:rPr>
        <w:t>可知，项目运营期无组织排放颗粒物的量为</w:t>
      </w:r>
      <w:r>
        <w:rPr>
          <w:rFonts w:cs="Times New Roman" w:hint="eastAsia"/>
          <w:kern w:val="0"/>
        </w:rPr>
        <w:t>3.476t/a</w:t>
      </w:r>
      <w:r>
        <w:rPr>
          <w:rFonts w:cs="Times New Roman" w:hint="eastAsia"/>
          <w:kern w:val="0"/>
        </w:rPr>
        <w:t>，根据预测结果，项目露天采场和破碎场地、</w:t>
      </w:r>
      <w:proofErr w:type="gramStart"/>
      <w:r>
        <w:rPr>
          <w:rFonts w:cs="Times New Roman" w:hint="eastAsia"/>
          <w:kern w:val="0"/>
        </w:rPr>
        <w:t>表土场无</w:t>
      </w:r>
      <w:proofErr w:type="gramEnd"/>
      <w:r>
        <w:rPr>
          <w:rFonts w:cs="Times New Roman" w:hint="eastAsia"/>
          <w:kern w:val="0"/>
        </w:rPr>
        <w:t>组织排放颗粒物的最大落地浓度为</w:t>
      </w:r>
      <w:r>
        <w:rPr>
          <w:rFonts w:cs="Times New Roman"/>
          <w:kern w:val="0"/>
        </w:rPr>
        <w:t>0.0355mg/m</w:t>
      </w:r>
      <w:r>
        <w:rPr>
          <w:rFonts w:cs="Times New Roman"/>
          <w:kern w:val="0"/>
          <w:vertAlign w:val="superscript"/>
        </w:rPr>
        <w:t>3</w:t>
      </w:r>
      <w:r>
        <w:rPr>
          <w:rFonts w:cs="Times New Roman" w:hint="eastAsia"/>
          <w:kern w:val="0"/>
        </w:rPr>
        <w:t>，</w:t>
      </w:r>
      <w:r>
        <w:rPr>
          <w:rFonts w:hint="eastAsia"/>
        </w:rPr>
        <w:t>能达到《水泥工业大气污染物排放标准》（</w:t>
      </w:r>
      <w:r>
        <w:rPr>
          <w:rFonts w:hint="eastAsia"/>
        </w:rPr>
        <w:t>GB4915-2013</w:t>
      </w:r>
      <w:r>
        <w:rPr>
          <w:rFonts w:hint="eastAsia"/>
        </w:rPr>
        <w:t>）表</w:t>
      </w:r>
      <w:r>
        <w:rPr>
          <w:rFonts w:hint="eastAsia"/>
        </w:rPr>
        <w:t>3</w:t>
      </w:r>
      <w:r>
        <w:rPr>
          <w:rFonts w:hint="eastAsia"/>
        </w:rPr>
        <w:t>中厂界外颗粒</w:t>
      </w:r>
      <w:proofErr w:type="gramStart"/>
      <w:r>
        <w:rPr>
          <w:rFonts w:hint="eastAsia"/>
        </w:rPr>
        <w:t>物最大</w:t>
      </w:r>
      <w:proofErr w:type="gramEnd"/>
      <w:r>
        <w:rPr>
          <w:rFonts w:hint="eastAsia"/>
        </w:rPr>
        <w:t>浓度≤</w:t>
      </w:r>
      <w:r>
        <w:rPr>
          <w:rFonts w:hint="eastAsia"/>
        </w:rPr>
        <w:t>0.5mg/m</w:t>
      </w:r>
      <w:r>
        <w:rPr>
          <w:rFonts w:hint="eastAsia"/>
          <w:vertAlign w:val="superscript"/>
        </w:rPr>
        <w:t>3</w:t>
      </w:r>
      <w:r>
        <w:rPr>
          <w:rFonts w:hint="eastAsia"/>
        </w:rPr>
        <w:t>的要求和</w:t>
      </w:r>
      <w:r w:rsidR="00733A8D" w:rsidRPr="00EA71D4">
        <w:rPr>
          <w:bCs/>
          <w:color w:val="FF0000"/>
          <w:szCs w:val="21"/>
        </w:rPr>
        <w:t>《建筑石料、石材矿绿色矿山建设规范》（</w:t>
      </w:r>
      <w:r w:rsidR="00733A8D" w:rsidRPr="00EA71D4">
        <w:rPr>
          <w:bCs/>
          <w:color w:val="FF0000"/>
          <w:szCs w:val="21"/>
        </w:rPr>
        <w:t>DB41/T1665-2018</w:t>
      </w:r>
      <w:r w:rsidR="00733A8D" w:rsidRPr="00EA71D4">
        <w:rPr>
          <w:bCs/>
          <w:color w:val="FF0000"/>
          <w:szCs w:val="21"/>
        </w:rPr>
        <w:t>）</w:t>
      </w:r>
      <w:r w:rsidRPr="0008015C">
        <w:rPr>
          <w:rFonts w:hint="eastAsia"/>
          <w:color w:val="FF0000"/>
        </w:rPr>
        <w:t>（</w:t>
      </w:r>
      <w:r w:rsidR="00733A8D" w:rsidRPr="0008015C">
        <w:rPr>
          <w:rFonts w:hint="eastAsia"/>
          <w:color w:val="FF0000"/>
        </w:rPr>
        <w:t>0.5</w:t>
      </w:r>
      <w:r w:rsidRPr="0008015C">
        <w:rPr>
          <w:rFonts w:hint="eastAsia"/>
          <w:color w:val="FF0000"/>
        </w:rPr>
        <w:t>mg/m</w:t>
      </w:r>
      <w:r w:rsidRPr="0008015C">
        <w:rPr>
          <w:rFonts w:hint="eastAsia"/>
          <w:color w:val="FF0000"/>
          <w:vertAlign w:val="superscript"/>
        </w:rPr>
        <w:t>3</w:t>
      </w:r>
      <w:r w:rsidRPr="0008015C">
        <w:rPr>
          <w:rFonts w:hint="eastAsia"/>
          <w:color w:val="FF0000"/>
          <w:sz w:val="21"/>
          <w:szCs w:val="21"/>
        </w:rPr>
        <w:t>）。</w:t>
      </w:r>
    </w:p>
    <w:p w14:paraId="7C618FD5" w14:textId="77777777" w:rsidR="00E579B9" w:rsidRDefault="006A1398">
      <w:pPr>
        <w:pStyle w:val="226"/>
        <w:rPr>
          <w:rFonts w:cs="Times New Roman"/>
          <w:kern w:val="0"/>
        </w:rPr>
      </w:pPr>
      <w:r>
        <w:rPr>
          <w:rFonts w:cs="Times New Roman" w:hint="eastAsia"/>
          <w:kern w:val="0"/>
        </w:rPr>
        <w:t>根据项目运营期大气污染物年排放量见表</w:t>
      </w:r>
      <w:r>
        <w:rPr>
          <w:rFonts w:cs="Times New Roman" w:hint="eastAsia"/>
          <w:kern w:val="0"/>
        </w:rPr>
        <w:t>5.2-8</w:t>
      </w:r>
      <w:r>
        <w:rPr>
          <w:rFonts w:cs="Times New Roman" w:hint="eastAsia"/>
          <w:kern w:val="0"/>
        </w:rPr>
        <w:t>。</w:t>
      </w:r>
    </w:p>
    <w:p w14:paraId="45D7DD3C" w14:textId="77777777" w:rsidR="00E579B9" w:rsidRDefault="006A1398">
      <w:pPr>
        <w:adjustRightInd w:val="0"/>
        <w:snapToGrid w:val="0"/>
        <w:spacing w:line="520" w:lineRule="exact"/>
        <w:jc w:val="center"/>
        <w:rPr>
          <w:rFonts w:eastAsia="黑体"/>
        </w:rPr>
      </w:pPr>
      <w:r>
        <w:rPr>
          <w:rFonts w:eastAsia="黑体" w:hint="eastAsia"/>
        </w:rPr>
        <w:lastRenderedPageBreak/>
        <w:t>表</w:t>
      </w:r>
      <w:r>
        <w:rPr>
          <w:rFonts w:eastAsia="黑体" w:hint="eastAsia"/>
        </w:rPr>
        <w:t>5.2-8</w:t>
      </w:r>
      <w:r>
        <w:rPr>
          <w:rFonts w:eastAsia="黑体" w:hint="eastAsia"/>
        </w:rPr>
        <w:t>大气污染物年排放量核算表</w:t>
      </w:r>
    </w:p>
    <w:tbl>
      <w:tblPr>
        <w:tblW w:w="871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5"/>
        <w:gridCol w:w="2905"/>
        <w:gridCol w:w="2905"/>
      </w:tblGrid>
      <w:tr w:rsidR="00E579B9" w14:paraId="213C24E8" w14:textId="77777777">
        <w:tc>
          <w:tcPr>
            <w:tcW w:w="2905" w:type="dxa"/>
            <w:vAlign w:val="center"/>
          </w:tcPr>
          <w:p w14:paraId="054F0E35" w14:textId="77777777" w:rsidR="00E579B9" w:rsidRPr="007F239B" w:rsidRDefault="006A1398">
            <w:pPr>
              <w:spacing w:line="360" w:lineRule="exact"/>
              <w:ind w:firstLineChars="0" w:firstLine="0"/>
              <w:jc w:val="center"/>
              <w:rPr>
                <w:rFonts w:cs="Times New Roman"/>
                <w:color w:val="FF0000"/>
                <w:sz w:val="21"/>
                <w:szCs w:val="21"/>
              </w:rPr>
            </w:pPr>
            <w:r w:rsidRPr="007F239B">
              <w:rPr>
                <w:rFonts w:cs="Times New Roman"/>
                <w:color w:val="FF0000"/>
                <w:sz w:val="21"/>
                <w:szCs w:val="21"/>
              </w:rPr>
              <w:t>序号</w:t>
            </w:r>
          </w:p>
        </w:tc>
        <w:tc>
          <w:tcPr>
            <w:tcW w:w="2905" w:type="dxa"/>
            <w:vAlign w:val="center"/>
          </w:tcPr>
          <w:p w14:paraId="44E0BEB3" w14:textId="77777777" w:rsidR="00E579B9" w:rsidRPr="007F239B" w:rsidRDefault="006A1398">
            <w:pPr>
              <w:spacing w:line="360" w:lineRule="exact"/>
              <w:ind w:firstLineChars="0" w:firstLine="0"/>
              <w:jc w:val="center"/>
              <w:rPr>
                <w:rFonts w:cs="Times New Roman"/>
                <w:color w:val="FF0000"/>
                <w:sz w:val="21"/>
                <w:szCs w:val="21"/>
              </w:rPr>
            </w:pPr>
            <w:r w:rsidRPr="007F239B">
              <w:rPr>
                <w:rFonts w:cs="Times New Roman"/>
                <w:color w:val="FF0000"/>
                <w:sz w:val="21"/>
                <w:szCs w:val="21"/>
              </w:rPr>
              <w:t>污染物</w:t>
            </w:r>
          </w:p>
        </w:tc>
        <w:tc>
          <w:tcPr>
            <w:tcW w:w="2905" w:type="dxa"/>
            <w:vAlign w:val="center"/>
          </w:tcPr>
          <w:p w14:paraId="7D00C2BF" w14:textId="77777777" w:rsidR="00E579B9" w:rsidRPr="007F239B" w:rsidRDefault="006A1398">
            <w:pPr>
              <w:spacing w:line="360" w:lineRule="exact"/>
              <w:ind w:firstLineChars="0" w:firstLine="0"/>
              <w:jc w:val="center"/>
              <w:rPr>
                <w:rFonts w:cs="Times New Roman"/>
                <w:color w:val="FF0000"/>
                <w:sz w:val="21"/>
                <w:szCs w:val="21"/>
              </w:rPr>
            </w:pPr>
            <w:r w:rsidRPr="007F239B">
              <w:rPr>
                <w:rFonts w:cs="Times New Roman"/>
                <w:color w:val="FF0000"/>
                <w:sz w:val="21"/>
                <w:szCs w:val="21"/>
              </w:rPr>
              <w:t>年排放量</w:t>
            </w:r>
            <w:r w:rsidRPr="007F239B">
              <w:rPr>
                <w:rFonts w:cs="Times New Roman"/>
                <w:color w:val="FF0000"/>
                <w:sz w:val="21"/>
                <w:szCs w:val="21"/>
              </w:rPr>
              <w:t>/</w:t>
            </w:r>
            <w:r w:rsidRPr="007F239B">
              <w:rPr>
                <w:rFonts w:cs="Times New Roman"/>
                <w:color w:val="FF0000"/>
                <w:sz w:val="21"/>
                <w:szCs w:val="21"/>
              </w:rPr>
              <w:t>（</w:t>
            </w:r>
            <w:r w:rsidRPr="007F239B">
              <w:rPr>
                <w:rFonts w:cs="Times New Roman"/>
                <w:color w:val="FF0000"/>
                <w:sz w:val="21"/>
                <w:szCs w:val="21"/>
              </w:rPr>
              <w:t>t/a</w:t>
            </w:r>
            <w:r w:rsidRPr="007F239B">
              <w:rPr>
                <w:rFonts w:cs="Times New Roman"/>
                <w:color w:val="FF0000"/>
                <w:sz w:val="21"/>
                <w:szCs w:val="21"/>
              </w:rPr>
              <w:t>）</w:t>
            </w:r>
          </w:p>
        </w:tc>
      </w:tr>
      <w:tr w:rsidR="00E579B9" w14:paraId="06889D1A" w14:textId="77777777">
        <w:tc>
          <w:tcPr>
            <w:tcW w:w="2905" w:type="dxa"/>
            <w:vAlign w:val="center"/>
          </w:tcPr>
          <w:p w14:paraId="1B609427" w14:textId="77777777" w:rsidR="00E579B9" w:rsidRPr="007F239B" w:rsidRDefault="006A1398">
            <w:pPr>
              <w:spacing w:line="360" w:lineRule="exact"/>
              <w:ind w:firstLineChars="0" w:firstLine="0"/>
              <w:jc w:val="center"/>
              <w:rPr>
                <w:rFonts w:cs="Times New Roman"/>
                <w:color w:val="FF0000"/>
                <w:sz w:val="21"/>
                <w:szCs w:val="21"/>
              </w:rPr>
            </w:pPr>
            <w:r w:rsidRPr="007F239B">
              <w:rPr>
                <w:rFonts w:cs="Times New Roman"/>
                <w:color w:val="FF0000"/>
                <w:sz w:val="21"/>
                <w:szCs w:val="21"/>
              </w:rPr>
              <w:t>1</w:t>
            </w:r>
          </w:p>
        </w:tc>
        <w:tc>
          <w:tcPr>
            <w:tcW w:w="2905" w:type="dxa"/>
            <w:vAlign w:val="center"/>
          </w:tcPr>
          <w:p w14:paraId="632054A9" w14:textId="77777777" w:rsidR="00E579B9" w:rsidRPr="007F239B" w:rsidRDefault="006A1398">
            <w:pPr>
              <w:spacing w:line="360" w:lineRule="exact"/>
              <w:ind w:firstLineChars="0" w:firstLine="0"/>
              <w:jc w:val="center"/>
              <w:rPr>
                <w:rFonts w:cs="Times New Roman"/>
                <w:color w:val="FF0000"/>
                <w:sz w:val="21"/>
                <w:szCs w:val="21"/>
              </w:rPr>
            </w:pPr>
            <w:r w:rsidRPr="007F239B">
              <w:rPr>
                <w:rFonts w:cs="Times New Roman"/>
                <w:color w:val="FF0000"/>
                <w:sz w:val="21"/>
                <w:szCs w:val="21"/>
              </w:rPr>
              <w:t>颗粒物</w:t>
            </w:r>
          </w:p>
        </w:tc>
        <w:tc>
          <w:tcPr>
            <w:tcW w:w="2905" w:type="dxa"/>
            <w:vAlign w:val="center"/>
          </w:tcPr>
          <w:p w14:paraId="6A5CD5F2" w14:textId="77777777" w:rsidR="00E579B9" w:rsidRPr="007F239B" w:rsidRDefault="006A1398">
            <w:pPr>
              <w:spacing w:line="360" w:lineRule="exact"/>
              <w:ind w:firstLineChars="0" w:firstLine="0"/>
              <w:jc w:val="center"/>
              <w:rPr>
                <w:rFonts w:cs="Times New Roman"/>
                <w:color w:val="FF0000"/>
                <w:sz w:val="21"/>
                <w:szCs w:val="21"/>
              </w:rPr>
            </w:pPr>
            <w:r w:rsidRPr="007F239B">
              <w:rPr>
                <w:rFonts w:cs="Times New Roman" w:hint="eastAsia"/>
                <w:color w:val="FF0000"/>
                <w:sz w:val="21"/>
                <w:szCs w:val="21"/>
              </w:rPr>
              <w:t>3.6224</w:t>
            </w:r>
          </w:p>
        </w:tc>
      </w:tr>
    </w:tbl>
    <w:p w14:paraId="41FFAF69" w14:textId="77777777" w:rsidR="00E579B9" w:rsidRDefault="006A1398">
      <w:pPr>
        <w:pStyle w:val="226"/>
        <w:rPr>
          <w:rFonts w:cs="Times New Roman"/>
          <w:kern w:val="0"/>
        </w:rPr>
      </w:pPr>
      <w:r>
        <w:rPr>
          <w:rFonts w:hint="eastAsia"/>
        </w:rPr>
        <w:t>综上可知，项目运营期产生的大气污染物均可达标排放，对周边环境的影响较小。</w:t>
      </w:r>
    </w:p>
    <w:p w14:paraId="08F91522" w14:textId="77777777" w:rsidR="00E579B9" w:rsidRDefault="006A1398">
      <w:r>
        <w:rPr>
          <w:rFonts w:hint="eastAsia"/>
        </w:rPr>
        <w:t>5.2.2.3</w:t>
      </w:r>
      <w:r>
        <w:t>大气环境防护距离</w:t>
      </w:r>
    </w:p>
    <w:p w14:paraId="56AC5F7D" w14:textId="77777777" w:rsidR="00E579B9" w:rsidRDefault="006A1398">
      <w:r>
        <w:t>根据导则推荐模式计算，该项目无组织排放废气粉尘污染物在矿界外无超标点，计算结果见表</w:t>
      </w:r>
      <w:r>
        <w:t>5.2-</w:t>
      </w:r>
      <w:r>
        <w:rPr>
          <w:rFonts w:hint="eastAsia"/>
        </w:rPr>
        <w:t>9</w:t>
      </w:r>
      <w:r>
        <w:t>。</w:t>
      </w:r>
    </w:p>
    <w:p w14:paraId="2DD829B5" w14:textId="77777777" w:rsidR="00E579B9" w:rsidRDefault="006A1398">
      <w:pPr>
        <w:pStyle w:val="21"/>
      </w:pPr>
      <w:r>
        <w:t>表</w:t>
      </w:r>
      <w:r>
        <w:t>5.2-</w:t>
      </w:r>
      <w:r>
        <w:rPr>
          <w:rFonts w:hint="eastAsia"/>
        </w:rPr>
        <w:t>9</w:t>
      </w:r>
      <w:r>
        <w:t>大气环境防护距离计算结果一览表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22"/>
        <w:gridCol w:w="1284"/>
        <w:gridCol w:w="772"/>
        <w:gridCol w:w="810"/>
        <w:gridCol w:w="768"/>
        <w:gridCol w:w="1072"/>
        <w:gridCol w:w="1161"/>
        <w:gridCol w:w="1107"/>
      </w:tblGrid>
      <w:tr w:rsidR="00E579B9" w14:paraId="7CD546B1" w14:textId="77777777">
        <w:trPr>
          <w:trHeight w:val="750"/>
          <w:jc w:val="center"/>
        </w:trPr>
        <w:tc>
          <w:tcPr>
            <w:tcW w:w="1322" w:type="dxa"/>
            <w:vAlign w:val="center"/>
          </w:tcPr>
          <w:p w14:paraId="58C4E2CA" w14:textId="77777777" w:rsidR="00E579B9" w:rsidRDefault="006A1398">
            <w:pPr>
              <w:pStyle w:val="aa"/>
            </w:pPr>
            <w:r>
              <w:rPr>
                <w:rFonts w:hint="eastAsia"/>
              </w:rPr>
              <w:t>排放源</w:t>
            </w:r>
          </w:p>
        </w:tc>
        <w:tc>
          <w:tcPr>
            <w:tcW w:w="1284" w:type="dxa"/>
            <w:vAlign w:val="center"/>
          </w:tcPr>
          <w:p w14:paraId="143D37A7" w14:textId="77777777" w:rsidR="00E579B9" w:rsidRDefault="006A1398">
            <w:pPr>
              <w:pStyle w:val="aa"/>
            </w:pPr>
            <w:r>
              <w:rPr>
                <w:rFonts w:hint="eastAsia"/>
              </w:rPr>
              <w:t>面</w:t>
            </w:r>
            <w:proofErr w:type="gramStart"/>
            <w:r>
              <w:rPr>
                <w:rFonts w:hint="eastAsia"/>
              </w:rPr>
              <w:t>源有效</w:t>
            </w:r>
            <w:proofErr w:type="gramEnd"/>
            <w:r>
              <w:rPr>
                <w:rFonts w:hint="eastAsia"/>
              </w:rPr>
              <w:t>高度</w:t>
            </w:r>
            <w:r>
              <w:rPr>
                <w:rFonts w:hint="eastAsia"/>
              </w:rPr>
              <w:t>(m)</w:t>
            </w:r>
          </w:p>
        </w:tc>
        <w:tc>
          <w:tcPr>
            <w:tcW w:w="772" w:type="dxa"/>
            <w:vAlign w:val="center"/>
          </w:tcPr>
          <w:p w14:paraId="0B8CB419" w14:textId="77777777" w:rsidR="00E579B9" w:rsidRDefault="006A1398">
            <w:pPr>
              <w:pStyle w:val="aa"/>
            </w:pPr>
            <w:r>
              <w:rPr>
                <w:rFonts w:hint="eastAsia"/>
              </w:rPr>
              <w:t>面源长度</w:t>
            </w:r>
            <w:r>
              <w:rPr>
                <w:rFonts w:hint="eastAsia"/>
              </w:rPr>
              <w:t>(m)</w:t>
            </w:r>
          </w:p>
        </w:tc>
        <w:tc>
          <w:tcPr>
            <w:tcW w:w="810" w:type="dxa"/>
            <w:vAlign w:val="center"/>
          </w:tcPr>
          <w:p w14:paraId="2FE5DFED" w14:textId="77777777" w:rsidR="00E579B9" w:rsidRDefault="006A1398">
            <w:pPr>
              <w:pStyle w:val="aa"/>
            </w:pPr>
            <w:r>
              <w:rPr>
                <w:rFonts w:hint="eastAsia"/>
              </w:rPr>
              <w:t>面源宽度</w:t>
            </w:r>
            <w:r>
              <w:rPr>
                <w:rFonts w:hint="eastAsia"/>
              </w:rPr>
              <w:t>(m)</w:t>
            </w:r>
          </w:p>
        </w:tc>
        <w:tc>
          <w:tcPr>
            <w:tcW w:w="768" w:type="dxa"/>
            <w:vAlign w:val="center"/>
          </w:tcPr>
          <w:p w14:paraId="20CC4D75" w14:textId="77777777" w:rsidR="00E579B9" w:rsidRDefault="006A1398">
            <w:pPr>
              <w:pStyle w:val="aa"/>
            </w:pPr>
            <w:r>
              <w:rPr>
                <w:rFonts w:hint="eastAsia"/>
              </w:rPr>
              <w:t>污染物</w:t>
            </w:r>
          </w:p>
        </w:tc>
        <w:tc>
          <w:tcPr>
            <w:tcW w:w="1072" w:type="dxa"/>
            <w:vAlign w:val="center"/>
          </w:tcPr>
          <w:p w14:paraId="58C44A7C" w14:textId="77777777" w:rsidR="00E579B9" w:rsidRDefault="006A1398">
            <w:pPr>
              <w:pStyle w:val="aa"/>
            </w:pPr>
            <w:r>
              <w:rPr>
                <w:rFonts w:hint="eastAsia"/>
              </w:rPr>
              <w:t>污染物排放速率</w:t>
            </w:r>
            <w:r>
              <w:rPr>
                <w:rFonts w:hint="eastAsia"/>
              </w:rPr>
              <w:t>(kg/h)</w:t>
            </w:r>
          </w:p>
        </w:tc>
        <w:tc>
          <w:tcPr>
            <w:tcW w:w="1161" w:type="dxa"/>
            <w:vAlign w:val="center"/>
          </w:tcPr>
          <w:p w14:paraId="7D6A4DBC" w14:textId="77777777" w:rsidR="00E579B9" w:rsidRDefault="006A1398">
            <w:pPr>
              <w:pStyle w:val="aa"/>
            </w:pPr>
            <w:r>
              <w:rPr>
                <w:rFonts w:hint="eastAsia"/>
              </w:rPr>
              <w:t>小时评价标准</w:t>
            </w:r>
            <w:r>
              <w:rPr>
                <w:rFonts w:hint="eastAsia"/>
              </w:rPr>
              <w:t>(mg/m</w:t>
            </w:r>
            <w:r>
              <w:rPr>
                <w:rFonts w:hint="eastAsia"/>
                <w:vertAlign w:val="superscript"/>
              </w:rPr>
              <w:t>3</w:t>
            </w:r>
            <w:r>
              <w:rPr>
                <w:rFonts w:hint="eastAsia"/>
              </w:rPr>
              <w:t>)</w:t>
            </w:r>
          </w:p>
        </w:tc>
        <w:tc>
          <w:tcPr>
            <w:tcW w:w="1107" w:type="dxa"/>
            <w:vAlign w:val="center"/>
          </w:tcPr>
          <w:p w14:paraId="72352B91" w14:textId="77777777" w:rsidR="00E579B9" w:rsidRDefault="006A1398">
            <w:pPr>
              <w:pStyle w:val="aa"/>
            </w:pPr>
            <w:r>
              <w:rPr>
                <w:rFonts w:hint="eastAsia"/>
              </w:rPr>
              <w:t>计算防护距离（</w:t>
            </w:r>
            <w:r>
              <w:rPr>
                <w:rFonts w:hint="eastAsia"/>
              </w:rPr>
              <w:t>m</w:t>
            </w:r>
            <w:r>
              <w:rPr>
                <w:rFonts w:hint="eastAsia"/>
              </w:rPr>
              <w:t>）</w:t>
            </w:r>
          </w:p>
        </w:tc>
      </w:tr>
      <w:tr w:rsidR="00E579B9" w14:paraId="23FD3251" w14:textId="77777777">
        <w:trPr>
          <w:trHeight w:val="425"/>
          <w:jc w:val="center"/>
        </w:trPr>
        <w:tc>
          <w:tcPr>
            <w:tcW w:w="1322" w:type="dxa"/>
            <w:vAlign w:val="center"/>
          </w:tcPr>
          <w:p w14:paraId="1D05FF98" w14:textId="77777777" w:rsidR="00E579B9" w:rsidRDefault="006A1398">
            <w:pPr>
              <w:pStyle w:val="aa"/>
            </w:pPr>
            <w:r>
              <w:rPr>
                <w:rFonts w:cs="Times New Roman" w:hint="eastAsia"/>
                <w:szCs w:val="21"/>
              </w:rPr>
              <w:t>露天采场</w:t>
            </w:r>
          </w:p>
        </w:tc>
        <w:tc>
          <w:tcPr>
            <w:tcW w:w="1284" w:type="dxa"/>
            <w:vMerge w:val="restart"/>
            <w:vAlign w:val="center"/>
          </w:tcPr>
          <w:p w14:paraId="0A2B3779" w14:textId="77777777" w:rsidR="00E579B9" w:rsidRDefault="006A1398">
            <w:pPr>
              <w:pStyle w:val="aa"/>
            </w:pPr>
            <w:r>
              <w:rPr>
                <w:rFonts w:hint="eastAsia"/>
              </w:rPr>
              <w:t>15</w:t>
            </w:r>
          </w:p>
        </w:tc>
        <w:tc>
          <w:tcPr>
            <w:tcW w:w="772" w:type="dxa"/>
            <w:vAlign w:val="center"/>
          </w:tcPr>
          <w:p w14:paraId="36FBDAD9" w14:textId="77777777" w:rsidR="00E579B9" w:rsidRDefault="006A1398">
            <w:pPr>
              <w:pStyle w:val="aa"/>
            </w:pPr>
            <w:r>
              <w:rPr>
                <w:rFonts w:hint="eastAsia"/>
              </w:rPr>
              <w:t>400</w:t>
            </w:r>
          </w:p>
        </w:tc>
        <w:tc>
          <w:tcPr>
            <w:tcW w:w="810" w:type="dxa"/>
            <w:vAlign w:val="center"/>
          </w:tcPr>
          <w:p w14:paraId="77079204" w14:textId="77777777" w:rsidR="00E579B9" w:rsidRDefault="006A1398">
            <w:pPr>
              <w:pStyle w:val="aa"/>
            </w:pPr>
            <w:r>
              <w:rPr>
                <w:rFonts w:hint="eastAsia"/>
              </w:rPr>
              <w:t>785</w:t>
            </w:r>
          </w:p>
        </w:tc>
        <w:tc>
          <w:tcPr>
            <w:tcW w:w="768" w:type="dxa"/>
            <w:vMerge w:val="restart"/>
            <w:vAlign w:val="center"/>
          </w:tcPr>
          <w:p w14:paraId="7879A5D3" w14:textId="77777777" w:rsidR="00E579B9" w:rsidRDefault="006A1398">
            <w:pPr>
              <w:pStyle w:val="aa"/>
            </w:pPr>
            <w:r>
              <w:rPr>
                <w:rFonts w:hint="eastAsia"/>
              </w:rPr>
              <w:t>TSP</w:t>
            </w:r>
          </w:p>
        </w:tc>
        <w:tc>
          <w:tcPr>
            <w:tcW w:w="1072" w:type="dxa"/>
            <w:vAlign w:val="center"/>
          </w:tcPr>
          <w:p w14:paraId="6DDB91F3" w14:textId="77777777" w:rsidR="00E579B9" w:rsidRDefault="006A1398">
            <w:pPr>
              <w:spacing w:line="360" w:lineRule="exact"/>
              <w:ind w:firstLineChars="0" w:firstLine="0"/>
              <w:jc w:val="center"/>
              <w:rPr>
                <w:sz w:val="21"/>
                <w:szCs w:val="21"/>
              </w:rPr>
            </w:pPr>
            <w:r>
              <w:rPr>
                <w:rFonts w:cs="Times New Roman" w:hint="eastAsia"/>
                <w:sz w:val="21"/>
                <w:szCs w:val="21"/>
              </w:rPr>
              <w:t>0.514</w:t>
            </w:r>
          </w:p>
        </w:tc>
        <w:tc>
          <w:tcPr>
            <w:tcW w:w="1161" w:type="dxa"/>
            <w:vMerge w:val="restart"/>
            <w:vAlign w:val="center"/>
          </w:tcPr>
          <w:p w14:paraId="1B7B12B0" w14:textId="77777777" w:rsidR="00E579B9" w:rsidRDefault="006A1398">
            <w:pPr>
              <w:pStyle w:val="aa"/>
            </w:pPr>
            <w:r>
              <w:rPr>
                <w:rFonts w:hint="eastAsia"/>
              </w:rPr>
              <w:t>0.9</w:t>
            </w:r>
          </w:p>
        </w:tc>
        <w:tc>
          <w:tcPr>
            <w:tcW w:w="1107" w:type="dxa"/>
            <w:vAlign w:val="center"/>
          </w:tcPr>
          <w:p w14:paraId="5B88A3B5" w14:textId="77777777" w:rsidR="00E579B9" w:rsidRDefault="006A1398">
            <w:pPr>
              <w:pStyle w:val="aa"/>
            </w:pPr>
            <w:r>
              <w:rPr>
                <w:rFonts w:hint="eastAsia"/>
              </w:rPr>
              <w:t>无超标点</w:t>
            </w:r>
          </w:p>
        </w:tc>
      </w:tr>
      <w:tr w:rsidR="00E579B9" w14:paraId="2EE0ADD5" w14:textId="77777777">
        <w:trPr>
          <w:trHeight w:val="409"/>
          <w:jc w:val="center"/>
        </w:trPr>
        <w:tc>
          <w:tcPr>
            <w:tcW w:w="1322" w:type="dxa"/>
            <w:vAlign w:val="center"/>
          </w:tcPr>
          <w:p w14:paraId="438025EB" w14:textId="77777777" w:rsidR="00E579B9" w:rsidRDefault="006A1398">
            <w:pPr>
              <w:pStyle w:val="aa"/>
            </w:pPr>
            <w:r>
              <w:rPr>
                <w:rFonts w:hint="eastAsia"/>
              </w:rPr>
              <w:t>破碎加工厂</w:t>
            </w:r>
          </w:p>
        </w:tc>
        <w:tc>
          <w:tcPr>
            <w:tcW w:w="1284" w:type="dxa"/>
            <w:vMerge/>
            <w:vAlign w:val="center"/>
          </w:tcPr>
          <w:p w14:paraId="263B6FB4" w14:textId="77777777" w:rsidR="00E579B9" w:rsidRDefault="00E579B9">
            <w:pPr>
              <w:pStyle w:val="aa"/>
            </w:pPr>
          </w:p>
        </w:tc>
        <w:tc>
          <w:tcPr>
            <w:tcW w:w="772" w:type="dxa"/>
            <w:vAlign w:val="center"/>
          </w:tcPr>
          <w:p w14:paraId="5139233B" w14:textId="77777777" w:rsidR="00E579B9" w:rsidRDefault="006A1398">
            <w:pPr>
              <w:pStyle w:val="aa"/>
            </w:pPr>
            <w:r>
              <w:rPr>
                <w:rFonts w:hint="eastAsia"/>
              </w:rPr>
              <w:t>300</w:t>
            </w:r>
          </w:p>
        </w:tc>
        <w:tc>
          <w:tcPr>
            <w:tcW w:w="810" w:type="dxa"/>
            <w:vAlign w:val="center"/>
          </w:tcPr>
          <w:p w14:paraId="18097C48" w14:textId="77777777" w:rsidR="00E579B9" w:rsidRDefault="006A1398">
            <w:pPr>
              <w:pStyle w:val="aa"/>
            </w:pPr>
            <w:r>
              <w:rPr>
                <w:rFonts w:hint="eastAsia"/>
              </w:rPr>
              <w:t>233</w:t>
            </w:r>
          </w:p>
        </w:tc>
        <w:tc>
          <w:tcPr>
            <w:tcW w:w="768" w:type="dxa"/>
            <w:vMerge/>
            <w:vAlign w:val="center"/>
          </w:tcPr>
          <w:p w14:paraId="3EF19492" w14:textId="77777777" w:rsidR="00E579B9" w:rsidRDefault="00E579B9">
            <w:pPr>
              <w:pStyle w:val="aa"/>
            </w:pPr>
          </w:p>
        </w:tc>
        <w:tc>
          <w:tcPr>
            <w:tcW w:w="1072" w:type="dxa"/>
            <w:vAlign w:val="center"/>
          </w:tcPr>
          <w:p w14:paraId="54DD8AA4" w14:textId="77777777" w:rsidR="00E579B9" w:rsidRDefault="006A1398">
            <w:pPr>
              <w:pStyle w:val="aa"/>
            </w:pPr>
            <w:r>
              <w:rPr>
                <w:rFonts w:cs="Times New Roman" w:hint="eastAsia"/>
                <w:szCs w:val="21"/>
              </w:rPr>
              <w:t>0.1719</w:t>
            </w:r>
          </w:p>
        </w:tc>
        <w:tc>
          <w:tcPr>
            <w:tcW w:w="1161" w:type="dxa"/>
            <w:vMerge/>
            <w:vAlign w:val="center"/>
          </w:tcPr>
          <w:p w14:paraId="521C9B1B" w14:textId="77777777" w:rsidR="00E579B9" w:rsidRDefault="00E579B9">
            <w:pPr>
              <w:pStyle w:val="aa"/>
            </w:pPr>
          </w:p>
        </w:tc>
        <w:tc>
          <w:tcPr>
            <w:tcW w:w="1107" w:type="dxa"/>
            <w:vAlign w:val="center"/>
          </w:tcPr>
          <w:p w14:paraId="2E77395F" w14:textId="77777777" w:rsidR="00E579B9" w:rsidRDefault="006A1398">
            <w:pPr>
              <w:pStyle w:val="aa"/>
            </w:pPr>
            <w:r>
              <w:rPr>
                <w:rFonts w:hint="eastAsia"/>
              </w:rPr>
              <w:t>无超标点</w:t>
            </w:r>
          </w:p>
        </w:tc>
      </w:tr>
      <w:tr w:rsidR="00E579B9" w14:paraId="1FC91C77" w14:textId="77777777">
        <w:trPr>
          <w:trHeight w:val="409"/>
          <w:jc w:val="center"/>
        </w:trPr>
        <w:tc>
          <w:tcPr>
            <w:tcW w:w="1322" w:type="dxa"/>
            <w:vAlign w:val="center"/>
          </w:tcPr>
          <w:p w14:paraId="7C798051" w14:textId="77777777" w:rsidR="00E579B9" w:rsidRDefault="006A1398">
            <w:pPr>
              <w:pStyle w:val="aa"/>
              <w:rPr>
                <w:bCs/>
                <w:snapToGrid w:val="0"/>
                <w:kern w:val="0"/>
              </w:rPr>
            </w:pPr>
            <w:proofErr w:type="gramStart"/>
            <w:r>
              <w:rPr>
                <w:rFonts w:hint="eastAsia"/>
              </w:rPr>
              <w:t>表土场</w:t>
            </w:r>
            <w:proofErr w:type="gramEnd"/>
          </w:p>
        </w:tc>
        <w:tc>
          <w:tcPr>
            <w:tcW w:w="1284" w:type="dxa"/>
            <w:vAlign w:val="center"/>
          </w:tcPr>
          <w:p w14:paraId="5C3CAF9D" w14:textId="77777777" w:rsidR="00E579B9" w:rsidRDefault="006A1398">
            <w:pPr>
              <w:pStyle w:val="aa"/>
            </w:pPr>
            <w:r>
              <w:rPr>
                <w:rFonts w:hint="eastAsia"/>
              </w:rPr>
              <w:t>5</w:t>
            </w:r>
          </w:p>
        </w:tc>
        <w:tc>
          <w:tcPr>
            <w:tcW w:w="772" w:type="dxa"/>
            <w:vAlign w:val="center"/>
          </w:tcPr>
          <w:p w14:paraId="1F2A148C" w14:textId="77777777" w:rsidR="00E579B9" w:rsidRDefault="006A1398">
            <w:pPr>
              <w:pStyle w:val="aa"/>
            </w:pPr>
            <w:r>
              <w:rPr>
                <w:rFonts w:hint="eastAsia"/>
              </w:rPr>
              <w:t>400</w:t>
            </w:r>
          </w:p>
        </w:tc>
        <w:tc>
          <w:tcPr>
            <w:tcW w:w="810" w:type="dxa"/>
            <w:vAlign w:val="center"/>
          </w:tcPr>
          <w:p w14:paraId="2C62F1AA" w14:textId="77777777" w:rsidR="00E579B9" w:rsidRDefault="006A1398">
            <w:pPr>
              <w:pStyle w:val="aa"/>
            </w:pPr>
            <w:r>
              <w:rPr>
                <w:rFonts w:hint="eastAsia"/>
              </w:rPr>
              <w:t>100</w:t>
            </w:r>
          </w:p>
        </w:tc>
        <w:tc>
          <w:tcPr>
            <w:tcW w:w="768" w:type="dxa"/>
            <w:vMerge/>
            <w:vAlign w:val="center"/>
          </w:tcPr>
          <w:p w14:paraId="6ADDC013" w14:textId="77777777" w:rsidR="00E579B9" w:rsidRDefault="00E579B9">
            <w:pPr>
              <w:pStyle w:val="aa"/>
            </w:pPr>
          </w:p>
        </w:tc>
        <w:tc>
          <w:tcPr>
            <w:tcW w:w="1072" w:type="dxa"/>
            <w:vAlign w:val="center"/>
          </w:tcPr>
          <w:p w14:paraId="581E9761" w14:textId="77777777" w:rsidR="00E579B9" w:rsidRDefault="006A1398">
            <w:pPr>
              <w:pStyle w:val="aa"/>
            </w:pPr>
            <w:r>
              <w:rPr>
                <w:rFonts w:cs="Times New Roman" w:hint="eastAsia"/>
                <w:szCs w:val="21"/>
              </w:rPr>
              <w:t>0.1071</w:t>
            </w:r>
          </w:p>
        </w:tc>
        <w:tc>
          <w:tcPr>
            <w:tcW w:w="1161" w:type="dxa"/>
            <w:vMerge/>
            <w:vAlign w:val="center"/>
          </w:tcPr>
          <w:p w14:paraId="28A25575" w14:textId="77777777" w:rsidR="00E579B9" w:rsidRDefault="00E579B9">
            <w:pPr>
              <w:pStyle w:val="aa"/>
            </w:pPr>
          </w:p>
        </w:tc>
        <w:tc>
          <w:tcPr>
            <w:tcW w:w="1107" w:type="dxa"/>
            <w:vAlign w:val="center"/>
          </w:tcPr>
          <w:p w14:paraId="76B52E96" w14:textId="77777777" w:rsidR="00E579B9" w:rsidRDefault="006A1398">
            <w:pPr>
              <w:pStyle w:val="aa"/>
            </w:pPr>
            <w:r>
              <w:rPr>
                <w:rFonts w:hint="eastAsia"/>
              </w:rPr>
              <w:t>无超标点</w:t>
            </w:r>
          </w:p>
        </w:tc>
      </w:tr>
    </w:tbl>
    <w:p w14:paraId="0155D155" w14:textId="77777777" w:rsidR="00E579B9" w:rsidRDefault="006A1398">
      <w:r>
        <w:rPr>
          <w:rFonts w:hint="eastAsia"/>
        </w:rPr>
        <w:t>经过计算无超标点</w:t>
      </w:r>
      <w:r>
        <w:t>，本项目</w:t>
      </w:r>
      <w:r>
        <w:rPr>
          <w:rFonts w:hint="eastAsia"/>
        </w:rPr>
        <w:t>不</w:t>
      </w:r>
      <w:r>
        <w:t>设置环境大气环境防护距离。</w:t>
      </w:r>
    </w:p>
    <w:p w14:paraId="544C6406" w14:textId="77777777" w:rsidR="00E579B9" w:rsidRDefault="006A1398">
      <w:r>
        <w:rPr>
          <w:rFonts w:hint="eastAsia"/>
        </w:rPr>
        <w:t>5.2.2.4</w:t>
      </w:r>
      <w:r>
        <w:t>卫生防护距离</w:t>
      </w:r>
    </w:p>
    <w:p w14:paraId="11A6123A" w14:textId="77777777" w:rsidR="00E579B9" w:rsidRDefault="006A1398">
      <w:proofErr w:type="gramStart"/>
      <w:r>
        <w:t>本环评计算</w:t>
      </w:r>
      <w:proofErr w:type="gramEnd"/>
      <w:r>
        <w:t>卫生防护距离，其公式如下：</w:t>
      </w:r>
    </w:p>
    <w:p w14:paraId="2B15E40F" w14:textId="77777777" w:rsidR="00E579B9" w:rsidRDefault="006A1398">
      <w:r>
        <w:rPr>
          <w:noProof/>
        </w:rPr>
        <w:drawing>
          <wp:anchor distT="0" distB="0" distL="114300" distR="114300" simplePos="0" relativeHeight="251627520" behindDoc="0" locked="0" layoutInCell="1" allowOverlap="1" wp14:anchorId="45539C07" wp14:editId="33958B44">
            <wp:simplePos x="0" y="0"/>
            <wp:positionH relativeFrom="column">
              <wp:posOffset>1552575</wp:posOffset>
            </wp:positionH>
            <wp:positionV relativeFrom="paragraph">
              <wp:posOffset>8255</wp:posOffset>
            </wp:positionV>
            <wp:extent cx="2181225" cy="542925"/>
            <wp:effectExtent l="0" t="0" r="0" b="8255"/>
            <wp:wrapNone/>
            <wp:docPr id="5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1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181225" cy="542925"/>
                    </a:xfrm>
                    <a:prstGeom prst="rect">
                      <a:avLst/>
                    </a:prstGeom>
                    <a:noFill/>
                  </pic:spPr>
                </pic:pic>
              </a:graphicData>
            </a:graphic>
          </wp:anchor>
        </w:drawing>
      </w:r>
    </w:p>
    <w:p w14:paraId="01DAD4A4" w14:textId="77777777" w:rsidR="00E579B9" w:rsidRDefault="006A1398">
      <w:r>
        <w:t>式中：</w:t>
      </w:r>
    </w:p>
    <w:p w14:paraId="431C4C1A" w14:textId="77777777" w:rsidR="00E579B9" w:rsidRDefault="006A1398">
      <w:r>
        <w:t>C</w:t>
      </w:r>
      <w:r>
        <w:rPr>
          <w:vertAlign w:val="subscript"/>
        </w:rPr>
        <w:t>m</w:t>
      </w:r>
      <w:r>
        <w:t>—</w:t>
      </w:r>
      <w:r>
        <w:t>标准浓度限值，</w:t>
      </w:r>
      <w:r>
        <w:t>mg/m</w:t>
      </w:r>
      <w:r>
        <w:rPr>
          <w:vertAlign w:val="superscript"/>
        </w:rPr>
        <w:t>3</w:t>
      </w:r>
      <w:r>
        <w:t>；</w:t>
      </w:r>
    </w:p>
    <w:p w14:paraId="2FA067F3" w14:textId="77777777" w:rsidR="00E579B9" w:rsidRDefault="006A1398">
      <w:r>
        <w:t>L</w:t>
      </w:r>
      <w:proofErr w:type="gramStart"/>
      <w:r>
        <w:t>—</w:t>
      </w:r>
      <w:r>
        <w:t>工业</w:t>
      </w:r>
      <w:proofErr w:type="gramEnd"/>
      <w:r>
        <w:t>企业所需卫生防护距离，</w:t>
      </w:r>
      <w:r>
        <w:t>m</w:t>
      </w:r>
      <w:r>
        <w:t>；</w:t>
      </w:r>
    </w:p>
    <w:p w14:paraId="37C0B257" w14:textId="77777777" w:rsidR="00E579B9" w:rsidRDefault="006A1398">
      <w:r>
        <w:t>r—</w:t>
      </w:r>
      <w:r>
        <w:t>有害气体无组织排放源所在生产单元的等效半径，</w:t>
      </w:r>
      <w:r>
        <w:t>m</w:t>
      </w:r>
      <w:r>
        <w:t>。根据该生产单元占地面积</w:t>
      </w:r>
      <w:r>
        <w:t>S</w:t>
      </w:r>
      <w:r>
        <w:t>（</w:t>
      </w:r>
      <w:r>
        <w:t>m</w:t>
      </w:r>
      <w:r>
        <w:rPr>
          <w:vertAlign w:val="superscript"/>
        </w:rPr>
        <w:t>2</w:t>
      </w:r>
      <w:r>
        <w:t>）计算；</w:t>
      </w:r>
    </w:p>
    <w:p w14:paraId="76867E02" w14:textId="77777777" w:rsidR="00E579B9" w:rsidRDefault="006A1398">
      <w:r>
        <w:t>A</w:t>
      </w:r>
      <w:r>
        <w:t>、</w:t>
      </w:r>
      <w:r>
        <w:t>B</w:t>
      </w:r>
      <w:r>
        <w:t>、</w:t>
      </w:r>
      <w:r>
        <w:t>C</w:t>
      </w:r>
      <w:r>
        <w:t>、</w:t>
      </w:r>
      <w:r>
        <w:t>D</w:t>
      </w:r>
      <w:proofErr w:type="gramStart"/>
      <w:r>
        <w:t>—</w:t>
      </w:r>
      <w:r>
        <w:t>卫生</w:t>
      </w:r>
      <w:proofErr w:type="gramEnd"/>
      <w:r>
        <w:t>防护距离计算系数，无因次，根据工业企业所在地区近五年平均风速及工业企业大气污染源构成类别；</w:t>
      </w:r>
    </w:p>
    <w:p w14:paraId="209CFABB" w14:textId="77777777" w:rsidR="00E579B9" w:rsidRDefault="006A1398">
      <w:r>
        <w:t>Qc</w:t>
      </w:r>
      <w:proofErr w:type="gramStart"/>
      <w:r>
        <w:t>—</w:t>
      </w:r>
      <w:r>
        <w:t>工业</w:t>
      </w:r>
      <w:proofErr w:type="gramEnd"/>
      <w:r>
        <w:t>企业有害气体无组织排放量可以达到的控制水平，</w:t>
      </w:r>
      <w:r>
        <w:t>kg·h</w:t>
      </w:r>
      <w:r>
        <w:rPr>
          <w:vertAlign w:val="superscript"/>
        </w:rPr>
        <w:t>-1</w:t>
      </w:r>
      <w:r>
        <w:t>。</w:t>
      </w:r>
      <w:r>
        <w:t>Qc</w:t>
      </w:r>
      <w:r>
        <w:t>取同类企业中生产工艺流程合理，生产管理与设备维护处于先进水平的工业企业，在正常运行时的无组织排放量，当计算的</w:t>
      </w:r>
      <w:r>
        <w:t>L</w:t>
      </w:r>
      <w:r>
        <w:t>值在两级之间时，取偏宽的一级。</w:t>
      </w:r>
    </w:p>
    <w:p w14:paraId="414B8FE8" w14:textId="77777777" w:rsidR="00E579B9" w:rsidRDefault="006A1398">
      <w:r>
        <w:t>无组织排放废气其排放源强及卫生防护距离等参数见表</w:t>
      </w:r>
      <w:r>
        <w:t>5.2-</w:t>
      </w:r>
      <w:r>
        <w:rPr>
          <w:rFonts w:hint="eastAsia"/>
        </w:rPr>
        <w:t>10</w:t>
      </w:r>
      <w:r>
        <w:t>。</w:t>
      </w:r>
    </w:p>
    <w:p w14:paraId="0ADC850F" w14:textId="77777777" w:rsidR="00E579B9" w:rsidRDefault="006A1398">
      <w:pPr>
        <w:pStyle w:val="21"/>
      </w:pPr>
      <w:r>
        <w:t>表</w:t>
      </w:r>
      <w:r>
        <w:t>5.2-</w:t>
      </w:r>
      <w:r>
        <w:rPr>
          <w:rFonts w:hint="eastAsia"/>
        </w:rPr>
        <w:t>10</w:t>
      </w:r>
      <w:r>
        <w:t>无组织污染物排放源强和卫生防护距离一览表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2"/>
        <w:gridCol w:w="1311"/>
        <w:gridCol w:w="1233"/>
        <w:gridCol w:w="728"/>
        <w:gridCol w:w="582"/>
        <w:gridCol w:w="589"/>
        <w:gridCol w:w="486"/>
        <w:gridCol w:w="1103"/>
        <w:gridCol w:w="1102"/>
      </w:tblGrid>
      <w:tr w:rsidR="00E579B9" w14:paraId="0144C5C1" w14:textId="77777777">
        <w:tc>
          <w:tcPr>
            <w:tcW w:w="1162" w:type="dxa"/>
            <w:vMerge w:val="restart"/>
            <w:vAlign w:val="center"/>
          </w:tcPr>
          <w:p w14:paraId="48E958C1" w14:textId="77777777" w:rsidR="00E579B9" w:rsidRDefault="006A1398">
            <w:pPr>
              <w:spacing w:line="360" w:lineRule="exact"/>
              <w:ind w:firstLineChars="0" w:firstLine="0"/>
              <w:jc w:val="center"/>
              <w:rPr>
                <w:rFonts w:cs="Times New Roman"/>
                <w:sz w:val="21"/>
                <w:szCs w:val="21"/>
              </w:rPr>
            </w:pPr>
            <w:r>
              <w:rPr>
                <w:rFonts w:cs="Times New Roman"/>
                <w:sz w:val="21"/>
                <w:szCs w:val="21"/>
              </w:rPr>
              <w:lastRenderedPageBreak/>
              <w:t>无组织</w:t>
            </w:r>
          </w:p>
          <w:p w14:paraId="3AFEC8D1" w14:textId="77777777" w:rsidR="00E579B9" w:rsidRDefault="006A1398">
            <w:pPr>
              <w:spacing w:line="360" w:lineRule="exact"/>
              <w:ind w:firstLineChars="0" w:firstLine="0"/>
              <w:jc w:val="center"/>
              <w:rPr>
                <w:rFonts w:cs="Times New Roman"/>
                <w:sz w:val="21"/>
                <w:szCs w:val="21"/>
              </w:rPr>
            </w:pPr>
            <w:r>
              <w:rPr>
                <w:rFonts w:cs="Times New Roman"/>
                <w:sz w:val="21"/>
                <w:szCs w:val="21"/>
              </w:rPr>
              <w:t>排放源</w:t>
            </w:r>
          </w:p>
        </w:tc>
        <w:tc>
          <w:tcPr>
            <w:tcW w:w="1311" w:type="dxa"/>
            <w:vMerge w:val="restart"/>
            <w:vAlign w:val="center"/>
          </w:tcPr>
          <w:p w14:paraId="5B6AD88F" w14:textId="77777777" w:rsidR="00E579B9" w:rsidRDefault="006A1398">
            <w:pPr>
              <w:spacing w:line="360" w:lineRule="exact"/>
              <w:ind w:firstLineChars="0" w:firstLine="0"/>
              <w:jc w:val="center"/>
              <w:rPr>
                <w:rFonts w:cs="Times New Roman"/>
                <w:sz w:val="21"/>
                <w:szCs w:val="21"/>
              </w:rPr>
            </w:pPr>
            <w:r>
              <w:rPr>
                <w:rFonts w:cs="Times New Roman"/>
                <w:sz w:val="21"/>
                <w:szCs w:val="21"/>
              </w:rPr>
              <w:t>污染物</w:t>
            </w:r>
          </w:p>
        </w:tc>
        <w:tc>
          <w:tcPr>
            <w:tcW w:w="1233" w:type="dxa"/>
            <w:vMerge w:val="restart"/>
            <w:vAlign w:val="center"/>
          </w:tcPr>
          <w:p w14:paraId="2D02CF99" w14:textId="77777777" w:rsidR="00E579B9" w:rsidRDefault="006A1398">
            <w:pPr>
              <w:spacing w:line="360" w:lineRule="exact"/>
              <w:ind w:firstLineChars="0" w:firstLine="0"/>
              <w:jc w:val="center"/>
              <w:rPr>
                <w:rFonts w:cs="Times New Roman"/>
                <w:sz w:val="21"/>
                <w:szCs w:val="21"/>
              </w:rPr>
            </w:pPr>
            <w:r>
              <w:rPr>
                <w:rFonts w:cs="Times New Roman"/>
                <w:sz w:val="21"/>
                <w:szCs w:val="21"/>
              </w:rPr>
              <w:t>排放量</w:t>
            </w:r>
          </w:p>
          <w:p w14:paraId="5FE2FEC4" w14:textId="77777777" w:rsidR="00E579B9" w:rsidRDefault="006A1398">
            <w:pPr>
              <w:spacing w:line="360" w:lineRule="exact"/>
              <w:ind w:firstLineChars="0" w:firstLine="0"/>
              <w:jc w:val="center"/>
              <w:rPr>
                <w:rFonts w:cs="Times New Roman"/>
                <w:sz w:val="21"/>
                <w:szCs w:val="21"/>
              </w:rPr>
            </w:pPr>
            <w:r>
              <w:rPr>
                <w:rFonts w:cs="Times New Roman"/>
                <w:sz w:val="21"/>
                <w:szCs w:val="21"/>
              </w:rPr>
              <w:t>（</w:t>
            </w:r>
            <w:r>
              <w:rPr>
                <w:rFonts w:cs="Times New Roman"/>
                <w:sz w:val="21"/>
                <w:szCs w:val="21"/>
              </w:rPr>
              <w:t>kg/h</w:t>
            </w:r>
            <w:r>
              <w:rPr>
                <w:rFonts w:cs="Times New Roman"/>
                <w:sz w:val="21"/>
                <w:szCs w:val="21"/>
              </w:rPr>
              <w:t>）</w:t>
            </w:r>
          </w:p>
        </w:tc>
        <w:tc>
          <w:tcPr>
            <w:tcW w:w="2385" w:type="dxa"/>
            <w:gridSpan w:val="4"/>
            <w:vAlign w:val="center"/>
          </w:tcPr>
          <w:p w14:paraId="22548B68" w14:textId="77777777" w:rsidR="00E579B9" w:rsidRDefault="006A1398">
            <w:pPr>
              <w:spacing w:line="360" w:lineRule="exact"/>
              <w:ind w:firstLineChars="0" w:firstLine="0"/>
              <w:jc w:val="center"/>
              <w:rPr>
                <w:rFonts w:cs="Times New Roman"/>
                <w:sz w:val="21"/>
                <w:szCs w:val="21"/>
              </w:rPr>
            </w:pPr>
            <w:r>
              <w:rPr>
                <w:rFonts w:cs="Times New Roman"/>
                <w:sz w:val="21"/>
                <w:szCs w:val="21"/>
              </w:rPr>
              <w:t>计算参数</w:t>
            </w:r>
          </w:p>
        </w:tc>
        <w:tc>
          <w:tcPr>
            <w:tcW w:w="1103" w:type="dxa"/>
            <w:vMerge w:val="restart"/>
            <w:vAlign w:val="center"/>
          </w:tcPr>
          <w:p w14:paraId="2074E555" w14:textId="77777777" w:rsidR="00E579B9" w:rsidRDefault="006A1398">
            <w:pPr>
              <w:spacing w:line="360" w:lineRule="exact"/>
              <w:ind w:firstLineChars="0" w:firstLine="0"/>
              <w:jc w:val="center"/>
              <w:rPr>
                <w:rFonts w:cs="Times New Roman"/>
                <w:sz w:val="21"/>
                <w:szCs w:val="21"/>
              </w:rPr>
            </w:pPr>
            <w:r>
              <w:rPr>
                <w:rFonts w:cs="Times New Roman"/>
                <w:sz w:val="21"/>
                <w:szCs w:val="21"/>
              </w:rPr>
              <w:t>卫生防护距离（</w:t>
            </w:r>
            <w:r>
              <w:rPr>
                <w:rFonts w:cs="Times New Roman"/>
                <w:sz w:val="21"/>
                <w:szCs w:val="21"/>
              </w:rPr>
              <w:t>m</w:t>
            </w:r>
            <w:r>
              <w:rPr>
                <w:rFonts w:cs="Times New Roman"/>
                <w:sz w:val="21"/>
                <w:szCs w:val="21"/>
              </w:rPr>
              <w:t>）</w:t>
            </w:r>
          </w:p>
        </w:tc>
        <w:tc>
          <w:tcPr>
            <w:tcW w:w="1102" w:type="dxa"/>
            <w:vMerge w:val="restart"/>
          </w:tcPr>
          <w:p w14:paraId="3F8EAB78"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提级后</w:t>
            </w:r>
          </w:p>
          <w:p w14:paraId="5F550045"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距离</w:t>
            </w:r>
          </w:p>
          <w:p w14:paraId="5AF84390"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w:t>
            </w:r>
            <w:r>
              <w:rPr>
                <w:rFonts w:cs="Times New Roman" w:hint="eastAsia"/>
                <w:sz w:val="21"/>
                <w:szCs w:val="21"/>
              </w:rPr>
              <w:t>m</w:t>
            </w:r>
            <w:r>
              <w:rPr>
                <w:rFonts w:cs="Times New Roman" w:hint="eastAsia"/>
                <w:sz w:val="21"/>
                <w:szCs w:val="21"/>
              </w:rPr>
              <w:t>）</w:t>
            </w:r>
          </w:p>
        </w:tc>
      </w:tr>
      <w:tr w:rsidR="00E579B9" w14:paraId="124AF96B" w14:textId="77777777">
        <w:trPr>
          <w:trHeight w:val="230"/>
        </w:trPr>
        <w:tc>
          <w:tcPr>
            <w:tcW w:w="1162" w:type="dxa"/>
            <w:vMerge/>
            <w:vAlign w:val="center"/>
          </w:tcPr>
          <w:p w14:paraId="466339CE" w14:textId="77777777" w:rsidR="00E579B9" w:rsidRDefault="00E579B9">
            <w:pPr>
              <w:spacing w:line="360" w:lineRule="exact"/>
              <w:ind w:firstLineChars="0" w:firstLine="0"/>
              <w:jc w:val="center"/>
              <w:rPr>
                <w:rFonts w:cs="Times New Roman"/>
                <w:sz w:val="21"/>
                <w:szCs w:val="21"/>
              </w:rPr>
            </w:pPr>
          </w:p>
        </w:tc>
        <w:tc>
          <w:tcPr>
            <w:tcW w:w="1311" w:type="dxa"/>
            <w:vMerge/>
            <w:vAlign w:val="center"/>
          </w:tcPr>
          <w:p w14:paraId="67AD729F" w14:textId="77777777" w:rsidR="00E579B9" w:rsidRDefault="00E579B9">
            <w:pPr>
              <w:spacing w:line="360" w:lineRule="exact"/>
              <w:ind w:firstLineChars="0" w:firstLine="0"/>
              <w:jc w:val="center"/>
              <w:rPr>
                <w:rFonts w:cs="Times New Roman"/>
                <w:sz w:val="21"/>
                <w:szCs w:val="21"/>
              </w:rPr>
            </w:pPr>
          </w:p>
        </w:tc>
        <w:tc>
          <w:tcPr>
            <w:tcW w:w="1233" w:type="dxa"/>
            <w:vMerge/>
            <w:vAlign w:val="center"/>
          </w:tcPr>
          <w:p w14:paraId="04131A74" w14:textId="77777777" w:rsidR="00E579B9" w:rsidRDefault="00E579B9">
            <w:pPr>
              <w:spacing w:line="360" w:lineRule="exact"/>
              <w:ind w:firstLineChars="0" w:firstLine="0"/>
              <w:jc w:val="center"/>
              <w:rPr>
                <w:rFonts w:cs="Times New Roman"/>
                <w:sz w:val="21"/>
                <w:szCs w:val="21"/>
              </w:rPr>
            </w:pPr>
          </w:p>
        </w:tc>
        <w:tc>
          <w:tcPr>
            <w:tcW w:w="728" w:type="dxa"/>
            <w:vAlign w:val="center"/>
          </w:tcPr>
          <w:p w14:paraId="6BEA7BB3" w14:textId="77777777" w:rsidR="00E579B9" w:rsidRDefault="006A1398">
            <w:pPr>
              <w:spacing w:line="360" w:lineRule="exact"/>
              <w:ind w:firstLineChars="0" w:firstLine="0"/>
              <w:jc w:val="center"/>
              <w:rPr>
                <w:rFonts w:cs="Times New Roman"/>
                <w:sz w:val="21"/>
                <w:szCs w:val="21"/>
              </w:rPr>
            </w:pPr>
            <w:r>
              <w:rPr>
                <w:rFonts w:cs="Times New Roman"/>
                <w:sz w:val="21"/>
                <w:szCs w:val="21"/>
              </w:rPr>
              <w:t>A</w:t>
            </w:r>
          </w:p>
        </w:tc>
        <w:tc>
          <w:tcPr>
            <w:tcW w:w="582" w:type="dxa"/>
            <w:vAlign w:val="center"/>
          </w:tcPr>
          <w:p w14:paraId="1D987EA3" w14:textId="77777777" w:rsidR="00E579B9" w:rsidRDefault="006A1398">
            <w:pPr>
              <w:spacing w:line="360" w:lineRule="exact"/>
              <w:ind w:firstLineChars="0" w:firstLine="0"/>
              <w:jc w:val="center"/>
              <w:rPr>
                <w:rFonts w:cs="Times New Roman"/>
                <w:sz w:val="21"/>
                <w:szCs w:val="21"/>
              </w:rPr>
            </w:pPr>
            <w:r>
              <w:rPr>
                <w:rFonts w:cs="Times New Roman"/>
                <w:sz w:val="21"/>
                <w:szCs w:val="21"/>
              </w:rPr>
              <w:t>B</w:t>
            </w:r>
          </w:p>
        </w:tc>
        <w:tc>
          <w:tcPr>
            <w:tcW w:w="589" w:type="dxa"/>
            <w:vAlign w:val="center"/>
          </w:tcPr>
          <w:p w14:paraId="7E3EE962" w14:textId="77777777" w:rsidR="00E579B9" w:rsidRDefault="006A1398">
            <w:pPr>
              <w:spacing w:line="360" w:lineRule="exact"/>
              <w:ind w:firstLineChars="0" w:firstLine="0"/>
              <w:jc w:val="center"/>
              <w:rPr>
                <w:rFonts w:cs="Times New Roman"/>
                <w:sz w:val="21"/>
                <w:szCs w:val="21"/>
              </w:rPr>
            </w:pPr>
            <w:r>
              <w:rPr>
                <w:rFonts w:cs="Times New Roman"/>
                <w:sz w:val="21"/>
                <w:szCs w:val="21"/>
              </w:rPr>
              <w:t>C</w:t>
            </w:r>
          </w:p>
        </w:tc>
        <w:tc>
          <w:tcPr>
            <w:tcW w:w="486" w:type="dxa"/>
            <w:vAlign w:val="center"/>
          </w:tcPr>
          <w:p w14:paraId="4E8C6151" w14:textId="77777777" w:rsidR="00E579B9" w:rsidRDefault="006A1398">
            <w:pPr>
              <w:spacing w:line="360" w:lineRule="exact"/>
              <w:ind w:firstLineChars="0" w:firstLine="0"/>
              <w:jc w:val="center"/>
              <w:rPr>
                <w:rFonts w:cs="Times New Roman"/>
                <w:sz w:val="21"/>
                <w:szCs w:val="21"/>
              </w:rPr>
            </w:pPr>
            <w:r>
              <w:rPr>
                <w:rFonts w:cs="Times New Roman"/>
                <w:sz w:val="21"/>
                <w:szCs w:val="21"/>
              </w:rPr>
              <w:t>D</w:t>
            </w:r>
          </w:p>
        </w:tc>
        <w:tc>
          <w:tcPr>
            <w:tcW w:w="1103" w:type="dxa"/>
            <w:vMerge/>
            <w:vAlign w:val="center"/>
          </w:tcPr>
          <w:p w14:paraId="7A7E3F0F" w14:textId="77777777" w:rsidR="00E579B9" w:rsidRDefault="00E579B9">
            <w:pPr>
              <w:spacing w:line="360" w:lineRule="exact"/>
              <w:ind w:firstLineChars="0" w:firstLine="0"/>
              <w:jc w:val="center"/>
              <w:rPr>
                <w:rFonts w:cs="Times New Roman"/>
                <w:sz w:val="21"/>
                <w:szCs w:val="21"/>
              </w:rPr>
            </w:pPr>
          </w:p>
        </w:tc>
        <w:tc>
          <w:tcPr>
            <w:tcW w:w="1102" w:type="dxa"/>
            <w:vMerge/>
          </w:tcPr>
          <w:p w14:paraId="58460C19" w14:textId="77777777" w:rsidR="00E579B9" w:rsidRDefault="00E579B9">
            <w:pPr>
              <w:spacing w:line="360" w:lineRule="exact"/>
              <w:ind w:firstLineChars="0" w:firstLine="0"/>
              <w:jc w:val="center"/>
              <w:rPr>
                <w:rFonts w:cs="Times New Roman"/>
                <w:sz w:val="21"/>
                <w:szCs w:val="21"/>
              </w:rPr>
            </w:pPr>
          </w:p>
        </w:tc>
      </w:tr>
      <w:tr w:rsidR="00E579B9" w14:paraId="230DBA48" w14:textId="77777777">
        <w:trPr>
          <w:trHeight w:val="230"/>
        </w:trPr>
        <w:tc>
          <w:tcPr>
            <w:tcW w:w="1162" w:type="dxa"/>
            <w:vAlign w:val="center"/>
          </w:tcPr>
          <w:p w14:paraId="614F4BA5"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露天采场</w:t>
            </w:r>
          </w:p>
        </w:tc>
        <w:tc>
          <w:tcPr>
            <w:tcW w:w="1311" w:type="dxa"/>
            <w:vAlign w:val="center"/>
          </w:tcPr>
          <w:p w14:paraId="3A15E79C"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颗粒物</w:t>
            </w:r>
          </w:p>
        </w:tc>
        <w:tc>
          <w:tcPr>
            <w:tcW w:w="1233" w:type="dxa"/>
            <w:vAlign w:val="center"/>
          </w:tcPr>
          <w:p w14:paraId="7563305F"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0.514</w:t>
            </w:r>
          </w:p>
        </w:tc>
        <w:tc>
          <w:tcPr>
            <w:tcW w:w="728" w:type="dxa"/>
            <w:vAlign w:val="center"/>
          </w:tcPr>
          <w:p w14:paraId="7943B182" w14:textId="77777777" w:rsidR="00E579B9" w:rsidRDefault="006A1398">
            <w:pPr>
              <w:spacing w:line="360" w:lineRule="exact"/>
              <w:ind w:firstLineChars="0" w:firstLine="0"/>
              <w:jc w:val="center"/>
              <w:rPr>
                <w:rFonts w:cs="Times New Roman"/>
                <w:sz w:val="21"/>
                <w:szCs w:val="21"/>
              </w:rPr>
            </w:pPr>
            <w:r>
              <w:rPr>
                <w:rFonts w:cs="Times New Roman"/>
                <w:sz w:val="21"/>
                <w:szCs w:val="21"/>
              </w:rPr>
              <w:t>470</w:t>
            </w:r>
          </w:p>
        </w:tc>
        <w:tc>
          <w:tcPr>
            <w:tcW w:w="582" w:type="dxa"/>
            <w:vAlign w:val="center"/>
          </w:tcPr>
          <w:p w14:paraId="34FDB1F4" w14:textId="77777777" w:rsidR="00E579B9" w:rsidRDefault="006A1398">
            <w:pPr>
              <w:spacing w:line="360" w:lineRule="exact"/>
              <w:ind w:firstLineChars="0" w:firstLine="0"/>
              <w:jc w:val="center"/>
              <w:rPr>
                <w:rFonts w:cs="Times New Roman"/>
                <w:sz w:val="21"/>
                <w:szCs w:val="21"/>
              </w:rPr>
            </w:pPr>
            <w:r>
              <w:rPr>
                <w:rFonts w:cs="Times New Roman"/>
                <w:sz w:val="21"/>
                <w:szCs w:val="21"/>
              </w:rPr>
              <w:t>0.021</w:t>
            </w:r>
          </w:p>
        </w:tc>
        <w:tc>
          <w:tcPr>
            <w:tcW w:w="589" w:type="dxa"/>
            <w:vAlign w:val="center"/>
          </w:tcPr>
          <w:p w14:paraId="03A09C82" w14:textId="77777777" w:rsidR="00E579B9" w:rsidRDefault="006A1398">
            <w:pPr>
              <w:spacing w:line="360" w:lineRule="exact"/>
              <w:ind w:firstLineChars="0" w:firstLine="0"/>
              <w:jc w:val="center"/>
              <w:rPr>
                <w:rFonts w:cs="Times New Roman"/>
                <w:sz w:val="21"/>
                <w:szCs w:val="21"/>
              </w:rPr>
            </w:pPr>
            <w:r>
              <w:rPr>
                <w:rFonts w:cs="Times New Roman"/>
                <w:sz w:val="21"/>
                <w:szCs w:val="21"/>
              </w:rPr>
              <w:t>1.85</w:t>
            </w:r>
          </w:p>
        </w:tc>
        <w:tc>
          <w:tcPr>
            <w:tcW w:w="486" w:type="dxa"/>
            <w:vAlign w:val="center"/>
          </w:tcPr>
          <w:p w14:paraId="43A0E9EA" w14:textId="77777777" w:rsidR="00E579B9" w:rsidRDefault="006A1398">
            <w:pPr>
              <w:spacing w:line="360" w:lineRule="exact"/>
              <w:ind w:firstLineChars="0" w:firstLine="0"/>
              <w:jc w:val="center"/>
              <w:rPr>
                <w:rFonts w:cs="Times New Roman"/>
                <w:sz w:val="21"/>
                <w:szCs w:val="21"/>
              </w:rPr>
            </w:pPr>
            <w:r>
              <w:rPr>
                <w:rFonts w:cs="Times New Roman"/>
                <w:sz w:val="21"/>
                <w:szCs w:val="21"/>
              </w:rPr>
              <w:t>0.84</w:t>
            </w:r>
          </w:p>
        </w:tc>
        <w:tc>
          <w:tcPr>
            <w:tcW w:w="1103" w:type="dxa"/>
            <w:vAlign w:val="center"/>
          </w:tcPr>
          <w:p w14:paraId="0F3A82D0"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1.77</w:t>
            </w:r>
          </w:p>
        </w:tc>
        <w:tc>
          <w:tcPr>
            <w:tcW w:w="1102" w:type="dxa"/>
          </w:tcPr>
          <w:p w14:paraId="52B92001"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50</w:t>
            </w:r>
          </w:p>
        </w:tc>
      </w:tr>
      <w:tr w:rsidR="00E579B9" w14:paraId="40F85A4D" w14:textId="77777777">
        <w:trPr>
          <w:trHeight w:val="230"/>
        </w:trPr>
        <w:tc>
          <w:tcPr>
            <w:tcW w:w="1162" w:type="dxa"/>
            <w:vAlign w:val="center"/>
          </w:tcPr>
          <w:p w14:paraId="60B00F8E"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破碎场地</w:t>
            </w:r>
          </w:p>
        </w:tc>
        <w:tc>
          <w:tcPr>
            <w:tcW w:w="1311" w:type="dxa"/>
            <w:vAlign w:val="center"/>
          </w:tcPr>
          <w:p w14:paraId="5D51ABA7"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颗粒物</w:t>
            </w:r>
          </w:p>
        </w:tc>
        <w:tc>
          <w:tcPr>
            <w:tcW w:w="1233" w:type="dxa"/>
            <w:vAlign w:val="center"/>
          </w:tcPr>
          <w:p w14:paraId="2133032E"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0.1719</w:t>
            </w:r>
          </w:p>
        </w:tc>
        <w:tc>
          <w:tcPr>
            <w:tcW w:w="728" w:type="dxa"/>
            <w:vAlign w:val="center"/>
          </w:tcPr>
          <w:p w14:paraId="3D0DC990" w14:textId="77777777" w:rsidR="00E579B9" w:rsidRDefault="006A1398">
            <w:pPr>
              <w:spacing w:line="360" w:lineRule="exact"/>
              <w:ind w:firstLineChars="0" w:firstLine="0"/>
              <w:jc w:val="center"/>
              <w:rPr>
                <w:rFonts w:cs="Times New Roman"/>
                <w:sz w:val="21"/>
                <w:szCs w:val="21"/>
              </w:rPr>
            </w:pPr>
            <w:r>
              <w:rPr>
                <w:rFonts w:cs="Times New Roman"/>
                <w:sz w:val="21"/>
                <w:szCs w:val="21"/>
              </w:rPr>
              <w:t>470</w:t>
            </w:r>
          </w:p>
        </w:tc>
        <w:tc>
          <w:tcPr>
            <w:tcW w:w="582" w:type="dxa"/>
            <w:vAlign w:val="center"/>
          </w:tcPr>
          <w:p w14:paraId="54FA6896" w14:textId="77777777" w:rsidR="00E579B9" w:rsidRDefault="006A1398">
            <w:pPr>
              <w:spacing w:line="360" w:lineRule="exact"/>
              <w:ind w:firstLineChars="0" w:firstLine="0"/>
              <w:jc w:val="center"/>
              <w:rPr>
                <w:rFonts w:cs="Times New Roman"/>
                <w:sz w:val="21"/>
                <w:szCs w:val="21"/>
              </w:rPr>
            </w:pPr>
            <w:r>
              <w:rPr>
                <w:rFonts w:cs="Times New Roman"/>
                <w:sz w:val="21"/>
                <w:szCs w:val="21"/>
              </w:rPr>
              <w:t>0.021</w:t>
            </w:r>
          </w:p>
        </w:tc>
        <w:tc>
          <w:tcPr>
            <w:tcW w:w="589" w:type="dxa"/>
            <w:vAlign w:val="center"/>
          </w:tcPr>
          <w:p w14:paraId="258B2314" w14:textId="77777777" w:rsidR="00E579B9" w:rsidRDefault="006A1398">
            <w:pPr>
              <w:spacing w:line="360" w:lineRule="exact"/>
              <w:ind w:firstLineChars="0" w:firstLine="0"/>
              <w:jc w:val="center"/>
              <w:rPr>
                <w:rFonts w:cs="Times New Roman"/>
                <w:sz w:val="21"/>
                <w:szCs w:val="21"/>
              </w:rPr>
            </w:pPr>
            <w:r>
              <w:rPr>
                <w:rFonts w:cs="Times New Roman"/>
                <w:sz w:val="21"/>
                <w:szCs w:val="21"/>
              </w:rPr>
              <w:t>1.85</w:t>
            </w:r>
          </w:p>
        </w:tc>
        <w:tc>
          <w:tcPr>
            <w:tcW w:w="486" w:type="dxa"/>
            <w:vAlign w:val="center"/>
          </w:tcPr>
          <w:p w14:paraId="65CD6EE9" w14:textId="77777777" w:rsidR="00E579B9" w:rsidRDefault="006A1398">
            <w:pPr>
              <w:spacing w:line="360" w:lineRule="exact"/>
              <w:ind w:firstLineChars="0" w:firstLine="0"/>
              <w:jc w:val="center"/>
              <w:rPr>
                <w:rFonts w:cs="Times New Roman"/>
                <w:sz w:val="21"/>
                <w:szCs w:val="21"/>
              </w:rPr>
            </w:pPr>
            <w:r>
              <w:rPr>
                <w:rFonts w:cs="Times New Roman"/>
                <w:sz w:val="21"/>
                <w:szCs w:val="21"/>
              </w:rPr>
              <w:t>0.84</w:t>
            </w:r>
          </w:p>
        </w:tc>
        <w:tc>
          <w:tcPr>
            <w:tcW w:w="1103" w:type="dxa"/>
            <w:vAlign w:val="center"/>
          </w:tcPr>
          <w:p w14:paraId="1524C6C6"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0.89</w:t>
            </w:r>
          </w:p>
        </w:tc>
        <w:tc>
          <w:tcPr>
            <w:tcW w:w="1102" w:type="dxa"/>
          </w:tcPr>
          <w:p w14:paraId="3EEA6382"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50</w:t>
            </w:r>
          </w:p>
        </w:tc>
      </w:tr>
      <w:tr w:rsidR="00E579B9" w14:paraId="1BE2AFFB" w14:textId="77777777">
        <w:trPr>
          <w:trHeight w:val="230"/>
        </w:trPr>
        <w:tc>
          <w:tcPr>
            <w:tcW w:w="1162" w:type="dxa"/>
            <w:vAlign w:val="center"/>
          </w:tcPr>
          <w:p w14:paraId="12AD2147" w14:textId="77777777" w:rsidR="00E579B9" w:rsidRDefault="006A1398">
            <w:pPr>
              <w:spacing w:line="360" w:lineRule="exact"/>
              <w:ind w:firstLineChars="0" w:firstLine="0"/>
              <w:jc w:val="center"/>
              <w:rPr>
                <w:rFonts w:cs="Times New Roman"/>
                <w:sz w:val="21"/>
                <w:szCs w:val="21"/>
              </w:rPr>
            </w:pPr>
            <w:proofErr w:type="gramStart"/>
            <w:r>
              <w:rPr>
                <w:rFonts w:cs="Times New Roman" w:hint="eastAsia"/>
                <w:sz w:val="21"/>
                <w:szCs w:val="21"/>
              </w:rPr>
              <w:t>表土场</w:t>
            </w:r>
            <w:proofErr w:type="gramEnd"/>
          </w:p>
        </w:tc>
        <w:tc>
          <w:tcPr>
            <w:tcW w:w="1311" w:type="dxa"/>
            <w:vAlign w:val="center"/>
          </w:tcPr>
          <w:p w14:paraId="16E26A73"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颗粒物</w:t>
            </w:r>
          </w:p>
        </w:tc>
        <w:tc>
          <w:tcPr>
            <w:tcW w:w="1233" w:type="dxa"/>
            <w:vAlign w:val="center"/>
          </w:tcPr>
          <w:p w14:paraId="071A8676"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0.1071</w:t>
            </w:r>
          </w:p>
        </w:tc>
        <w:tc>
          <w:tcPr>
            <w:tcW w:w="728" w:type="dxa"/>
            <w:vAlign w:val="center"/>
          </w:tcPr>
          <w:p w14:paraId="1FA517B0" w14:textId="77777777" w:rsidR="00E579B9" w:rsidRDefault="006A1398">
            <w:pPr>
              <w:spacing w:line="360" w:lineRule="exact"/>
              <w:ind w:firstLineChars="0" w:firstLine="0"/>
              <w:jc w:val="center"/>
              <w:rPr>
                <w:rFonts w:cs="Times New Roman"/>
                <w:sz w:val="21"/>
                <w:szCs w:val="21"/>
              </w:rPr>
            </w:pPr>
            <w:r>
              <w:rPr>
                <w:rFonts w:cs="Times New Roman"/>
                <w:sz w:val="21"/>
                <w:szCs w:val="21"/>
              </w:rPr>
              <w:t>470</w:t>
            </w:r>
          </w:p>
        </w:tc>
        <w:tc>
          <w:tcPr>
            <w:tcW w:w="582" w:type="dxa"/>
            <w:vAlign w:val="center"/>
          </w:tcPr>
          <w:p w14:paraId="1B8A84F8" w14:textId="77777777" w:rsidR="00E579B9" w:rsidRDefault="006A1398">
            <w:pPr>
              <w:spacing w:line="360" w:lineRule="exact"/>
              <w:ind w:firstLineChars="0" w:firstLine="0"/>
              <w:jc w:val="center"/>
              <w:rPr>
                <w:rFonts w:cs="Times New Roman"/>
                <w:sz w:val="21"/>
                <w:szCs w:val="21"/>
              </w:rPr>
            </w:pPr>
            <w:r>
              <w:rPr>
                <w:rFonts w:cs="Times New Roman"/>
                <w:sz w:val="21"/>
                <w:szCs w:val="21"/>
              </w:rPr>
              <w:t>0.021</w:t>
            </w:r>
          </w:p>
        </w:tc>
        <w:tc>
          <w:tcPr>
            <w:tcW w:w="589" w:type="dxa"/>
            <w:vAlign w:val="center"/>
          </w:tcPr>
          <w:p w14:paraId="2C1BE341" w14:textId="77777777" w:rsidR="00E579B9" w:rsidRDefault="006A1398">
            <w:pPr>
              <w:spacing w:line="360" w:lineRule="exact"/>
              <w:ind w:firstLineChars="0" w:firstLine="0"/>
              <w:jc w:val="center"/>
              <w:rPr>
                <w:rFonts w:cs="Times New Roman"/>
                <w:sz w:val="21"/>
                <w:szCs w:val="21"/>
              </w:rPr>
            </w:pPr>
            <w:r>
              <w:rPr>
                <w:rFonts w:cs="Times New Roman"/>
                <w:sz w:val="21"/>
                <w:szCs w:val="21"/>
              </w:rPr>
              <w:t>1.85</w:t>
            </w:r>
          </w:p>
        </w:tc>
        <w:tc>
          <w:tcPr>
            <w:tcW w:w="486" w:type="dxa"/>
            <w:vAlign w:val="center"/>
          </w:tcPr>
          <w:p w14:paraId="44EA0131" w14:textId="77777777" w:rsidR="00E579B9" w:rsidRDefault="006A1398">
            <w:pPr>
              <w:spacing w:line="360" w:lineRule="exact"/>
              <w:ind w:firstLineChars="0" w:firstLine="0"/>
              <w:jc w:val="center"/>
              <w:rPr>
                <w:rFonts w:cs="Times New Roman"/>
                <w:sz w:val="21"/>
                <w:szCs w:val="21"/>
              </w:rPr>
            </w:pPr>
            <w:r>
              <w:rPr>
                <w:rFonts w:cs="Times New Roman"/>
                <w:sz w:val="21"/>
                <w:szCs w:val="21"/>
              </w:rPr>
              <w:t>0.84</w:t>
            </w:r>
          </w:p>
        </w:tc>
        <w:tc>
          <w:tcPr>
            <w:tcW w:w="1103" w:type="dxa"/>
            <w:vAlign w:val="center"/>
          </w:tcPr>
          <w:p w14:paraId="603C80B4"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0.56</w:t>
            </w:r>
          </w:p>
        </w:tc>
        <w:tc>
          <w:tcPr>
            <w:tcW w:w="1102" w:type="dxa"/>
          </w:tcPr>
          <w:p w14:paraId="0C22534F"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50</w:t>
            </w:r>
          </w:p>
        </w:tc>
      </w:tr>
    </w:tbl>
    <w:p w14:paraId="6285DF16" w14:textId="77777777" w:rsidR="00E579B9" w:rsidRDefault="006A1398">
      <w:pPr>
        <w:spacing w:line="520" w:lineRule="exact"/>
      </w:pPr>
      <w:r>
        <w:rPr>
          <w:rFonts w:hint="eastAsia"/>
        </w:rPr>
        <w:t>综上所述，需在矿区内临时表土场、露天采场、破碎场地周围分别设置</w:t>
      </w:r>
      <w:r>
        <w:rPr>
          <w:rFonts w:hint="eastAsia"/>
        </w:rPr>
        <w:t>50m</w:t>
      </w:r>
      <w:r>
        <w:rPr>
          <w:rFonts w:hint="eastAsia"/>
        </w:rPr>
        <w:t>的卫生防护距离，结合本项目爆破安全距离露天采场境界外</w:t>
      </w:r>
      <w:r>
        <w:t>300</w:t>
      </w:r>
      <w:r>
        <w:rPr>
          <w:rFonts w:hint="eastAsia"/>
        </w:rPr>
        <w:t>m</w:t>
      </w:r>
      <w:r>
        <w:rPr>
          <w:rFonts w:hint="eastAsia"/>
        </w:rPr>
        <w:t>，因此，本项目的卫生防护距离设置为场界外</w:t>
      </w:r>
      <w:r>
        <w:t>300</w:t>
      </w:r>
      <w:r>
        <w:rPr>
          <w:rFonts w:hint="eastAsia"/>
        </w:rPr>
        <w:t>m</w:t>
      </w:r>
      <w:r>
        <w:rPr>
          <w:rFonts w:hint="eastAsia"/>
        </w:rPr>
        <w:t>。项目卫生防护距离内无居民点等敏感目标存在，今后在</w:t>
      </w:r>
      <w:proofErr w:type="gramStart"/>
      <w:r>
        <w:rPr>
          <w:rFonts w:hint="eastAsia"/>
        </w:rPr>
        <w:t>该卫生</w:t>
      </w:r>
      <w:proofErr w:type="gramEnd"/>
      <w:r>
        <w:rPr>
          <w:rFonts w:hint="eastAsia"/>
        </w:rPr>
        <w:t>防护距离范围内应禁止规划新建居民区、学校、医院等环境敏感点。</w:t>
      </w:r>
    </w:p>
    <w:p w14:paraId="44CC43F5" w14:textId="77777777" w:rsidR="00E579B9" w:rsidRDefault="006A1398">
      <w:r>
        <w:t>综上，本项目大气污染物排放后，各污染物最大落地浓度均小于《环境空气质量标准》（</w:t>
      </w:r>
      <w:r>
        <w:t>GB3095-2012</w:t>
      </w:r>
      <w:r>
        <w:t>）浓度限值，对周围大气环境影响较小。</w:t>
      </w:r>
    </w:p>
    <w:p w14:paraId="6B57D63C" w14:textId="77777777" w:rsidR="00E579B9" w:rsidRDefault="006A1398">
      <w:pPr>
        <w:pStyle w:val="3"/>
        <w:ind w:firstLine="560"/>
      </w:pPr>
      <w:bookmarkStart w:id="248" w:name="_Toc531939367"/>
      <w:bookmarkStart w:id="249" w:name="_Toc531939578"/>
      <w:bookmarkStart w:id="250" w:name="_Toc16708"/>
      <w:r>
        <w:t>5.2.2</w:t>
      </w:r>
      <w:r>
        <w:t>地表水环境影响分析</w:t>
      </w:r>
      <w:bookmarkEnd w:id="248"/>
      <w:bookmarkEnd w:id="249"/>
      <w:bookmarkEnd w:id="250"/>
    </w:p>
    <w:p w14:paraId="23C29989" w14:textId="77777777" w:rsidR="00E579B9" w:rsidRDefault="006A1398">
      <w:r>
        <w:rPr>
          <w:rFonts w:hint="eastAsia"/>
        </w:rPr>
        <w:t>本项目营运其产生的废水主要包括露天采区汇集的初期大气降水和职工生活污水。</w:t>
      </w:r>
    </w:p>
    <w:p w14:paraId="7B88D93C" w14:textId="77777777" w:rsidR="00E579B9" w:rsidRDefault="006A1398">
      <w:pPr>
        <w:pStyle w:val="4"/>
      </w:pPr>
      <w:r>
        <w:rPr>
          <w:rFonts w:hint="eastAsia"/>
        </w:rPr>
        <w:t>5.2</w:t>
      </w:r>
      <w:r>
        <w:t>.2.1</w:t>
      </w:r>
      <w:r>
        <w:t>露天采场</w:t>
      </w:r>
      <w:r>
        <w:rPr>
          <w:rFonts w:hint="eastAsia"/>
        </w:rPr>
        <w:t>汇集的初期雨水</w:t>
      </w:r>
    </w:p>
    <w:p w14:paraId="4C02C30A" w14:textId="77777777" w:rsidR="00E579B9" w:rsidRDefault="006A1398">
      <w:r>
        <w:t>营运期露天开采排水对象主要为采区大气降水汇水。</w:t>
      </w:r>
    </w:p>
    <w:p w14:paraId="2101345F" w14:textId="77777777" w:rsidR="00E579B9" w:rsidRDefault="006A1398">
      <w:r>
        <w:t>根据</w:t>
      </w:r>
      <w:r>
        <w:rPr>
          <w:rFonts w:hint="eastAsia"/>
        </w:rPr>
        <w:t>开发利用方案</w:t>
      </w:r>
      <w:r>
        <w:t>，矿区</w:t>
      </w:r>
      <w:r>
        <w:rPr>
          <w:rFonts w:hint="eastAsia"/>
        </w:rPr>
        <w:t>采矿采用自上而下台阶式开采，最终形成凹陷型露天矿，矿体赋存于寒武系地层之中，其中矿体主要是</w:t>
      </w:r>
      <w:proofErr w:type="gramStart"/>
      <w:r>
        <w:rPr>
          <w:rFonts w:hint="eastAsia"/>
        </w:rPr>
        <w:t>寒武系下统中</w:t>
      </w:r>
      <w:proofErr w:type="gramEnd"/>
      <w:r>
        <w:rPr>
          <w:rFonts w:hint="eastAsia"/>
        </w:rPr>
        <w:t>上段灰白色厚层大理岩和白云岩即少量泥质条带大理岩矿，</w:t>
      </w:r>
      <w:r>
        <w:t>不含重金属等其它有毒有害元素，雨期降水对矿石成分溶出极少，主要为天然雨水成分，夹带少量泥沙等，随汇流雨水逐渐沉降，对地表水影响很小。</w:t>
      </w:r>
    </w:p>
    <w:p w14:paraId="4642DCE7" w14:textId="77777777" w:rsidR="00E579B9" w:rsidRDefault="006A1398">
      <w:r>
        <w:rPr>
          <w:rFonts w:hint="eastAsia"/>
        </w:rPr>
        <w:t>初期雨水</w:t>
      </w:r>
      <w:proofErr w:type="gramStart"/>
      <w:r>
        <w:rPr>
          <w:rFonts w:hint="eastAsia"/>
        </w:rPr>
        <w:t>经设置</w:t>
      </w:r>
      <w:proofErr w:type="gramEnd"/>
      <w:r>
        <w:rPr>
          <w:rFonts w:hint="eastAsia"/>
        </w:rPr>
        <w:t>的截排水沟</w:t>
      </w:r>
      <w:proofErr w:type="gramStart"/>
      <w:r>
        <w:rPr>
          <w:rFonts w:hint="eastAsia"/>
        </w:rPr>
        <w:t>导流排离采区</w:t>
      </w:r>
      <w:proofErr w:type="gramEnd"/>
      <w:r>
        <w:rPr>
          <w:rFonts w:hint="eastAsia"/>
        </w:rPr>
        <w:t>，必要时为保证</w:t>
      </w:r>
      <w:proofErr w:type="gramStart"/>
      <w:r>
        <w:rPr>
          <w:rFonts w:hint="eastAsia"/>
        </w:rPr>
        <w:t>采坑正常</w:t>
      </w:r>
      <w:proofErr w:type="gramEnd"/>
      <w:r>
        <w:rPr>
          <w:rFonts w:hint="eastAsia"/>
        </w:rPr>
        <w:t>生产、需要安排一定量水泵</w:t>
      </w:r>
      <w:proofErr w:type="gramStart"/>
      <w:r>
        <w:rPr>
          <w:rFonts w:hint="eastAsia"/>
        </w:rPr>
        <w:t>排除采坑积水</w:t>
      </w:r>
      <w:proofErr w:type="gramEnd"/>
      <w:r>
        <w:rPr>
          <w:rFonts w:hint="eastAsia"/>
        </w:rPr>
        <w:t>。采坑内的积水</w:t>
      </w:r>
      <w:r>
        <w:t>沉淀后用于洒水抑尘，不会周围</w:t>
      </w:r>
      <w:r>
        <w:rPr>
          <w:rFonts w:hint="eastAsia"/>
        </w:rPr>
        <w:t>水</w:t>
      </w:r>
      <w:r>
        <w:t>环境造成不利影响</w:t>
      </w:r>
      <w:r>
        <w:rPr>
          <w:rFonts w:hint="eastAsia"/>
        </w:rPr>
        <w:t>。</w:t>
      </w:r>
    </w:p>
    <w:p w14:paraId="0E217332" w14:textId="77777777" w:rsidR="00E579B9" w:rsidRDefault="006A1398">
      <w:pPr>
        <w:pStyle w:val="4"/>
      </w:pPr>
      <w:r>
        <w:rPr>
          <w:rFonts w:hint="eastAsia"/>
        </w:rPr>
        <w:t>5.2</w:t>
      </w:r>
      <w:r>
        <w:t>.2.2</w:t>
      </w:r>
      <w:r>
        <w:t>生活污水</w:t>
      </w:r>
    </w:p>
    <w:p w14:paraId="344D0082" w14:textId="77777777" w:rsidR="00E579B9" w:rsidRDefault="006A1398">
      <w:pPr>
        <w:rPr>
          <w:bCs/>
        </w:rPr>
      </w:pPr>
      <w:bookmarkStart w:id="251" w:name="_Toc231090136"/>
      <w:bookmarkStart w:id="252" w:name="_Toc231090134"/>
      <w:r>
        <w:t>本项目营运期</w:t>
      </w:r>
      <w:r>
        <w:rPr>
          <w:rFonts w:hint="eastAsia"/>
        </w:rPr>
        <w:t>生活污水主要包括盥洗废水和粪污水。盥洗废水水量较小，水质简单，经收集池沉淀后用于洒水抑尘；粪污水主要污染物</w:t>
      </w:r>
      <w:r>
        <w:rPr>
          <w:rFonts w:hint="eastAsia"/>
        </w:rPr>
        <w:t>COD</w:t>
      </w:r>
      <w:r>
        <w:rPr>
          <w:rFonts w:hint="eastAsia"/>
        </w:rPr>
        <w:t>和</w:t>
      </w:r>
      <w:r>
        <w:rPr>
          <w:rFonts w:hint="eastAsia"/>
        </w:rPr>
        <w:t>NH</w:t>
      </w:r>
      <w:r>
        <w:rPr>
          <w:rFonts w:hint="eastAsia"/>
          <w:vertAlign w:val="subscript"/>
        </w:rPr>
        <w:t>3</w:t>
      </w:r>
      <w:r>
        <w:rPr>
          <w:rFonts w:hint="eastAsia"/>
        </w:rPr>
        <w:t>-N</w:t>
      </w:r>
      <w:r>
        <w:rPr>
          <w:rFonts w:hint="eastAsia"/>
        </w:rPr>
        <w:t>等。</w:t>
      </w:r>
      <w:r>
        <w:t>由于</w:t>
      </w:r>
      <w:r>
        <w:rPr>
          <w:rFonts w:hint="eastAsia"/>
        </w:rPr>
        <w:t>矿区</w:t>
      </w:r>
      <w:r>
        <w:t>职工均为附近村民不在厂内食宿，因此项目生活污水量较少且水</w:t>
      </w:r>
      <w:r>
        <w:lastRenderedPageBreak/>
        <w:t>质简单，评价建议生活废水</w:t>
      </w:r>
      <w:r>
        <w:rPr>
          <w:rFonts w:hint="eastAsia"/>
        </w:rPr>
        <w:t>经化粪池处理后通过处理能力为</w:t>
      </w:r>
      <w:r>
        <w:rPr>
          <w:rFonts w:hint="eastAsia"/>
        </w:rPr>
        <w:t>10</w:t>
      </w:r>
      <w:r>
        <w:t>m</w:t>
      </w:r>
      <w:r>
        <w:rPr>
          <w:vertAlign w:val="superscript"/>
        </w:rPr>
        <w:t>3</w:t>
      </w:r>
      <w:r>
        <w:t>/d</w:t>
      </w:r>
      <w:r>
        <w:rPr>
          <w:rFonts w:hint="eastAsia"/>
        </w:rPr>
        <w:t>的一体化污水处理装置处理后</w:t>
      </w:r>
      <w:r>
        <w:t>，用于场地内洒水降尘</w:t>
      </w:r>
      <w:r>
        <w:rPr>
          <w:rFonts w:hint="eastAsia"/>
          <w:color w:val="000000"/>
        </w:rPr>
        <w:t>。</w:t>
      </w:r>
    </w:p>
    <w:p w14:paraId="09194FAD" w14:textId="77777777" w:rsidR="00E579B9" w:rsidRDefault="006A1398">
      <w:r>
        <w:t>采取处理措施后，生活污水不外排</w:t>
      </w:r>
      <w:bookmarkEnd w:id="251"/>
      <w:r>
        <w:t>，对地表水无影响。</w:t>
      </w:r>
    </w:p>
    <w:p w14:paraId="2B124829" w14:textId="77777777" w:rsidR="00E579B9" w:rsidRDefault="006A1398">
      <w:pPr>
        <w:pStyle w:val="3"/>
        <w:ind w:firstLine="560"/>
      </w:pPr>
      <w:bookmarkStart w:id="253" w:name="_Toc531939579"/>
      <w:bookmarkStart w:id="254" w:name="_Toc531939368"/>
      <w:bookmarkStart w:id="255" w:name="_Toc628"/>
      <w:bookmarkEnd w:id="252"/>
      <w:r>
        <w:rPr>
          <w:rFonts w:hint="eastAsia"/>
        </w:rPr>
        <w:t>5.2</w:t>
      </w:r>
      <w:r>
        <w:t>.</w:t>
      </w:r>
      <w:r>
        <w:rPr>
          <w:rFonts w:hint="eastAsia"/>
        </w:rPr>
        <w:t>3</w:t>
      </w:r>
      <w:r>
        <w:t>声环境影响分析</w:t>
      </w:r>
      <w:bookmarkEnd w:id="253"/>
      <w:bookmarkEnd w:id="254"/>
      <w:bookmarkEnd w:id="255"/>
    </w:p>
    <w:p w14:paraId="77671C17" w14:textId="77777777" w:rsidR="00E579B9" w:rsidRDefault="006A1398">
      <w:r>
        <w:rPr>
          <w:rFonts w:hint="eastAsia"/>
        </w:rPr>
        <w:t>（</w:t>
      </w:r>
      <w:r>
        <w:rPr>
          <w:rFonts w:hint="eastAsia"/>
        </w:rPr>
        <w:t>1</w:t>
      </w:r>
      <w:r>
        <w:rPr>
          <w:rFonts w:hint="eastAsia"/>
        </w:rPr>
        <w:t>）露天采场对声环境影响分析</w:t>
      </w:r>
    </w:p>
    <w:p w14:paraId="49AD9E55" w14:textId="77777777" w:rsidR="00E579B9" w:rsidRDefault="006A1398">
      <w:r>
        <w:rPr>
          <w:rFonts w:hint="eastAsia"/>
        </w:rPr>
        <w:t>①爆破噪声</w:t>
      </w:r>
    </w:p>
    <w:p w14:paraId="24A00603" w14:textId="77777777" w:rsidR="00E579B9" w:rsidRDefault="006A1398">
      <w:r>
        <w:rPr>
          <w:rFonts w:hint="eastAsia"/>
        </w:rPr>
        <w:t>项目爆破产生瞬时噪声，声级值较大，可达</w:t>
      </w:r>
      <w:r>
        <w:t>110dB</w:t>
      </w:r>
      <w:r>
        <w:rPr>
          <w:rFonts w:hint="eastAsia"/>
        </w:rPr>
        <w:t>（</w:t>
      </w:r>
      <w:r>
        <w:t>A</w:t>
      </w:r>
      <w:r>
        <w:rPr>
          <w:rFonts w:hint="eastAsia"/>
        </w:rPr>
        <w:t>），但噪声随距离衰减较快，且每</w:t>
      </w:r>
      <w:r>
        <w:rPr>
          <w:rFonts w:hint="eastAsia"/>
        </w:rPr>
        <w:t>7</w:t>
      </w:r>
      <w:r>
        <w:rPr>
          <w:rFonts w:hint="eastAsia"/>
        </w:rPr>
        <w:t>天爆破一次，设计爆破时段安排在上午</w:t>
      </w:r>
      <w:r>
        <w:t>8:00-11:00</w:t>
      </w:r>
      <w:r>
        <w:rPr>
          <w:rFonts w:hint="eastAsia"/>
        </w:rPr>
        <w:t>时及下午的</w:t>
      </w:r>
      <w:r>
        <w:t>3:00-5:00</w:t>
      </w:r>
      <w:r>
        <w:rPr>
          <w:rFonts w:hint="eastAsia"/>
        </w:rPr>
        <w:t>时，并通过告示告知周边居民，以减少爆破噪声对周围环境的不利影响。</w:t>
      </w:r>
    </w:p>
    <w:p w14:paraId="2A13607B" w14:textId="60052F08" w:rsidR="00E579B9" w:rsidRDefault="006A1398">
      <w:pPr>
        <w:pStyle w:val="21"/>
        <w:ind w:firstLineChars="700" w:firstLine="1680"/>
      </w:pPr>
      <w:r>
        <w:rPr>
          <w:rFonts w:hint="eastAsia"/>
        </w:rPr>
        <w:t>表</w:t>
      </w:r>
      <w:r>
        <w:rPr>
          <w:rFonts w:hint="eastAsia"/>
        </w:rPr>
        <w:t>5.2-11</w:t>
      </w:r>
      <w:r>
        <w:rPr>
          <w:rFonts w:hint="eastAsia"/>
        </w:rPr>
        <w:t>爆破</w:t>
      </w:r>
      <w:r>
        <w:t>噪声源及衰减情况</w:t>
      </w:r>
    </w:p>
    <w:tbl>
      <w:tblPr>
        <w:tblW w:w="8643" w:type="dxa"/>
        <w:tblLayout w:type="fixed"/>
        <w:tblLook w:val="04A0" w:firstRow="1" w:lastRow="0" w:firstColumn="1" w:lastColumn="0" w:noHBand="0" w:noVBand="1"/>
      </w:tblPr>
      <w:tblGrid>
        <w:gridCol w:w="1144"/>
        <w:gridCol w:w="1179"/>
        <w:gridCol w:w="880"/>
        <w:gridCol w:w="1041"/>
        <w:gridCol w:w="1321"/>
        <w:gridCol w:w="1386"/>
        <w:gridCol w:w="1692"/>
      </w:tblGrid>
      <w:tr w:rsidR="00E579B9" w14:paraId="4E87FAAC" w14:textId="77777777">
        <w:trPr>
          <w:trHeight w:hRule="exact" w:val="391"/>
        </w:trPr>
        <w:tc>
          <w:tcPr>
            <w:tcW w:w="2323" w:type="dxa"/>
            <w:gridSpan w:val="2"/>
            <w:vMerge w:val="restart"/>
            <w:tcBorders>
              <w:top w:val="single" w:sz="4" w:space="0" w:color="000000"/>
              <w:left w:val="single" w:sz="4" w:space="0" w:color="000000"/>
              <w:right w:val="single" w:sz="4" w:space="0" w:color="000000"/>
            </w:tcBorders>
            <w:vAlign w:val="center"/>
          </w:tcPr>
          <w:p w14:paraId="44691BC9" w14:textId="77777777" w:rsidR="00E579B9" w:rsidRDefault="006A1398">
            <w:pPr>
              <w:pStyle w:val="aa"/>
              <w:rPr>
                <w:rFonts w:cs="Times New Roman"/>
              </w:rPr>
            </w:pPr>
            <w:r>
              <w:rPr>
                <w:rFonts w:cs="Times New Roman"/>
              </w:rPr>
              <w:t>距离声级值</w:t>
            </w:r>
          </w:p>
        </w:tc>
        <w:tc>
          <w:tcPr>
            <w:tcW w:w="6320" w:type="dxa"/>
            <w:gridSpan w:val="5"/>
            <w:tcBorders>
              <w:top w:val="single" w:sz="4" w:space="0" w:color="000000"/>
              <w:left w:val="single" w:sz="4" w:space="0" w:color="000000"/>
              <w:bottom w:val="single" w:sz="4" w:space="0" w:color="000000"/>
              <w:right w:val="single" w:sz="4" w:space="0" w:color="auto"/>
            </w:tcBorders>
            <w:vAlign w:val="center"/>
          </w:tcPr>
          <w:p w14:paraId="0F5BC457" w14:textId="77777777" w:rsidR="00E579B9" w:rsidRDefault="006A1398">
            <w:pPr>
              <w:pStyle w:val="aa"/>
              <w:rPr>
                <w:rFonts w:cs="Times New Roman"/>
              </w:rPr>
            </w:pPr>
            <w:r>
              <w:rPr>
                <w:rFonts w:cs="Times New Roman"/>
              </w:rPr>
              <w:t>距矿区边界距离（</w:t>
            </w:r>
            <w:r>
              <w:rPr>
                <w:rFonts w:cs="Times New Roman"/>
              </w:rPr>
              <w:t>m</w:t>
            </w:r>
            <w:r>
              <w:rPr>
                <w:rFonts w:cs="Times New Roman"/>
              </w:rPr>
              <w:t>）</w:t>
            </w:r>
          </w:p>
        </w:tc>
      </w:tr>
      <w:tr w:rsidR="00E579B9" w14:paraId="2DD2E54A" w14:textId="77777777">
        <w:trPr>
          <w:trHeight w:hRule="exact" w:val="441"/>
        </w:trPr>
        <w:tc>
          <w:tcPr>
            <w:tcW w:w="2323" w:type="dxa"/>
            <w:gridSpan w:val="2"/>
            <w:vMerge/>
            <w:tcBorders>
              <w:left w:val="single" w:sz="4" w:space="0" w:color="000000"/>
              <w:bottom w:val="single" w:sz="4" w:space="0" w:color="000000"/>
              <w:right w:val="single" w:sz="4" w:space="0" w:color="000000"/>
            </w:tcBorders>
            <w:vAlign w:val="center"/>
          </w:tcPr>
          <w:p w14:paraId="51A873BF" w14:textId="77777777" w:rsidR="00E579B9" w:rsidRDefault="00E579B9">
            <w:pPr>
              <w:pStyle w:val="aa"/>
              <w:rPr>
                <w:rFonts w:cs="Times New Roman"/>
              </w:rPr>
            </w:pPr>
          </w:p>
        </w:tc>
        <w:tc>
          <w:tcPr>
            <w:tcW w:w="880" w:type="dxa"/>
            <w:tcBorders>
              <w:top w:val="single" w:sz="4" w:space="0" w:color="000000"/>
              <w:left w:val="single" w:sz="4" w:space="0" w:color="000000"/>
              <w:bottom w:val="single" w:sz="4" w:space="0" w:color="000000"/>
              <w:right w:val="single" w:sz="4" w:space="0" w:color="000000"/>
            </w:tcBorders>
            <w:vAlign w:val="center"/>
          </w:tcPr>
          <w:p w14:paraId="466D495E" w14:textId="77777777" w:rsidR="00E579B9" w:rsidRDefault="006A1398">
            <w:pPr>
              <w:pStyle w:val="aa"/>
              <w:rPr>
                <w:rFonts w:cs="Times New Roman"/>
              </w:rPr>
            </w:pPr>
            <w:r>
              <w:rPr>
                <w:rFonts w:cs="Times New Roman"/>
              </w:rPr>
              <w:t>50</w:t>
            </w:r>
          </w:p>
        </w:tc>
        <w:tc>
          <w:tcPr>
            <w:tcW w:w="1041" w:type="dxa"/>
            <w:tcBorders>
              <w:top w:val="single" w:sz="4" w:space="0" w:color="000000"/>
              <w:left w:val="single" w:sz="4" w:space="0" w:color="000000"/>
              <w:bottom w:val="single" w:sz="4" w:space="0" w:color="000000"/>
              <w:right w:val="single" w:sz="4" w:space="0" w:color="000000"/>
            </w:tcBorders>
            <w:vAlign w:val="center"/>
          </w:tcPr>
          <w:p w14:paraId="69A472F6" w14:textId="77777777" w:rsidR="00E579B9" w:rsidRDefault="006A1398">
            <w:pPr>
              <w:pStyle w:val="aa"/>
              <w:rPr>
                <w:rFonts w:cs="Times New Roman"/>
              </w:rPr>
            </w:pPr>
            <w:r>
              <w:rPr>
                <w:rFonts w:cs="Times New Roman"/>
              </w:rPr>
              <w:t>100</w:t>
            </w:r>
          </w:p>
        </w:tc>
        <w:tc>
          <w:tcPr>
            <w:tcW w:w="1321" w:type="dxa"/>
            <w:tcBorders>
              <w:top w:val="single" w:sz="4" w:space="0" w:color="000000"/>
              <w:left w:val="single" w:sz="4" w:space="0" w:color="000000"/>
              <w:bottom w:val="single" w:sz="4" w:space="0" w:color="000000"/>
              <w:right w:val="single" w:sz="4" w:space="0" w:color="000000"/>
            </w:tcBorders>
            <w:vAlign w:val="center"/>
          </w:tcPr>
          <w:p w14:paraId="64DB4312" w14:textId="77777777" w:rsidR="00E579B9" w:rsidRDefault="006A1398">
            <w:pPr>
              <w:pStyle w:val="aa"/>
              <w:rPr>
                <w:rFonts w:cs="Times New Roman"/>
              </w:rPr>
            </w:pPr>
            <w:r>
              <w:rPr>
                <w:rFonts w:cs="Times New Roman"/>
              </w:rPr>
              <w:t>150</w:t>
            </w:r>
          </w:p>
        </w:tc>
        <w:tc>
          <w:tcPr>
            <w:tcW w:w="1386" w:type="dxa"/>
            <w:tcBorders>
              <w:top w:val="single" w:sz="4" w:space="0" w:color="000000"/>
              <w:left w:val="single" w:sz="4" w:space="0" w:color="000000"/>
              <w:bottom w:val="single" w:sz="4" w:space="0" w:color="000000"/>
              <w:right w:val="single" w:sz="4" w:space="0" w:color="000000"/>
            </w:tcBorders>
            <w:vAlign w:val="center"/>
          </w:tcPr>
          <w:p w14:paraId="4AA90578" w14:textId="77777777" w:rsidR="00E579B9" w:rsidRDefault="006A1398">
            <w:pPr>
              <w:pStyle w:val="aa"/>
              <w:rPr>
                <w:rFonts w:cs="Times New Roman"/>
              </w:rPr>
            </w:pPr>
            <w:r>
              <w:rPr>
                <w:rFonts w:cs="Times New Roman"/>
              </w:rPr>
              <w:t>200</w:t>
            </w:r>
          </w:p>
        </w:tc>
        <w:tc>
          <w:tcPr>
            <w:tcW w:w="1692" w:type="dxa"/>
            <w:tcBorders>
              <w:top w:val="single" w:sz="4" w:space="0" w:color="000000"/>
              <w:left w:val="single" w:sz="4" w:space="0" w:color="000000"/>
              <w:bottom w:val="single" w:sz="4" w:space="0" w:color="000000"/>
              <w:right w:val="single" w:sz="4" w:space="0" w:color="auto"/>
            </w:tcBorders>
            <w:vAlign w:val="center"/>
          </w:tcPr>
          <w:p w14:paraId="5143B711" w14:textId="77777777" w:rsidR="00E579B9" w:rsidRDefault="006A1398">
            <w:pPr>
              <w:pStyle w:val="aa"/>
              <w:rPr>
                <w:rFonts w:cs="Times New Roman"/>
              </w:rPr>
            </w:pPr>
            <w:r>
              <w:rPr>
                <w:rFonts w:cs="Times New Roman"/>
              </w:rPr>
              <w:t>457m</w:t>
            </w:r>
            <w:r>
              <w:rPr>
                <w:rFonts w:cs="Times New Roman"/>
              </w:rPr>
              <w:t>处的傅</w:t>
            </w:r>
            <w:proofErr w:type="gramStart"/>
            <w:r>
              <w:rPr>
                <w:rFonts w:cs="Times New Roman"/>
              </w:rPr>
              <w:t>埂</w:t>
            </w:r>
            <w:proofErr w:type="gramEnd"/>
            <w:r>
              <w:rPr>
                <w:rFonts w:cs="Times New Roman"/>
              </w:rPr>
              <w:t>村</w:t>
            </w:r>
          </w:p>
        </w:tc>
      </w:tr>
      <w:tr w:rsidR="00E579B9" w14:paraId="5098D27E" w14:textId="77777777">
        <w:trPr>
          <w:trHeight w:hRule="exact" w:val="462"/>
        </w:trPr>
        <w:tc>
          <w:tcPr>
            <w:tcW w:w="1144" w:type="dxa"/>
            <w:tcBorders>
              <w:top w:val="single" w:sz="4" w:space="0" w:color="000000"/>
              <w:left w:val="single" w:sz="4" w:space="0" w:color="000000"/>
              <w:bottom w:val="single" w:sz="4" w:space="0" w:color="000000"/>
              <w:right w:val="single" w:sz="4" w:space="0" w:color="000000"/>
            </w:tcBorders>
            <w:vAlign w:val="center"/>
          </w:tcPr>
          <w:p w14:paraId="0EB300C2" w14:textId="77777777" w:rsidR="00E579B9" w:rsidRDefault="006A1398">
            <w:pPr>
              <w:pStyle w:val="aa"/>
              <w:rPr>
                <w:rFonts w:cs="Times New Roman"/>
              </w:rPr>
            </w:pPr>
            <w:r>
              <w:rPr>
                <w:rFonts w:cs="Times New Roman"/>
              </w:rPr>
              <w:t>贡献值</w:t>
            </w:r>
          </w:p>
        </w:tc>
        <w:tc>
          <w:tcPr>
            <w:tcW w:w="1179" w:type="dxa"/>
            <w:tcBorders>
              <w:top w:val="single" w:sz="4" w:space="0" w:color="000000"/>
              <w:left w:val="single" w:sz="4" w:space="0" w:color="000000"/>
              <w:bottom w:val="single" w:sz="4" w:space="0" w:color="000000"/>
              <w:right w:val="single" w:sz="4" w:space="0" w:color="000000"/>
            </w:tcBorders>
            <w:vAlign w:val="center"/>
          </w:tcPr>
          <w:p w14:paraId="0430C0C9" w14:textId="77777777" w:rsidR="00E579B9" w:rsidRDefault="006A1398">
            <w:pPr>
              <w:pStyle w:val="aa"/>
              <w:rPr>
                <w:rFonts w:cs="Times New Roman"/>
              </w:rPr>
            </w:pPr>
            <w:proofErr w:type="gramStart"/>
            <w:r>
              <w:rPr>
                <w:rFonts w:cs="Times New Roman"/>
              </w:rPr>
              <w:t>昼</w:t>
            </w:r>
            <w:proofErr w:type="gramEnd"/>
            <w:r>
              <w:rPr>
                <w:rFonts w:cs="Times New Roman"/>
              </w:rPr>
              <w:t>dB</w:t>
            </w:r>
            <w:r>
              <w:rPr>
                <w:rFonts w:cs="Times New Roman"/>
              </w:rPr>
              <w:t>（</w:t>
            </w:r>
            <w:r>
              <w:rPr>
                <w:rFonts w:cs="Times New Roman"/>
              </w:rPr>
              <w:t>A</w:t>
            </w:r>
            <w:r>
              <w:rPr>
                <w:rFonts w:cs="Times New Roman"/>
              </w:rPr>
              <w:t>）</w:t>
            </w:r>
          </w:p>
        </w:tc>
        <w:tc>
          <w:tcPr>
            <w:tcW w:w="880" w:type="dxa"/>
            <w:tcBorders>
              <w:top w:val="single" w:sz="4" w:space="0" w:color="000000"/>
              <w:left w:val="single" w:sz="4" w:space="0" w:color="000000"/>
              <w:bottom w:val="single" w:sz="4" w:space="0" w:color="000000"/>
              <w:right w:val="single" w:sz="4" w:space="0" w:color="000000"/>
            </w:tcBorders>
            <w:vAlign w:val="center"/>
          </w:tcPr>
          <w:p w14:paraId="5D609C3C" w14:textId="77777777" w:rsidR="00E579B9" w:rsidRDefault="006A1398">
            <w:pPr>
              <w:pStyle w:val="aa"/>
              <w:rPr>
                <w:rFonts w:cs="Times New Roman"/>
              </w:rPr>
            </w:pPr>
            <w:r>
              <w:rPr>
                <w:rFonts w:cs="Times New Roman"/>
              </w:rPr>
              <w:t>76.02</w:t>
            </w:r>
          </w:p>
        </w:tc>
        <w:tc>
          <w:tcPr>
            <w:tcW w:w="1041" w:type="dxa"/>
            <w:tcBorders>
              <w:top w:val="single" w:sz="4" w:space="0" w:color="000000"/>
              <w:left w:val="single" w:sz="4" w:space="0" w:color="000000"/>
              <w:bottom w:val="single" w:sz="4" w:space="0" w:color="000000"/>
              <w:right w:val="single" w:sz="4" w:space="0" w:color="000000"/>
            </w:tcBorders>
            <w:vAlign w:val="center"/>
          </w:tcPr>
          <w:p w14:paraId="5E5692FF" w14:textId="77777777" w:rsidR="00E579B9" w:rsidRDefault="006A1398">
            <w:pPr>
              <w:pStyle w:val="aa"/>
              <w:rPr>
                <w:rFonts w:cs="Times New Roman"/>
              </w:rPr>
            </w:pPr>
            <w:r>
              <w:rPr>
                <w:rFonts w:cs="Times New Roman"/>
              </w:rPr>
              <w:t>70</w:t>
            </w:r>
          </w:p>
        </w:tc>
        <w:tc>
          <w:tcPr>
            <w:tcW w:w="1321" w:type="dxa"/>
            <w:tcBorders>
              <w:top w:val="single" w:sz="4" w:space="0" w:color="000000"/>
              <w:left w:val="single" w:sz="4" w:space="0" w:color="000000"/>
              <w:bottom w:val="single" w:sz="4" w:space="0" w:color="000000"/>
              <w:right w:val="single" w:sz="4" w:space="0" w:color="000000"/>
            </w:tcBorders>
            <w:vAlign w:val="center"/>
          </w:tcPr>
          <w:p w14:paraId="3A521B60" w14:textId="77777777" w:rsidR="00E579B9" w:rsidRDefault="006A1398">
            <w:pPr>
              <w:pStyle w:val="aa"/>
              <w:rPr>
                <w:rFonts w:cs="Times New Roman"/>
              </w:rPr>
            </w:pPr>
            <w:r>
              <w:rPr>
                <w:rFonts w:cs="Times New Roman"/>
              </w:rPr>
              <w:t>66.48</w:t>
            </w:r>
          </w:p>
        </w:tc>
        <w:tc>
          <w:tcPr>
            <w:tcW w:w="1386" w:type="dxa"/>
            <w:tcBorders>
              <w:top w:val="single" w:sz="4" w:space="0" w:color="000000"/>
              <w:left w:val="single" w:sz="4" w:space="0" w:color="000000"/>
              <w:bottom w:val="single" w:sz="4" w:space="0" w:color="000000"/>
              <w:right w:val="single" w:sz="4" w:space="0" w:color="000000"/>
            </w:tcBorders>
            <w:vAlign w:val="center"/>
          </w:tcPr>
          <w:p w14:paraId="7AF10A70" w14:textId="77777777" w:rsidR="00E579B9" w:rsidRDefault="006A1398">
            <w:pPr>
              <w:pStyle w:val="aa"/>
              <w:rPr>
                <w:rFonts w:cs="Times New Roman"/>
              </w:rPr>
            </w:pPr>
            <w:r>
              <w:rPr>
                <w:rFonts w:cs="Times New Roman"/>
              </w:rPr>
              <w:t>63.98</w:t>
            </w:r>
          </w:p>
        </w:tc>
        <w:tc>
          <w:tcPr>
            <w:tcW w:w="1692" w:type="dxa"/>
            <w:tcBorders>
              <w:top w:val="single" w:sz="4" w:space="0" w:color="000000"/>
              <w:left w:val="single" w:sz="4" w:space="0" w:color="000000"/>
              <w:bottom w:val="single" w:sz="4" w:space="0" w:color="000000"/>
              <w:right w:val="single" w:sz="4" w:space="0" w:color="auto"/>
            </w:tcBorders>
            <w:vAlign w:val="center"/>
          </w:tcPr>
          <w:p w14:paraId="0C2A5F5B" w14:textId="77777777" w:rsidR="00E579B9" w:rsidRDefault="006A1398">
            <w:pPr>
              <w:pStyle w:val="aa"/>
              <w:rPr>
                <w:rFonts w:cs="Times New Roman"/>
              </w:rPr>
            </w:pPr>
            <w:r>
              <w:rPr>
                <w:rFonts w:cs="Times New Roman"/>
              </w:rPr>
              <w:t>56.8</w:t>
            </w:r>
          </w:p>
        </w:tc>
      </w:tr>
      <w:tr w:rsidR="00E579B9" w14:paraId="4B34F202" w14:textId="77777777">
        <w:trPr>
          <w:trHeight w:hRule="exact" w:val="426"/>
        </w:trPr>
        <w:tc>
          <w:tcPr>
            <w:tcW w:w="1144" w:type="dxa"/>
            <w:tcBorders>
              <w:top w:val="single" w:sz="4" w:space="0" w:color="000000"/>
              <w:left w:val="single" w:sz="4" w:space="0" w:color="000000"/>
              <w:bottom w:val="single" w:sz="4" w:space="0" w:color="000000"/>
              <w:right w:val="single" w:sz="4" w:space="0" w:color="000000"/>
            </w:tcBorders>
            <w:vAlign w:val="center"/>
          </w:tcPr>
          <w:p w14:paraId="11CFFA9A" w14:textId="77777777" w:rsidR="00E579B9" w:rsidRDefault="006A1398">
            <w:pPr>
              <w:pStyle w:val="aa"/>
              <w:rPr>
                <w:rFonts w:cs="Times New Roman"/>
              </w:rPr>
            </w:pPr>
            <w:r>
              <w:rPr>
                <w:rFonts w:cs="Times New Roman"/>
              </w:rPr>
              <w:t>噪声类别</w:t>
            </w:r>
          </w:p>
        </w:tc>
        <w:tc>
          <w:tcPr>
            <w:tcW w:w="1179" w:type="dxa"/>
            <w:tcBorders>
              <w:top w:val="single" w:sz="4" w:space="0" w:color="000000"/>
              <w:left w:val="single" w:sz="4" w:space="0" w:color="000000"/>
              <w:bottom w:val="single" w:sz="4" w:space="0" w:color="000000"/>
              <w:right w:val="single" w:sz="4" w:space="0" w:color="000000"/>
            </w:tcBorders>
            <w:vAlign w:val="center"/>
          </w:tcPr>
          <w:p w14:paraId="72CD9CB7" w14:textId="77777777" w:rsidR="00E579B9" w:rsidRDefault="006A1398">
            <w:pPr>
              <w:pStyle w:val="aa"/>
              <w:rPr>
                <w:rFonts w:cs="Times New Roman"/>
              </w:rPr>
            </w:pPr>
            <w:r>
              <w:rPr>
                <w:rFonts w:cs="Times New Roman"/>
              </w:rPr>
              <w:t>60dB</w:t>
            </w:r>
            <w:r>
              <w:rPr>
                <w:rFonts w:cs="Times New Roman"/>
              </w:rPr>
              <w:t>（</w:t>
            </w:r>
            <w:r>
              <w:rPr>
                <w:rFonts w:cs="Times New Roman"/>
              </w:rPr>
              <w:t>A</w:t>
            </w:r>
            <w:r>
              <w:rPr>
                <w:rFonts w:cs="Times New Roman"/>
              </w:rPr>
              <w:t>）</w:t>
            </w:r>
          </w:p>
        </w:tc>
        <w:tc>
          <w:tcPr>
            <w:tcW w:w="6320" w:type="dxa"/>
            <w:gridSpan w:val="5"/>
            <w:tcBorders>
              <w:top w:val="single" w:sz="4" w:space="0" w:color="000000"/>
              <w:left w:val="single" w:sz="4" w:space="0" w:color="000000"/>
              <w:bottom w:val="single" w:sz="4" w:space="0" w:color="000000"/>
              <w:right w:val="single" w:sz="4" w:space="0" w:color="auto"/>
            </w:tcBorders>
            <w:vAlign w:val="center"/>
          </w:tcPr>
          <w:p w14:paraId="55021037" w14:textId="77777777" w:rsidR="00E579B9" w:rsidRDefault="006A1398">
            <w:pPr>
              <w:pStyle w:val="aa"/>
              <w:rPr>
                <w:rFonts w:cs="Times New Roman"/>
              </w:rPr>
            </w:pPr>
            <w:r>
              <w:rPr>
                <w:rFonts w:cs="Times New Roman"/>
              </w:rPr>
              <w:t>《声环境质量标准》（</w:t>
            </w:r>
            <w:r>
              <w:rPr>
                <w:rFonts w:cs="Times New Roman"/>
              </w:rPr>
              <w:t>GB3096-2008</w:t>
            </w:r>
            <w:r>
              <w:rPr>
                <w:rFonts w:cs="Times New Roman"/>
              </w:rPr>
              <w:t>）</w:t>
            </w:r>
            <w:r>
              <w:rPr>
                <w:rFonts w:cs="Times New Roman"/>
              </w:rPr>
              <w:t>2</w:t>
            </w:r>
            <w:r>
              <w:rPr>
                <w:rFonts w:cs="Times New Roman"/>
              </w:rPr>
              <w:t>类标准</w:t>
            </w:r>
          </w:p>
        </w:tc>
      </w:tr>
    </w:tbl>
    <w:p w14:paraId="4935235F" w14:textId="77777777" w:rsidR="00E579B9" w:rsidRDefault="006A1398">
      <w:pPr>
        <w:pStyle w:val="226"/>
        <w:rPr>
          <w:rFonts w:cs="Times New Roman"/>
          <w:kern w:val="0"/>
        </w:rPr>
      </w:pPr>
      <w:r>
        <w:rPr>
          <w:rFonts w:cs="Times New Roman" w:hint="eastAsia"/>
          <w:kern w:val="0"/>
        </w:rPr>
        <w:t>根据现场查勘，距离采区最近的村庄为一采区东侧</w:t>
      </w:r>
      <w:r>
        <w:rPr>
          <w:rFonts w:cs="Times New Roman" w:hint="eastAsia"/>
          <w:kern w:val="0"/>
        </w:rPr>
        <w:t>457m</w:t>
      </w:r>
      <w:r>
        <w:rPr>
          <w:rFonts w:cs="Times New Roman" w:hint="eastAsia"/>
          <w:kern w:val="0"/>
        </w:rPr>
        <w:t>处的傅</w:t>
      </w:r>
      <w:proofErr w:type="gramStart"/>
      <w:r>
        <w:rPr>
          <w:rFonts w:cs="Times New Roman"/>
          <w:kern w:val="0"/>
        </w:rPr>
        <w:t>埂</w:t>
      </w:r>
      <w:proofErr w:type="gramEnd"/>
      <w:r>
        <w:rPr>
          <w:rFonts w:cs="Times New Roman" w:hint="eastAsia"/>
          <w:kern w:val="0"/>
        </w:rPr>
        <w:t>村，距离较远，预计采区爆破噪声经距离衰减，对周围居民影响较小。</w:t>
      </w:r>
    </w:p>
    <w:p w14:paraId="169ADBE4" w14:textId="77777777" w:rsidR="00E579B9" w:rsidRDefault="006A1398">
      <w:pPr>
        <w:pStyle w:val="226"/>
        <w:numPr>
          <w:ilvl w:val="0"/>
          <w:numId w:val="1"/>
        </w:numPr>
        <w:ind w:left="0" w:firstLine="480"/>
        <w:rPr>
          <w:rFonts w:cs="Times New Roman"/>
          <w:kern w:val="0"/>
        </w:rPr>
      </w:pPr>
      <w:r>
        <w:rPr>
          <w:rFonts w:cs="Times New Roman" w:hint="eastAsia"/>
          <w:kern w:val="0"/>
        </w:rPr>
        <w:t>采区设备噪声</w:t>
      </w:r>
    </w:p>
    <w:p w14:paraId="4DF26E47" w14:textId="77777777" w:rsidR="00E579B9" w:rsidRDefault="006A1398">
      <w:pPr>
        <w:pStyle w:val="226"/>
        <w:rPr>
          <w:rFonts w:cs="Times New Roman"/>
          <w:kern w:val="0"/>
        </w:rPr>
      </w:pPr>
      <w:r>
        <w:rPr>
          <w:rFonts w:cs="Times New Roman" w:hint="eastAsia"/>
          <w:kern w:val="0"/>
        </w:rPr>
        <w:t>露天采场主要噪声源主要有凿岩机、挖掘机、破碎锤、装载机等作业产生的机械噪声，设备噪声源强见表</w:t>
      </w:r>
      <w:r>
        <w:rPr>
          <w:rFonts w:cs="Times New Roman" w:hint="eastAsia"/>
          <w:kern w:val="0"/>
        </w:rPr>
        <w:t>5</w:t>
      </w:r>
      <w:r>
        <w:rPr>
          <w:rFonts w:cs="Times New Roman"/>
          <w:kern w:val="0"/>
        </w:rPr>
        <w:t>.2-</w:t>
      </w:r>
      <w:r>
        <w:rPr>
          <w:rFonts w:cs="Times New Roman" w:hint="eastAsia"/>
          <w:kern w:val="0"/>
        </w:rPr>
        <w:t>12</w:t>
      </w:r>
      <w:r>
        <w:rPr>
          <w:rFonts w:cs="Times New Roman" w:hint="eastAsia"/>
          <w:kern w:val="0"/>
        </w:rPr>
        <w:t>。</w:t>
      </w:r>
    </w:p>
    <w:p w14:paraId="687D7953" w14:textId="77777777" w:rsidR="00E579B9" w:rsidRDefault="006A1398">
      <w:pPr>
        <w:pStyle w:val="226"/>
        <w:ind w:firstLineChars="650" w:firstLine="1560"/>
        <w:jc w:val="center"/>
        <w:rPr>
          <w:rFonts w:eastAsia="黑体" w:cs="Times New Roman"/>
        </w:rPr>
      </w:pPr>
      <w:r>
        <w:rPr>
          <w:rFonts w:eastAsia="黑体" w:cs="Times New Roman" w:hint="eastAsia"/>
        </w:rPr>
        <w:t>表</w:t>
      </w:r>
      <w:r>
        <w:rPr>
          <w:rFonts w:eastAsia="黑体" w:cs="Times New Roman" w:hint="eastAsia"/>
        </w:rPr>
        <w:t>5</w:t>
      </w:r>
      <w:r>
        <w:rPr>
          <w:rFonts w:eastAsia="黑体" w:cs="Times New Roman"/>
        </w:rPr>
        <w:t>.2</w:t>
      </w:r>
      <w:r>
        <w:rPr>
          <w:rFonts w:eastAsia="黑体" w:cs="Times New Roman" w:hint="eastAsia"/>
        </w:rPr>
        <w:t>-12</w:t>
      </w:r>
      <w:r>
        <w:rPr>
          <w:rFonts w:eastAsia="黑体" w:cs="Times New Roman" w:hint="eastAsia"/>
        </w:rPr>
        <w:t>本项目露天采场主要设备噪声源强</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744"/>
        <w:gridCol w:w="1337"/>
        <w:gridCol w:w="891"/>
        <w:gridCol w:w="936"/>
        <w:gridCol w:w="700"/>
        <w:gridCol w:w="2328"/>
        <w:gridCol w:w="1011"/>
      </w:tblGrid>
      <w:tr w:rsidR="00E579B9" w14:paraId="1D036B40" w14:textId="77777777">
        <w:tc>
          <w:tcPr>
            <w:tcW w:w="999" w:type="dxa"/>
            <w:tcBorders>
              <w:bottom w:val="single" w:sz="4" w:space="0" w:color="auto"/>
            </w:tcBorders>
            <w:vAlign w:val="center"/>
          </w:tcPr>
          <w:p w14:paraId="30A455B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位置</w:t>
            </w:r>
          </w:p>
        </w:tc>
        <w:tc>
          <w:tcPr>
            <w:tcW w:w="744" w:type="dxa"/>
            <w:tcBorders>
              <w:bottom w:val="single" w:sz="4" w:space="0" w:color="auto"/>
            </w:tcBorders>
            <w:vAlign w:val="center"/>
          </w:tcPr>
          <w:p w14:paraId="2B7860C3"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序号</w:t>
            </w:r>
          </w:p>
        </w:tc>
        <w:tc>
          <w:tcPr>
            <w:tcW w:w="1337" w:type="dxa"/>
            <w:tcBorders>
              <w:bottom w:val="single" w:sz="4" w:space="0" w:color="auto"/>
            </w:tcBorders>
            <w:vAlign w:val="center"/>
          </w:tcPr>
          <w:p w14:paraId="4424DD2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设备名称</w:t>
            </w:r>
          </w:p>
        </w:tc>
        <w:tc>
          <w:tcPr>
            <w:tcW w:w="891" w:type="dxa"/>
            <w:tcBorders>
              <w:bottom w:val="single" w:sz="4" w:space="0" w:color="auto"/>
            </w:tcBorders>
            <w:vAlign w:val="center"/>
          </w:tcPr>
          <w:p w14:paraId="5545D40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数量</w:t>
            </w:r>
          </w:p>
          <w:p w14:paraId="72E2D6D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（台）</w:t>
            </w:r>
          </w:p>
        </w:tc>
        <w:tc>
          <w:tcPr>
            <w:tcW w:w="936" w:type="dxa"/>
            <w:tcBorders>
              <w:bottom w:val="single" w:sz="4" w:space="0" w:color="auto"/>
            </w:tcBorders>
            <w:vAlign w:val="center"/>
          </w:tcPr>
          <w:p w14:paraId="0359FEC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声级</w:t>
            </w:r>
          </w:p>
          <w:p w14:paraId="2E90FDE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[dB(A)]</w:t>
            </w:r>
          </w:p>
        </w:tc>
        <w:tc>
          <w:tcPr>
            <w:tcW w:w="700" w:type="dxa"/>
            <w:tcBorders>
              <w:bottom w:val="single" w:sz="4" w:space="0" w:color="auto"/>
            </w:tcBorders>
            <w:vAlign w:val="center"/>
          </w:tcPr>
          <w:p w14:paraId="0B6A45D1"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运行情况</w:t>
            </w:r>
          </w:p>
        </w:tc>
        <w:tc>
          <w:tcPr>
            <w:tcW w:w="2328" w:type="dxa"/>
            <w:tcBorders>
              <w:bottom w:val="single" w:sz="4" w:space="0" w:color="auto"/>
            </w:tcBorders>
            <w:vAlign w:val="center"/>
          </w:tcPr>
          <w:p w14:paraId="070518C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降噪措施</w:t>
            </w:r>
          </w:p>
        </w:tc>
        <w:tc>
          <w:tcPr>
            <w:tcW w:w="1011" w:type="dxa"/>
            <w:tcBorders>
              <w:bottom w:val="single" w:sz="4" w:space="0" w:color="auto"/>
            </w:tcBorders>
            <w:vAlign w:val="center"/>
          </w:tcPr>
          <w:p w14:paraId="69953AF3" w14:textId="77777777" w:rsidR="00E579B9" w:rsidRDefault="006A1398">
            <w:pPr>
              <w:spacing w:line="360" w:lineRule="exact"/>
              <w:ind w:firstLineChars="0" w:firstLine="0"/>
              <w:jc w:val="center"/>
              <w:rPr>
                <w:rFonts w:cs="Times New Roman"/>
                <w:kern w:val="0"/>
                <w:sz w:val="21"/>
                <w:szCs w:val="21"/>
              </w:rPr>
            </w:pPr>
            <w:proofErr w:type="gramStart"/>
            <w:r>
              <w:rPr>
                <w:rFonts w:cs="Times New Roman"/>
                <w:kern w:val="0"/>
                <w:sz w:val="21"/>
                <w:szCs w:val="21"/>
              </w:rPr>
              <w:t>治理后源强</w:t>
            </w:r>
            <w:proofErr w:type="gramEnd"/>
            <w:r>
              <w:rPr>
                <w:rFonts w:cs="Times New Roman"/>
                <w:kern w:val="0"/>
                <w:sz w:val="21"/>
                <w:szCs w:val="21"/>
              </w:rPr>
              <w:t>[dB(A)]</w:t>
            </w:r>
          </w:p>
        </w:tc>
      </w:tr>
      <w:tr w:rsidR="00E579B9" w14:paraId="4BD02F22" w14:textId="77777777">
        <w:tc>
          <w:tcPr>
            <w:tcW w:w="999" w:type="dxa"/>
            <w:vMerge w:val="restart"/>
            <w:tcBorders>
              <w:top w:val="single" w:sz="4" w:space="0" w:color="auto"/>
              <w:left w:val="single" w:sz="4" w:space="0" w:color="auto"/>
              <w:bottom w:val="single" w:sz="4" w:space="0" w:color="auto"/>
              <w:right w:val="single" w:sz="4" w:space="0" w:color="auto"/>
            </w:tcBorders>
            <w:vAlign w:val="center"/>
          </w:tcPr>
          <w:p w14:paraId="27362A1A"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露采区</w:t>
            </w:r>
          </w:p>
        </w:tc>
        <w:tc>
          <w:tcPr>
            <w:tcW w:w="744" w:type="dxa"/>
            <w:tcBorders>
              <w:top w:val="single" w:sz="4" w:space="0" w:color="auto"/>
              <w:left w:val="single" w:sz="4" w:space="0" w:color="auto"/>
              <w:bottom w:val="single" w:sz="4" w:space="0" w:color="auto"/>
              <w:right w:val="single" w:sz="4" w:space="0" w:color="auto"/>
            </w:tcBorders>
            <w:vAlign w:val="center"/>
          </w:tcPr>
          <w:p w14:paraId="63F9F598"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1</w:t>
            </w:r>
          </w:p>
        </w:tc>
        <w:tc>
          <w:tcPr>
            <w:tcW w:w="1337" w:type="dxa"/>
            <w:tcBorders>
              <w:top w:val="single" w:sz="4" w:space="0" w:color="auto"/>
              <w:left w:val="single" w:sz="4" w:space="0" w:color="auto"/>
              <w:bottom w:val="single" w:sz="4" w:space="0" w:color="auto"/>
              <w:right w:val="single" w:sz="4" w:space="0" w:color="auto"/>
            </w:tcBorders>
            <w:vAlign w:val="center"/>
          </w:tcPr>
          <w:p w14:paraId="074FB35F"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潜孔钻机</w:t>
            </w:r>
          </w:p>
        </w:tc>
        <w:tc>
          <w:tcPr>
            <w:tcW w:w="891" w:type="dxa"/>
            <w:tcBorders>
              <w:top w:val="single" w:sz="4" w:space="0" w:color="auto"/>
              <w:left w:val="single" w:sz="4" w:space="0" w:color="auto"/>
              <w:bottom w:val="single" w:sz="4" w:space="0" w:color="auto"/>
              <w:right w:val="single" w:sz="4" w:space="0" w:color="auto"/>
            </w:tcBorders>
            <w:vAlign w:val="center"/>
          </w:tcPr>
          <w:p w14:paraId="17A0ED4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w:t>
            </w:r>
          </w:p>
        </w:tc>
        <w:tc>
          <w:tcPr>
            <w:tcW w:w="936" w:type="dxa"/>
            <w:tcBorders>
              <w:top w:val="single" w:sz="4" w:space="0" w:color="auto"/>
              <w:left w:val="single" w:sz="4" w:space="0" w:color="auto"/>
              <w:bottom w:val="single" w:sz="4" w:space="0" w:color="auto"/>
              <w:right w:val="single" w:sz="4" w:space="0" w:color="auto"/>
            </w:tcBorders>
            <w:vAlign w:val="center"/>
          </w:tcPr>
          <w:p w14:paraId="13BA6A6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90</w:t>
            </w:r>
          </w:p>
        </w:tc>
        <w:tc>
          <w:tcPr>
            <w:tcW w:w="700" w:type="dxa"/>
            <w:vMerge w:val="restart"/>
            <w:tcBorders>
              <w:top w:val="single" w:sz="4" w:space="0" w:color="auto"/>
              <w:left w:val="single" w:sz="4" w:space="0" w:color="auto"/>
              <w:bottom w:val="single" w:sz="4" w:space="0" w:color="auto"/>
              <w:right w:val="single" w:sz="4" w:space="0" w:color="auto"/>
            </w:tcBorders>
            <w:vAlign w:val="center"/>
          </w:tcPr>
          <w:p w14:paraId="71907CB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间歇</w:t>
            </w:r>
          </w:p>
        </w:tc>
        <w:tc>
          <w:tcPr>
            <w:tcW w:w="2328" w:type="dxa"/>
            <w:tcBorders>
              <w:top w:val="single" w:sz="4" w:space="0" w:color="auto"/>
              <w:left w:val="single" w:sz="4" w:space="0" w:color="auto"/>
              <w:bottom w:val="single" w:sz="4" w:space="0" w:color="auto"/>
              <w:right w:val="single" w:sz="4" w:space="0" w:color="auto"/>
            </w:tcBorders>
            <w:vAlign w:val="center"/>
          </w:tcPr>
          <w:p w14:paraId="4F0DFC2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选用低噪声设备</w:t>
            </w:r>
          </w:p>
        </w:tc>
        <w:tc>
          <w:tcPr>
            <w:tcW w:w="1011" w:type="dxa"/>
            <w:tcBorders>
              <w:top w:val="single" w:sz="4" w:space="0" w:color="auto"/>
              <w:left w:val="single" w:sz="4" w:space="0" w:color="auto"/>
              <w:bottom w:val="single" w:sz="4" w:space="0" w:color="auto"/>
              <w:right w:val="single" w:sz="4" w:space="0" w:color="auto"/>
            </w:tcBorders>
            <w:vAlign w:val="center"/>
          </w:tcPr>
          <w:p w14:paraId="6690606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80</w:t>
            </w:r>
          </w:p>
        </w:tc>
      </w:tr>
      <w:tr w:rsidR="00E579B9" w14:paraId="29DF3B9D" w14:textId="77777777">
        <w:tc>
          <w:tcPr>
            <w:tcW w:w="999" w:type="dxa"/>
            <w:vMerge/>
            <w:tcBorders>
              <w:top w:val="single" w:sz="4" w:space="0" w:color="auto"/>
              <w:left w:val="single" w:sz="4" w:space="0" w:color="auto"/>
              <w:bottom w:val="single" w:sz="4" w:space="0" w:color="auto"/>
              <w:right w:val="single" w:sz="4" w:space="0" w:color="auto"/>
            </w:tcBorders>
            <w:vAlign w:val="center"/>
          </w:tcPr>
          <w:p w14:paraId="0CACF6A8" w14:textId="77777777" w:rsidR="00E579B9" w:rsidRDefault="00E579B9">
            <w:pPr>
              <w:spacing w:line="360" w:lineRule="exact"/>
              <w:ind w:firstLineChars="0" w:firstLine="0"/>
              <w:rPr>
                <w:rFonts w:cs="Times New Roman"/>
                <w:kern w:val="0"/>
                <w:sz w:val="21"/>
                <w:szCs w:val="21"/>
              </w:rPr>
            </w:pPr>
          </w:p>
        </w:tc>
        <w:tc>
          <w:tcPr>
            <w:tcW w:w="744" w:type="dxa"/>
            <w:tcBorders>
              <w:top w:val="single" w:sz="4" w:space="0" w:color="auto"/>
              <w:left w:val="single" w:sz="4" w:space="0" w:color="auto"/>
              <w:bottom w:val="single" w:sz="4" w:space="0" w:color="auto"/>
              <w:right w:val="single" w:sz="4" w:space="0" w:color="auto"/>
            </w:tcBorders>
            <w:vAlign w:val="center"/>
          </w:tcPr>
          <w:p w14:paraId="627F538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2</w:t>
            </w:r>
          </w:p>
        </w:tc>
        <w:tc>
          <w:tcPr>
            <w:tcW w:w="1337" w:type="dxa"/>
            <w:tcBorders>
              <w:top w:val="single" w:sz="4" w:space="0" w:color="auto"/>
              <w:left w:val="single" w:sz="4" w:space="0" w:color="auto"/>
              <w:bottom w:val="single" w:sz="4" w:space="0" w:color="auto"/>
              <w:right w:val="single" w:sz="4" w:space="0" w:color="auto"/>
            </w:tcBorders>
            <w:vAlign w:val="center"/>
          </w:tcPr>
          <w:p w14:paraId="49B58E8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挖掘机</w:t>
            </w:r>
          </w:p>
        </w:tc>
        <w:tc>
          <w:tcPr>
            <w:tcW w:w="891" w:type="dxa"/>
            <w:tcBorders>
              <w:top w:val="single" w:sz="4" w:space="0" w:color="auto"/>
              <w:left w:val="single" w:sz="4" w:space="0" w:color="auto"/>
              <w:bottom w:val="single" w:sz="4" w:space="0" w:color="auto"/>
              <w:right w:val="single" w:sz="4" w:space="0" w:color="auto"/>
            </w:tcBorders>
            <w:vAlign w:val="center"/>
          </w:tcPr>
          <w:p w14:paraId="552AD638"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w:t>
            </w:r>
          </w:p>
        </w:tc>
        <w:tc>
          <w:tcPr>
            <w:tcW w:w="936" w:type="dxa"/>
            <w:tcBorders>
              <w:top w:val="single" w:sz="4" w:space="0" w:color="auto"/>
              <w:left w:val="single" w:sz="4" w:space="0" w:color="auto"/>
              <w:bottom w:val="single" w:sz="4" w:space="0" w:color="auto"/>
              <w:right w:val="single" w:sz="4" w:space="0" w:color="auto"/>
            </w:tcBorders>
            <w:vAlign w:val="center"/>
          </w:tcPr>
          <w:p w14:paraId="67690D1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80</w:t>
            </w:r>
          </w:p>
        </w:tc>
        <w:tc>
          <w:tcPr>
            <w:tcW w:w="700" w:type="dxa"/>
            <w:vMerge/>
            <w:tcBorders>
              <w:top w:val="single" w:sz="4" w:space="0" w:color="auto"/>
              <w:left w:val="single" w:sz="4" w:space="0" w:color="auto"/>
              <w:bottom w:val="single" w:sz="4" w:space="0" w:color="auto"/>
              <w:right w:val="single" w:sz="4" w:space="0" w:color="auto"/>
            </w:tcBorders>
            <w:vAlign w:val="center"/>
          </w:tcPr>
          <w:p w14:paraId="44290B85" w14:textId="77777777" w:rsidR="00E579B9" w:rsidRDefault="00E579B9">
            <w:pPr>
              <w:spacing w:line="360" w:lineRule="exact"/>
              <w:ind w:firstLineChars="0" w:firstLine="0"/>
              <w:jc w:val="center"/>
              <w:rPr>
                <w:rFonts w:cs="Times New Roman"/>
                <w:kern w:val="0"/>
                <w:sz w:val="21"/>
                <w:szCs w:val="21"/>
              </w:rPr>
            </w:pPr>
          </w:p>
        </w:tc>
        <w:tc>
          <w:tcPr>
            <w:tcW w:w="2328" w:type="dxa"/>
            <w:tcBorders>
              <w:top w:val="single" w:sz="4" w:space="0" w:color="auto"/>
              <w:left w:val="single" w:sz="4" w:space="0" w:color="auto"/>
              <w:bottom w:val="single" w:sz="4" w:space="0" w:color="auto"/>
              <w:right w:val="single" w:sz="4" w:space="0" w:color="auto"/>
            </w:tcBorders>
            <w:vAlign w:val="center"/>
          </w:tcPr>
          <w:p w14:paraId="75ABBC1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选用低噪声设备</w:t>
            </w:r>
          </w:p>
        </w:tc>
        <w:tc>
          <w:tcPr>
            <w:tcW w:w="1011" w:type="dxa"/>
            <w:tcBorders>
              <w:top w:val="single" w:sz="4" w:space="0" w:color="auto"/>
              <w:left w:val="single" w:sz="4" w:space="0" w:color="auto"/>
              <w:bottom w:val="single" w:sz="4" w:space="0" w:color="auto"/>
              <w:right w:val="single" w:sz="4" w:space="0" w:color="auto"/>
            </w:tcBorders>
            <w:vAlign w:val="center"/>
          </w:tcPr>
          <w:p w14:paraId="585AAE58"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75</w:t>
            </w:r>
          </w:p>
        </w:tc>
      </w:tr>
      <w:tr w:rsidR="00E579B9" w14:paraId="0474BA7D" w14:textId="77777777">
        <w:tc>
          <w:tcPr>
            <w:tcW w:w="999" w:type="dxa"/>
            <w:vMerge/>
            <w:tcBorders>
              <w:top w:val="single" w:sz="4" w:space="0" w:color="auto"/>
            </w:tcBorders>
            <w:vAlign w:val="center"/>
          </w:tcPr>
          <w:p w14:paraId="73FEC11C" w14:textId="77777777" w:rsidR="00E579B9" w:rsidRDefault="00E579B9">
            <w:pPr>
              <w:spacing w:line="360" w:lineRule="exact"/>
              <w:ind w:firstLineChars="0" w:firstLine="0"/>
              <w:rPr>
                <w:rFonts w:cs="Times New Roman"/>
                <w:kern w:val="0"/>
                <w:sz w:val="21"/>
                <w:szCs w:val="21"/>
              </w:rPr>
            </w:pPr>
          </w:p>
        </w:tc>
        <w:tc>
          <w:tcPr>
            <w:tcW w:w="744" w:type="dxa"/>
            <w:tcBorders>
              <w:top w:val="single" w:sz="4" w:space="0" w:color="auto"/>
            </w:tcBorders>
            <w:vAlign w:val="center"/>
          </w:tcPr>
          <w:p w14:paraId="0F434F87"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w:t>
            </w:r>
          </w:p>
        </w:tc>
        <w:tc>
          <w:tcPr>
            <w:tcW w:w="1337" w:type="dxa"/>
            <w:tcBorders>
              <w:top w:val="single" w:sz="4" w:space="0" w:color="auto"/>
            </w:tcBorders>
            <w:vAlign w:val="center"/>
          </w:tcPr>
          <w:p w14:paraId="244EA75D"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工具车</w:t>
            </w:r>
          </w:p>
        </w:tc>
        <w:tc>
          <w:tcPr>
            <w:tcW w:w="891" w:type="dxa"/>
            <w:tcBorders>
              <w:top w:val="single" w:sz="4" w:space="0" w:color="auto"/>
            </w:tcBorders>
            <w:vAlign w:val="center"/>
          </w:tcPr>
          <w:p w14:paraId="787772E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w:t>
            </w:r>
          </w:p>
        </w:tc>
        <w:tc>
          <w:tcPr>
            <w:tcW w:w="936" w:type="dxa"/>
            <w:tcBorders>
              <w:top w:val="single" w:sz="4" w:space="0" w:color="auto"/>
            </w:tcBorders>
            <w:vAlign w:val="center"/>
          </w:tcPr>
          <w:p w14:paraId="197FD2C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85</w:t>
            </w:r>
          </w:p>
        </w:tc>
        <w:tc>
          <w:tcPr>
            <w:tcW w:w="700" w:type="dxa"/>
            <w:vMerge/>
            <w:tcBorders>
              <w:top w:val="single" w:sz="4" w:space="0" w:color="auto"/>
            </w:tcBorders>
            <w:vAlign w:val="center"/>
          </w:tcPr>
          <w:p w14:paraId="57C5BB16" w14:textId="77777777" w:rsidR="00E579B9" w:rsidRDefault="00E579B9">
            <w:pPr>
              <w:spacing w:line="360" w:lineRule="exact"/>
              <w:ind w:firstLineChars="0" w:firstLine="0"/>
              <w:jc w:val="center"/>
              <w:rPr>
                <w:rFonts w:cs="Times New Roman"/>
                <w:kern w:val="0"/>
                <w:sz w:val="21"/>
                <w:szCs w:val="21"/>
              </w:rPr>
            </w:pPr>
          </w:p>
        </w:tc>
        <w:tc>
          <w:tcPr>
            <w:tcW w:w="2328" w:type="dxa"/>
            <w:tcBorders>
              <w:top w:val="single" w:sz="4" w:space="0" w:color="auto"/>
            </w:tcBorders>
            <w:vAlign w:val="center"/>
          </w:tcPr>
          <w:p w14:paraId="57A72DE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选用低噪声设备</w:t>
            </w:r>
          </w:p>
        </w:tc>
        <w:tc>
          <w:tcPr>
            <w:tcW w:w="1011" w:type="dxa"/>
            <w:tcBorders>
              <w:top w:val="single" w:sz="4" w:space="0" w:color="auto"/>
            </w:tcBorders>
            <w:vAlign w:val="center"/>
          </w:tcPr>
          <w:p w14:paraId="4399F5BA"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80</w:t>
            </w:r>
          </w:p>
        </w:tc>
      </w:tr>
      <w:tr w:rsidR="00E579B9" w14:paraId="7FED5E4A" w14:textId="77777777">
        <w:tc>
          <w:tcPr>
            <w:tcW w:w="999" w:type="dxa"/>
            <w:vMerge/>
            <w:vAlign w:val="center"/>
          </w:tcPr>
          <w:p w14:paraId="0D22FFB1" w14:textId="77777777" w:rsidR="00E579B9" w:rsidRDefault="00E579B9">
            <w:pPr>
              <w:spacing w:line="360" w:lineRule="exact"/>
              <w:ind w:firstLineChars="0" w:firstLine="0"/>
              <w:rPr>
                <w:rFonts w:cs="Times New Roman"/>
                <w:kern w:val="0"/>
                <w:sz w:val="21"/>
                <w:szCs w:val="21"/>
              </w:rPr>
            </w:pPr>
          </w:p>
        </w:tc>
        <w:tc>
          <w:tcPr>
            <w:tcW w:w="744" w:type="dxa"/>
            <w:vAlign w:val="center"/>
          </w:tcPr>
          <w:p w14:paraId="12B7D83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w:t>
            </w:r>
          </w:p>
        </w:tc>
        <w:tc>
          <w:tcPr>
            <w:tcW w:w="1337" w:type="dxa"/>
            <w:vAlign w:val="center"/>
          </w:tcPr>
          <w:p w14:paraId="31EE37D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装载机</w:t>
            </w:r>
          </w:p>
        </w:tc>
        <w:tc>
          <w:tcPr>
            <w:tcW w:w="891" w:type="dxa"/>
            <w:vAlign w:val="center"/>
          </w:tcPr>
          <w:p w14:paraId="1AE194C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w:t>
            </w:r>
          </w:p>
        </w:tc>
        <w:tc>
          <w:tcPr>
            <w:tcW w:w="936" w:type="dxa"/>
            <w:vAlign w:val="center"/>
          </w:tcPr>
          <w:p w14:paraId="5B15E71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80</w:t>
            </w:r>
          </w:p>
        </w:tc>
        <w:tc>
          <w:tcPr>
            <w:tcW w:w="700" w:type="dxa"/>
            <w:vMerge/>
            <w:vAlign w:val="center"/>
          </w:tcPr>
          <w:p w14:paraId="72504CA7" w14:textId="77777777" w:rsidR="00E579B9" w:rsidRDefault="00E579B9">
            <w:pPr>
              <w:spacing w:line="360" w:lineRule="exact"/>
              <w:ind w:firstLineChars="0" w:firstLine="0"/>
              <w:jc w:val="center"/>
              <w:rPr>
                <w:rFonts w:cs="Times New Roman"/>
                <w:kern w:val="0"/>
                <w:sz w:val="21"/>
                <w:szCs w:val="21"/>
              </w:rPr>
            </w:pPr>
          </w:p>
        </w:tc>
        <w:tc>
          <w:tcPr>
            <w:tcW w:w="2328" w:type="dxa"/>
            <w:vAlign w:val="center"/>
          </w:tcPr>
          <w:p w14:paraId="0D998BF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选用低噪声设备</w:t>
            </w:r>
          </w:p>
        </w:tc>
        <w:tc>
          <w:tcPr>
            <w:tcW w:w="1011" w:type="dxa"/>
            <w:vAlign w:val="center"/>
          </w:tcPr>
          <w:p w14:paraId="569A7E55"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75</w:t>
            </w:r>
          </w:p>
        </w:tc>
      </w:tr>
      <w:tr w:rsidR="00E579B9" w14:paraId="4E170D2B" w14:textId="77777777">
        <w:tc>
          <w:tcPr>
            <w:tcW w:w="999" w:type="dxa"/>
            <w:vMerge/>
            <w:vAlign w:val="center"/>
          </w:tcPr>
          <w:p w14:paraId="50472DCD" w14:textId="77777777" w:rsidR="00E579B9" w:rsidRDefault="00E579B9">
            <w:pPr>
              <w:spacing w:line="360" w:lineRule="exact"/>
              <w:ind w:firstLineChars="0" w:firstLine="0"/>
              <w:rPr>
                <w:rFonts w:cs="Times New Roman"/>
                <w:kern w:val="0"/>
                <w:sz w:val="21"/>
                <w:szCs w:val="21"/>
              </w:rPr>
            </w:pPr>
          </w:p>
        </w:tc>
        <w:tc>
          <w:tcPr>
            <w:tcW w:w="744" w:type="dxa"/>
            <w:vAlign w:val="center"/>
          </w:tcPr>
          <w:p w14:paraId="55B4E11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w:t>
            </w:r>
          </w:p>
        </w:tc>
        <w:tc>
          <w:tcPr>
            <w:tcW w:w="1337" w:type="dxa"/>
            <w:vAlign w:val="center"/>
          </w:tcPr>
          <w:p w14:paraId="172D3F53"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空压机</w:t>
            </w:r>
          </w:p>
        </w:tc>
        <w:tc>
          <w:tcPr>
            <w:tcW w:w="891" w:type="dxa"/>
            <w:vAlign w:val="center"/>
          </w:tcPr>
          <w:p w14:paraId="3DE31D8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1</w:t>
            </w:r>
          </w:p>
        </w:tc>
        <w:tc>
          <w:tcPr>
            <w:tcW w:w="936" w:type="dxa"/>
            <w:vAlign w:val="center"/>
          </w:tcPr>
          <w:p w14:paraId="4CF1B89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85</w:t>
            </w:r>
          </w:p>
        </w:tc>
        <w:tc>
          <w:tcPr>
            <w:tcW w:w="700" w:type="dxa"/>
            <w:vMerge/>
            <w:vAlign w:val="center"/>
          </w:tcPr>
          <w:p w14:paraId="704330D3" w14:textId="77777777" w:rsidR="00E579B9" w:rsidRDefault="00E579B9">
            <w:pPr>
              <w:spacing w:line="360" w:lineRule="exact"/>
              <w:ind w:firstLineChars="0" w:firstLine="0"/>
              <w:jc w:val="center"/>
              <w:rPr>
                <w:rFonts w:cs="Times New Roman"/>
                <w:kern w:val="0"/>
                <w:sz w:val="21"/>
                <w:szCs w:val="21"/>
              </w:rPr>
            </w:pPr>
          </w:p>
        </w:tc>
        <w:tc>
          <w:tcPr>
            <w:tcW w:w="2328" w:type="dxa"/>
            <w:vAlign w:val="center"/>
          </w:tcPr>
          <w:p w14:paraId="5CB502CA"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消声</w:t>
            </w:r>
          </w:p>
        </w:tc>
        <w:tc>
          <w:tcPr>
            <w:tcW w:w="1011" w:type="dxa"/>
            <w:vAlign w:val="center"/>
          </w:tcPr>
          <w:p w14:paraId="2738EE34"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7</w:t>
            </w:r>
            <w:r>
              <w:rPr>
                <w:rFonts w:cs="Times New Roman" w:hint="eastAsia"/>
                <w:kern w:val="0"/>
                <w:sz w:val="21"/>
                <w:szCs w:val="21"/>
              </w:rPr>
              <w:t>5</w:t>
            </w:r>
          </w:p>
        </w:tc>
      </w:tr>
      <w:tr w:rsidR="00E579B9" w14:paraId="0229B7CF" w14:textId="77777777">
        <w:tc>
          <w:tcPr>
            <w:tcW w:w="999" w:type="dxa"/>
            <w:vMerge/>
            <w:vAlign w:val="center"/>
          </w:tcPr>
          <w:p w14:paraId="65610103" w14:textId="77777777" w:rsidR="00E579B9" w:rsidRDefault="00E579B9">
            <w:pPr>
              <w:spacing w:line="360" w:lineRule="exact"/>
              <w:ind w:firstLineChars="0" w:firstLine="0"/>
              <w:rPr>
                <w:rFonts w:cs="Times New Roman"/>
                <w:kern w:val="0"/>
                <w:sz w:val="21"/>
                <w:szCs w:val="21"/>
              </w:rPr>
            </w:pPr>
          </w:p>
        </w:tc>
        <w:tc>
          <w:tcPr>
            <w:tcW w:w="744" w:type="dxa"/>
            <w:vAlign w:val="center"/>
          </w:tcPr>
          <w:p w14:paraId="5570BA7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w:t>
            </w:r>
          </w:p>
        </w:tc>
        <w:tc>
          <w:tcPr>
            <w:tcW w:w="1337" w:type="dxa"/>
            <w:vAlign w:val="center"/>
          </w:tcPr>
          <w:p w14:paraId="60AF248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自卸汽车</w:t>
            </w:r>
          </w:p>
        </w:tc>
        <w:tc>
          <w:tcPr>
            <w:tcW w:w="891" w:type="dxa"/>
            <w:vAlign w:val="center"/>
          </w:tcPr>
          <w:p w14:paraId="3A1A1894"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9</w:t>
            </w:r>
          </w:p>
        </w:tc>
        <w:tc>
          <w:tcPr>
            <w:tcW w:w="936" w:type="dxa"/>
            <w:vAlign w:val="center"/>
          </w:tcPr>
          <w:p w14:paraId="162DBA1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80~90</w:t>
            </w:r>
          </w:p>
        </w:tc>
        <w:tc>
          <w:tcPr>
            <w:tcW w:w="700" w:type="dxa"/>
            <w:vMerge/>
            <w:vAlign w:val="center"/>
          </w:tcPr>
          <w:p w14:paraId="7347B88C" w14:textId="77777777" w:rsidR="00E579B9" w:rsidRDefault="00E579B9">
            <w:pPr>
              <w:spacing w:line="360" w:lineRule="exact"/>
              <w:ind w:firstLineChars="0" w:firstLine="0"/>
              <w:jc w:val="center"/>
              <w:rPr>
                <w:rFonts w:cs="Times New Roman"/>
                <w:kern w:val="0"/>
                <w:sz w:val="21"/>
                <w:szCs w:val="21"/>
              </w:rPr>
            </w:pPr>
          </w:p>
        </w:tc>
        <w:tc>
          <w:tcPr>
            <w:tcW w:w="2328" w:type="dxa"/>
            <w:vAlign w:val="center"/>
          </w:tcPr>
          <w:p w14:paraId="217FD0A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减速、禁鸣</w:t>
            </w:r>
          </w:p>
        </w:tc>
        <w:tc>
          <w:tcPr>
            <w:tcW w:w="1011" w:type="dxa"/>
            <w:vAlign w:val="center"/>
          </w:tcPr>
          <w:p w14:paraId="3F74E2B3"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70~80</w:t>
            </w:r>
          </w:p>
        </w:tc>
      </w:tr>
    </w:tbl>
    <w:p w14:paraId="157D3E51" w14:textId="77777777" w:rsidR="00E579B9" w:rsidRDefault="006A1398">
      <w:pPr>
        <w:pStyle w:val="1Char"/>
        <w:spacing w:line="520" w:lineRule="exact"/>
        <w:ind w:firstLine="480"/>
        <w:rPr>
          <w:szCs w:val="24"/>
        </w:rPr>
      </w:pPr>
      <w:r>
        <w:rPr>
          <w:rFonts w:hint="eastAsia"/>
          <w:szCs w:val="24"/>
        </w:rPr>
        <w:t>由于采区作业机械设备具有移动性，其大多属非固定点声源，评价预测取</w:t>
      </w:r>
      <w:r>
        <w:rPr>
          <w:rFonts w:hint="eastAsia"/>
          <w:szCs w:val="24"/>
        </w:rPr>
        <w:lastRenderedPageBreak/>
        <w:t>最不利状况下，这些机械设备同时在露采区边缘作业时对最近敏感点的影响。</w:t>
      </w:r>
      <w:r>
        <w:rPr>
          <w:bCs/>
          <w:szCs w:val="24"/>
        </w:rPr>
        <w:t>根据《环境影响评价技术导则</w:t>
      </w:r>
      <w:r>
        <w:rPr>
          <w:bCs/>
          <w:szCs w:val="24"/>
        </w:rPr>
        <w:t>-</w:t>
      </w:r>
      <w:r>
        <w:rPr>
          <w:bCs/>
          <w:szCs w:val="24"/>
        </w:rPr>
        <w:t>声环境》（</w:t>
      </w:r>
      <w:r>
        <w:rPr>
          <w:bCs/>
          <w:szCs w:val="24"/>
        </w:rPr>
        <w:t>HJ2.4-2009</w:t>
      </w:r>
      <w:r>
        <w:rPr>
          <w:bCs/>
          <w:szCs w:val="24"/>
        </w:rPr>
        <w:t>）</w:t>
      </w:r>
      <w:r>
        <w:rPr>
          <w:rFonts w:hint="eastAsia"/>
          <w:bCs/>
          <w:szCs w:val="24"/>
        </w:rPr>
        <w:t>，</w:t>
      </w:r>
      <w:r>
        <w:rPr>
          <w:bCs/>
          <w:szCs w:val="24"/>
        </w:rPr>
        <w:t>本项目噪声影响评价选用点源的噪声预测模式，</w:t>
      </w:r>
      <w:r>
        <w:rPr>
          <w:rFonts w:hint="eastAsia"/>
          <w:bCs/>
          <w:szCs w:val="24"/>
        </w:rPr>
        <w:t>且声源处于自由声场</w:t>
      </w:r>
      <w:r>
        <w:rPr>
          <w:bCs/>
          <w:szCs w:val="24"/>
        </w:rPr>
        <w:t>。</w:t>
      </w:r>
      <w:r>
        <w:rPr>
          <w:szCs w:val="24"/>
        </w:rPr>
        <w:t>其预测模式如下：</w:t>
      </w:r>
    </w:p>
    <w:p w14:paraId="00CC7329" w14:textId="77777777" w:rsidR="00E579B9" w:rsidRDefault="006A1398">
      <w:pPr>
        <w:pStyle w:val="1Char"/>
        <w:spacing w:beforeLines="50" w:before="156" w:afterLines="50" w:after="156" w:line="520" w:lineRule="exact"/>
        <w:ind w:firstLineChars="900" w:firstLine="2160"/>
        <w:rPr>
          <w:szCs w:val="24"/>
        </w:rPr>
      </w:pPr>
      <w:r>
        <w:rPr>
          <w:szCs w:val="24"/>
        </w:rPr>
        <w:t>L</w:t>
      </w:r>
      <w:r>
        <w:rPr>
          <w:szCs w:val="24"/>
          <w:vertAlign w:val="subscript"/>
        </w:rPr>
        <w:t>2</w:t>
      </w:r>
      <w:r>
        <w:rPr>
          <w:szCs w:val="24"/>
        </w:rPr>
        <w:t>=L</w:t>
      </w:r>
      <w:r>
        <w:rPr>
          <w:szCs w:val="24"/>
          <w:vertAlign w:val="subscript"/>
        </w:rPr>
        <w:t>1</w:t>
      </w:r>
      <w:r>
        <w:rPr>
          <w:szCs w:val="24"/>
        </w:rPr>
        <w:t>-20lg</w:t>
      </w:r>
      <w:r>
        <w:rPr>
          <w:szCs w:val="24"/>
        </w:rPr>
        <w:t>（</w:t>
      </w:r>
      <w:r>
        <w:rPr>
          <w:szCs w:val="24"/>
        </w:rPr>
        <w:t>r</w:t>
      </w:r>
      <w:r>
        <w:rPr>
          <w:szCs w:val="24"/>
          <w:vertAlign w:val="subscript"/>
        </w:rPr>
        <w:t>2</w:t>
      </w:r>
      <w:r>
        <w:rPr>
          <w:szCs w:val="24"/>
        </w:rPr>
        <w:t>/r</w:t>
      </w:r>
      <w:r>
        <w:rPr>
          <w:szCs w:val="24"/>
          <w:vertAlign w:val="subscript"/>
        </w:rPr>
        <w:t>1</w:t>
      </w:r>
      <w:r>
        <w:rPr>
          <w:szCs w:val="24"/>
        </w:rPr>
        <w:t>）</w:t>
      </w:r>
    </w:p>
    <w:p w14:paraId="3E6AAC2F" w14:textId="77777777" w:rsidR="00E579B9" w:rsidRDefault="006A1398">
      <w:pPr>
        <w:pStyle w:val="1Char"/>
        <w:spacing w:line="520" w:lineRule="exact"/>
        <w:ind w:firstLine="480"/>
        <w:rPr>
          <w:szCs w:val="24"/>
        </w:rPr>
      </w:pPr>
      <w:r>
        <w:rPr>
          <w:szCs w:val="24"/>
        </w:rPr>
        <w:t>式中：</w:t>
      </w:r>
      <w:r>
        <w:rPr>
          <w:szCs w:val="24"/>
        </w:rPr>
        <w:t>r</w:t>
      </w:r>
      <w:r>
        <w:rPr>
          <w:szCs w:val="24"/>
          <w:vertAlign w:val="subscript"/>
        </w:rPr>
        <w:t>1</w:t>
      </w:r>
      <w:r>
        <w:rPr>
          <w:szCs w:val="24"/>
        </w:rPr>
        <w:t>、</w:t>
      </w:r>
      <w:r>
        <w:rPr>
          <w:szCs w:val="24"/>
        </w:rPr>
        <w:t>r</w:t>
      </w:r>
      <w:r>
        <w:rPr>
          <w:szCs w:val="24"/>
          <w:vertAlign w:val="subscript"/>
        </w:rPr>
        <w:t>2</w:t>
      </w:r>
      <w:proofErr w:type="gramStart"/>
      <w:r>
        <w:rPr>
          <w:szCs w:val="24"/>
        </w:rPr>
        <w:t>—</w:t>
      </w:r>
      <w:r>
        <w:rPr>
          <w:szCs w:val="24"/>
        </w:rPr>
        <w:t>分别</w:t>
      </w:r>
      <w:proofErr w:type="gramEnd"/>
      <w:r>
        <w:rPr>
          <w:szCs w:val="24"/>
        </w:rPr>
        <w:t>为距声源的距离（</w:t>
      </w:r>
      <w:r>
        <w:rPr>
          <w:szCs w:val="24"/>
        </w:rPr>
        <w:t>m</w:t>
      </w:r>
      <w:r>
        <w:rPr>
          <w:szCs w:val="24"/>
        </w:rPr>
        <w:t>）；</w:t>
      </w:r>
    </w:p>
    <w:p w14:paraId="1D5C5B13" w14:textId="77777777" w:rsidR="00E579B9" w:rsidRDefault="006A1398">
      <w:pPr>
        <w:pStyle w:val="1Char"/>
        <w:spacing w:line="520" w:lineRule="exact"/>
        <w:ind w:firstLineChars="494" w:firstLine="1186"/>
        <w:rPr>
          <w:szCs w:val="24"/>
        </w:rPr>
      </w:pPr>
      <w:r>
        <w:rPr>
          <w:szCs w:val="24"/>
        </w:rPr>
        <w:t>L</w:t>
      </w:r>
      <w:r>
        <w:rPr>
          <w:szCs w:val="24"/>
          <w:vertAlign w:val="subscript"/>
        </w:rPr>
        <w:t>1</w:t>
      </w:r>
      <w:r>
        <w:rPr>
          <w:szCs w:val="24"/>
        </w:rPr>
        <w:t>、</w:t>
      </w:r>
      <w:r>
        <w:rPr>
          <w:szCs w:val="24"/>
        </w:rPr>
        <w:t>L</w:t>
      </w:r>
      <w:r>
        <w:rPr>
          <w:szCs w:val="24"/>
          <w:vertAlign w:val="subscript"/>
        </w:rPr>
        <w:t>2</w:t>
      </w:r>
      <w:proofErr w:type="gramStart"/>
      <w:r>
        <w:rPr>
          <w:szCs w:val="24"/>
        </w:rPr>
        <w:t>—</w:t>
      </w:r>
      <w:r>
        <w:rPr>
          <w:szCs w:val="24"/>
        </w:rPr>
        <w:t>分别</w:t>
      </w:r>
      <w:proofErr w:type="gramEnd"/>
      <w:r>
        <w:rPr>
          <w:szCs w:val="24"/>
        </w:rPr>
        <w:t>为</w:t>
      </w:r>
      <w:r>
        <w:rPr>
          <w:szCs w:val="24"/>
        </w:rPr>
        <w:t>r</w:t>
      </w:r>
      <w:r>
        <w:rPr>
          <w:szCs w:val="24"/>
          <w:vertAlign w:val="subscript"/>
        </w:rPr>
        <w:t>1</w:t>
      </w:r>
      <w:r>
        <w:rPr>
          <w:szCs w:val="24"/>
        </w:rPr>
        <w:t>与</w:t>
      </w:r>
      <w:r>
        <w:rPr>
          <w:szCs w:val="24"/>
        </w:rPr>
        <w:t>r</w:t>
      </w:r>
      <w:r>
        <w:rPr>
          <w:szCs w:val="24"/>
          <w:vertAlign w:val="subscript"/>
        </w:rPr>
        <w:t>2</w:t>
      </w:r>
      <w:r>
        <w:rPr>
          <w:szCs w:val="24"/>
        </w:rPr>
        <w:t>处的等效声级，</w:t>
      </w:r>
      <w:r>
        <w:rPr>
          <w:szCs w:val="24"/>
        </w:rPr>
        <w:t>dB(A)</w:t>
      </w:r>
      <w:r>
        <w:rPr>
          <w:szCs w:val="24"/>
        </w:rPr>
        <w:t>；</w:t>
      </w:r>
    </w:p>
    <w:p w14:paraId="7B1E983A" w14:textId="77777777" w:rsidR="00E579B9" w:rsidRDefault="006A1398">
      <w:pPr>
        <w:pStyle w:val="1Char"/>
        <w:spacing w:line="520" w:lineRule="exact"/>
        <w:ind w:firstLine="480"/>
        <w:rPr>
          <w:szCs w:val="24"/>
        </w:rPr>
      </w:pPr>
      <w:r>
        <w:rPr>
          <w:szCs w:val="24"/>
        </w:rPr>
        <w:t>在同一</w:t>
      </w:r>
      <w:proofErr w:type="gramStart"/>
      <w:r>
        <w:rPr>
          <w:szCs w:val="24"/>
        </w:rPr>
        <w:t>受声点</w:t>
      </w:r>
      <w:proofErr w:type="gramEnd"/>
      <w:r>
        <w:rPr>
          <w:szCs w:val="24"/>
        </w:rPr>
        <w:t>接受来自多个点声源的声能，可通过叠加得出</w:t>
      </w:r>
      <w:proofErr w:type="gramStart"/>
      <w:r>
        <w:rPr>
          <w:szCs w:val="24"/>
        </w:rPr>
        <w:t>该受声点的</w:t>
      </w:r>
      <w:proofErr w:type="gramEnd"/>
      <w:r>
        <w:rPr>
          <w:szCs w:val="24"/>
        </w:rPr>
        <w:t>声压级。噪声叠加公式如下：</w:t>
      </w:r>
    </w:p>
    <w:p w14:paraId="5FC2EF57" w14:textId="77777777" w:rsidR="00E579B9" w:rsidRDefault="006A1398">
      <w:pPr>
        <w:pStyle w:val="110"/>
        <w:adjustRightInd/>
        <w:spacing w:beforeLines="50" w:before="156" w:afterLines="50" w:after="156" w:line="520" w:lineRule="exact"/>
        <w:ind w:firstLineChars="1250" w:firstLine="3000"/>
        <w:rPr>
          <w:rFonts w:ascii="Times New Roman"/>
          <w:sz w:val="24"/>
          <w:szCs w:val="24"/>
        </w:rPr>
      </w:pPr>
      <w:r>
        <w:rPr>
          <w:rFonts w:ascii="Times New Roman"/>
          <w:position w:val="-28"/>
          <w:sz w:val="24"/>
          <w:szCs w:val="24"/>
        </w:rPr>
        <w:object w:dxaOrig="1798" w:dyaOrig="733" w14:anchorId="640C7E3B">
          <v:shape id="_x0000_i1035" type="#_x0000_t75" style="width:90.15pt;height:36.85pt" o:ole="">
            <v:imagedata r:id="rId51" o:title=""/>
          </v:shape>
          <o:OLEObject Type="Embed" ProgID="Equation.3" ShapeID="_x0000_i1035" DrawAspect="Content" ObjectID="_1644327289" r:id="rId52"/>
        </w:object>
      </w:r>
    </w:p>
    <w:p w14:paraId="73DFA0EB" w14:textId="77777777" w:rsidR="00E579B9" w:rsidRDefault="006A1398">
      <w:pPr>
        <w:pStyle w:val="110"/>
        <w:adjustRightInd/>
        <w:spacing w:line="520" w:lineRule="exact"/>
        <w:ind w:firstLine="480"/>
        <w:rPr>
          <w:rFonts w:ascii="Times New Roman"/>
          <w:sz w:val="24"/>
          <w:szCs w:val="24"/>
        </w:rPr>
      </w:pPr>
      <w:r>
        <w:rPr>
          <w:rFonts w:ascii="Times New Roman"/>
          <w:sz w:val="24"/>
          <w:szCs w:val="24"/>
        </w:rPr>
        <w:t>式中：</w:t>
      </w:r>
      <w:r>
        <w:rPr>
          <w:rFonts w:ascii="Times New Roman"/>
          <w:sz w:val="24"/>
          <w:szCs w:val="24"/>
        </w:rPr>
        <w:t>L—</w:t>
      </w:r>
      <w:r>
        <w:rPr>
          <w:rFonts w:ascii="Times New Roman"/>
          <w:sz w:val="24"/>
          <w:szCs w:val="24"/>
        </w:rPr>
        <w:t>某点总声压级，</w:t>
      </w:r>
      <w:r>
        <w:rPr>
          <w:rFonts w:ascii="Times New Roman"/>
          <w:sz w:val="24"/>
          <w:szCs w:val="24"/>
        </w:rPr>
        <w:t>dB(A)</w:t>
      </w:r>
      <w:r>
        <w:rPr>
          <w:rFonts w:ascii="Times New Roman"/>
          <w:sz w:val="24"/>
          <w:szCs w:val="24"/>
        </w:rPr>
        <w:t>；</w:t>
      </w:r>
    </w:p>
    <w:p w14:paraId="652D3F12" w14:textId="77777777" w:rsidR="00E579B9" w:rsidRDefault="006A1398">
      <w:pPr>
        <w:pStyle w:val="110"/>
        <w:adjustRightInd/>
        <w:spacing w:line="520" w:lineRule="exact"/>
        <w:ind w:firstLineChars="500" w:firstLine="1200"/>
        <w:rPr>
          <w:rFonts w:ascii="Times New Roman"/>
          <w:sz w:val="24"/>
          <w:szCs w:val="24"/>
        </w:rPr>
      </w:pPr>
      <w:r>
        <w:rPr>
          <w:rFonts w:ascii="Times New Roman"/>
          <w:sz w:val="24"/>
          <w:szCs w:val="24"/>
        </w:rPr>
        <w:t>L</w:t>
      </w:r>
      <w:r>
        <w:rPr>
          <w:rFonts w:ascii="Times New Roman"/>
          <w:sz w:val="24"/>
          <w:szCs w:val="24"/>
          <w:vertAlign w:val="subscript"/>
        </w:rPr>
        <w:t>i</w:t>
      </w:r>
      <w:r>
        <w:rPr>
          <w:rFonts w:ascii="Times New Roman"/>
          <w:sz w:val="24"/>
          <w:szCs w:val="24"/>
        </w:rPr>
        <w:t>—</w:t>
      </w:r>
      <w:r>
        <w:rPr>
          <w:rFonts w:ascii="Times New Roman"/>
          <w:sz w:val="24"/>
          <w:szCs w:val="24"/>
        </w:rPr>
        <w:t>第</w:t>
      </w:r>
      <w:proofErr w:type="spellStart"/>
      <w:r>
        <w:rPr>
          <w:rFonts w:ascii="Times New Roman"/>
          <w:sz w:val="24"/>
          <w:szCs w:val="24"/>
        </w:rPr>
        <w:t>i</w:t>
      </w:r>
      <w:proofErr w:type="spellEnd"/>
      <w:proofErr w:type="gramStart"/>
      <w:r>
        <w:rPr>
          <w:rFonts w:ascii="Times New Roman"/>
          <w:sz w:val="24"/>
          <w:szCs w:val="24"/>
        </w:rPr>
        <w:t>个</w:t>
      </w:r>
      <w:proofErr w:type="gramEnd"/>
      <w:r>
        <w:rPr>
          <w:rFonts w:ascii="Times New Roman"/>
          <w:sz w:val="24"/>
          <w:szCs w:val="24"/>
        </w:rPr>
        <w:t>声源的噪声值，</w:t>
      </w:r>
      <w:r>
        <w:rPr>
          <w:rFonts w:ascii="Times New Roman"/>
          <w:sz w:val="24"/>
          <w:szCs w:val="24"/>
        </w:rPr>
        <w:t>dB(A)</w:t>
      </w:r>
      <w:r>
        <w:rPr>
          <w:rFonts w:ascii="Times New Roman"/>
          <w:sz w:val="24"/>
          <w:szCs w:val="24"/>
        </w:rPr>
        <w:t>；</w:t>
      </w:r>
    </w:p>
    <w:p w14:paraId="13D97E5E" w14:textId="77777777" w:rsidR="00E579B9" w:rsidRDefault="006A1398">
      <w:pPr>
        <w:pStyle w:val="226"/>
        <w:ind w:firstLineChars="500" w:firstLine="1200"/>
        <w:rPr>
          <w:rFonts w:cs="Times New Roman"/>
          <w:kern w:val="0"/>
        </w:rPr>
      </w:pPr>
      <w:r>
        <w:rPr>
          <w:rFonts w:cs="Times New Roman"/>
        </w:rPr>
        <w:t>n—</w:t>
      </w:r>
      <w:r>
        <w:rPr>
          <w:rFonts w:cs="Times New Roman"/>
        </w:rPr>
        <w:t>声源个数。</w:t>
      </w:r>
    </w:p>
    <w:p w14:paraId="19D1940C" w14:textId="77777777" w:rsidR="00E579B9" w:rsidRDefault="006A1398">
      <w:pPr>
        <w:pStyle w:val="226"/>
        <w:rPr>
          <w:rFonts w:cs="Times New Roman"/>
          <w:kern w:val="0"/>
        </w:rPr>
      </w:pPr>
      <w:r>
        <w:rPr>
          <w:rFonts w:cs="Times New Roman" w:hint="eastAsia"/>
          <w:kern w:val="0"/>
        </w:rPr>
        <w:t>预测结果见表</w:t>
      </w:r>
      <w:r>
        <w:rPr>
          <w:rFonts w:cs="Times New Roman" w:hint="eastAsia"/>
          <w:kern w:val="0"/>
        </w:rPr>
        <w:t>5.2-13</w:t>
      </w:r>
      <w:r>
        <w:rPr>
          <w:rFonts w:cs="Times New Roman" w:hint="eastAsia"/>
          <w:kern w:val="0"/>
        </w:rPr>
        <w:t>。</w:t>
      </w:r>
    </w:p>
    <w:p w14:paraId="1829572B" w14:textId="4E12D115" w:rsidR="00E579B9" w:rsidRDefault="006A1398">
      <w:pPr>
        <w:pStyle w:val="226"/>
        <w:jc w:val="center"/>
        <w:rPr>
          <w:rFonts w:eastAsia="黑体" w:cs="Times New Roman"/>
        </w:rPr>
      </w:pPr>
      <w:r>
        <w:rPr>
          <w:rFonts w:eastAsia="黑体" w:cs="Times New Roman" w:hint="eastAsia"/>
        </w:rPr>
        <w:t>表</w:t>
      </w:r>
      <w:r>
        <w:rPr>
          <w:rFonts w:eastAsia="黑体" w:cs="Times New Roman" w:hint="eastAsia"/>
        </w:rPr>
        <w:t>5.2-13</w:t>
      </w:r>
      <w:r>
        <w:rPr>
          <w:rFonts w:eastAsia="黑体" w:cs="Times New Roman" w:hint="eastAsia"/>
        </w:rPr>
        <w:t>主要噪声源及衰减情况一览表</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991"/>
        <w:gridCol w:w="993"/>
        <w:gridCol w:w="1007"/>
        <w:gridCol w:w="1249"/>
        <w:gridCol w:w="1249"/>
        <w:gridCol w:w="1038"/>
        <w:gridCol w:w="1034"/>
      </w:tblGrid>
      <w:tr w:rsidR="00E579B9" w14:paraId="50459318" w14:textId="77777777">
        <w:trPr>
          <w:trHeight w:val="285"/>
        </w:trPr>
        <w:tc>
          <w:tcPr>
            <w:tcW w:w="1385" w:type="dxa"/>
            <w:vMerge w:val="restart"/>
            <w:vAlign w:val="center"/>
          </w:tcPr>
          <w:p w14:paraId="0501D90D"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设备名称</w:t>
            </w:r>
          </w:p>
        </w:tc>
        <w:tc>
          <w:tcPr>
            <w:tcW w:w="7561" w:type="dxa"/>
            <w:gridSpan w:val="7"/>
            <w:vAlign w:val="center"/>
          </w:tcPr>
          <w:p w14:paraId="32F085B1"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不同距离处噪声值</w:t>
            </w:r>
            <w:r>
              <w:rPr>
                <w:rFonts w:cs="Times New Roman" w:hint="eastAsia"/>
                <w:kern w:val="0"/>
                <w:sz w:val="21"/>
                <w:szCs w:val="21"/>
              </w:rPr>
              <w:t>dB</w:t>
            </w:r>
            <w:r>
              <w:rPr>
                <w:rFonts w:cs="Times New Roman" w:hint="eastAsia"/>
                <w:kern w:val="0"/>
                <w:sz w:val="21"/>
                <w:szCs w:val="21"/>
              </w:rPr>
              <w:t>（</w:t>
            </w:r>
            <w:r>
              <w:rPr>
                <w:rFonts w:cs="Times New Roman" w:hint="eastAsia"/>
                <w:kern w:val="0"/>
                <w:sz w:val="21"/>
                <w:szCs w:val="21"/>
              </w:rPr>
              <w:t>A</w:t>
            </w:r>
            <w:r>
              <w:rPr>
                <w:rFonts w:cs="Times New Roman" w:hint="eastAsia"/>
                <w:kern w:val="0"/>
                <w:sz w:val="21"/>
                <w:szCs w:val="21"/>
              </w:rPr>
              <w:t>）</w:t>
            </w:r>
          </w:p>
        </w:tc>
      </w:tr>
      <w:tr w:rsidR="00E579B9" w14:paraId="48437548" w14:textId="77777777">
        <w:trPr>
          <w:trHeight w:val="285"/>
        </w:trPr>
        <w:tc>
          <w:tcPr>
            <w:tcW w:w="1385" w:type="dxa"/>
            <w:vMerge/>
            <w:vAlign w:val="center"/>
          </w:tcPr>
          <w:p w14:paraId="1828D79D" w14:textId="77777777" w:rsidR="00E579B9" w:rsidRDefault="00E579B9">
            <w:pPr>
              <w:spacing w:line="360" w:lineRule="exact"/>
              <w:ind w:firstLineChars="0" w:firstLine="0"/>
              <w:jc w:val="center"/>
              <w:rPr>
                <w:rFonts w:cs="Times New Roman"/>
                <w:kern w:val="0"/>
                <w:sz w:val="21"/>
                <w:szCs w:val="21"/>
              </w:rPr>
            </w:pPr>
          </w:p>
        </w:tc>
        <w:tc>
          <w:tcPr>
            <w:tcW w:w="991" w:type="dxa"/>
            <w:vAlign w:val="center"/>
          </w:tcPr>
          <w:p w14:paraId="71E457F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w:t>
            </w:r>
            <w:r>
              <w:rPr>
                <w:rFonts w:cs="Times New Roman" w:hint="eastAsia"/>
                <w:kern w:val="0"/>
                <w:sz w:val="21"/>
                <w:szCs w:val="21"/>
              </w:rPr>
              <w:t>m</w:t>
            </w:r>
          </w:p>
        </w:tc>
        <w:tc>
          <w:tcPr>
            <w:tcW w:w="993" w:type="dxa"/>
            <w:vAlign w:val="center"/>
          </w:tcPr>
          <w:p w14:paraId="60102FF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10</w:t>
            </w:r>
            <w:r>
              <w:rPr>
                <w:rFonts w:cs="Times New Roman" w:hint="eastAsia"/>
                <w:kern w:val="0"/>
                <w:sz w:val="21"/>
                <w:szCs w:val="21"/>
              </w:rPr>
              <w:t>m</w:t>
            </w:r>
          </w:p>
        </w:tc>
        <w:tc>
          <w:tcPr>
            <w:tcW w:w="1007" w:type="dxa"/>
            <w:vAlign w:val="center"/>
          </w:tcPr>
          <w:p w14:paraId="680E0E3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20</w:t>
            </w:r>
            <w:r>
              <w:rPr>
                <w:rFonts w:cs="Times New Roman" w:hint="eastAsia"/>
                <w:kern w:val="0"/>
                <w:sz w:val="21"/>
                <w:szCs w:val="21"/>
              </w:rPr>
              <w:t>m</w:t>
            </w:r>
          </w:p>
        </w:tc>
        <w:tc>
          <w:tcPr>
            <w:tcW w:w="1249" w:type="dxa"/>
            <w:vAlign w:val="center"/>
          </w:tcPr>
          <w:p w14:paraId="7E4375B8"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30</w:t>
            </w:r>
            <w:r>
              <w:rPr>
                <w:rFonts w:cs="Times New Roman" w:hint="eastAsia"/>
                <w:kern w:val="0"/>
                <w:sz w:val="21"/>
                <w:szCs w:val="21"/>
              </w:rPr>
              <w:t>m</w:t>
            </w:r>
          </w:p>
        </w:tc>
        <w:tc>
          <w:tcPr>
            <w:tcW w:w="1249" w:type="dxa"/>
            <w:vAlign w:val="center"/>
          </w:tcPr>
          <w:p w14:paraId="7D0800B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50</w:t>
            </w:r>
            <w:r>
              <w:rPr>
                <w:rFonts w:cs="Times New Roman" w:hint="eastAsia"/>
                <w:kern w:val="0"/>
                <w:sz w:val="21"/>
                <w:szCs w:val="21"/>
              </w:rPr>
              <w:t>m</w:t>
            </w:r>
          </w:p>
        </w:tc>
        <w:tc>
          <w:tcPr>
            <w:tcW w:w="1038" w:type="dxa"/>
            <w:vAlign w:val="center"/>
          </w:tcPr>
          <w:p w14:paraId="37104379"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100</w:t>
            </w:r>
            <w:r>
              <w:rPr>
                <w:rFonts w:cs="Times New Roman" w:hint="eastAsia"/>
                <w:kern w:val="0"/>
                <w:sz w:val="21"/>
                <w:szCs w:val="21"/>
              </w:rPr>
              <w:t>m</w:t>
            </w:r>
          </w:p>
        </w:tc>
        <w:tc>
          <w:tcPr>
            <w:tcW w:w="1034" w:type="dxa"/>
            <w:vAlign w:val="center"/>
          </w:tcPr>
          <w:p w14:paraId="05F94E74"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150</w:t>
            </w:r>
            <w:r>
              <w:rPr>
                <w:rFonts w:cs="Times New Roman" w:hint="eastAsia"/>
                <w:kern w:val="0"/>
                <w:sz w:val="21"/>
                <w:szCs w:val="21"/>
              </w:rPr>
              <w:t>m</w:t>
            </w:r>
          </w:p>
        </w:tc>
      </w:tr>
      <w:tr w:rsidR="00E579B9" w14:paraId="14FBBA28" w14:textId="77777777">
        <w:trPr>
          <w:trHeight w:val="285"/>
        </w:trPr>
        <w:tc>
          <w:tcPr>
            <w:tcW w:w="1385" w:type="dxa"/>
            <w:vAlign w:val="center"/>
          </w:tcPr>
          <w:p w14:paraId="5EF72D63"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潜孔钻机</w:t>
            </w:r>
          </w:p>
        </w:tc>
        <w:tc>
          <w:tcPr>
            <w:tcW w:w="991" w:type="dxa"/>
            <w:vAlign w:val="center"/>
          </w:tcPr>
          <w:p w14:paraId="4B950DD3"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66.02</w:t>
            </w:r>
          </w:p>
        </w:tc>
        <w:tc>
          <w:tcPr>
            <w:tcW w:w="993" w:type="dxa"/>
            <w:vAlign w:val="center"/>
          </w:tcPr>
          <w:p w14:paraId="30402FD8"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60</w:t>
            </w:r>
          </w:p>
        </w:tc>
        <w:tc>
          <w:tcPr>
            <w:tcW w:w="1007" w:type="dxa"/>
            <w:vAlign w:val="center"/>
          </w:tcPr>
          <w:p w14:paraId="2978434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53.98</w:t>
            </w:r>
          </w:p>
        </w:tc>
        <w:tc>
          <w:tcPr>
            <w:tcW w:w="1249" w:type="dxa"/>
            <w:vAlign w:val="center"/>
          </w:tcPr>
          <w:p w14:paraId="05BA553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50.46</w:t>
            </w:r>
          </w:p>
        </w:tc>
        <w:tc>
          <w:tcPr>
            <w:tcW w:w="1249" w:type="dxa"/>
            <w:vAlign w:val="center"/>
          </w:tcPr>
          <w:p w14:paraId="5863BE99"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46.02</w:t>
            </w:r>
          </w:p>
        </w:tc>
        <w:tc>
          <w:tcPr>
            <w:tcW w:w="1038" w:type="dxa"/>
            <w:vAlign w:val="center"/>
          </w:tcPr>
          <w:p w14:paraId="0593E673"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40</w:t>
            </w:r>
          </w:p>
        </w:tc>
        <w:tc>
          <w:tcPr>
            <w:tcW w:w="1034" w:type="dxa"/>
            <w:vAlign w:val="center"/>
          </w:tcPr>
          <w:p w14:paraId="15FC8EB7"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36.48</w:t>
            </w:r>
          </w:p>
        </w:tc>
      </w:tr>
      <w:tr w:rsidR="00E579B9" w14:paraId="0F6B5FEE" w14:textId="77777777">
        <w:trPr>
          <w:trHeight w:val="285"/>
        </w:trPr>
        <w:tc>
          <w:tcPr>
            <w:tcW w:w="1385" w:type="dxa"/>
            <w:vAlign w:val="center"/>
          </w:tcPr>
          <w:p w14:paraId="1821427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挖掘机</w:t>
            </w:r>
          </w:p>
        </w:tc>
        <w:tc>
          <w:tcPr>
            <w:tcW w:w="991" w:type="dxa"/>
            <w:vAlign w:val="center"/>
          </w:tcPr>
          <w:p w14:paraId="4EFE751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61.02</w:t>
            </w:r>
          </w:p>
        </w:tc>
        <w:tc>
          <w:tcPr>
            <w:tcW w:w="993" w:type="dxa"/>
            <w:vAlign w:val="center"/>
          </w:tcPr>
          <w:p w14:paraId="12DFBCB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55</w:t>
            </w:r>
          </w:p>
        </w:tc>
        <w:tc>
          <w:tcPr>
            <w:tcW w:w="1007" w:type="dxa"/>
            <w:vAlign w:val="center"/>
          </w:tcPr>
          <w:p w14:paraId="2C588B6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48.98</w:t>
            </w:r>
          </w:p>
        </w:tc>
        <w:tc>
          <w:tcPr>
            <w:tcW w:w="1249" w:type="dxa"/>
            <w:vAlign w:val="center"/>
          </w:tcPr>
          <w:p w14:paraId="5BE7F795"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45.46</w:t>
            </w:r>
          </w:p>
        </w:tc>
        <w:tc>
          <w:tcPr>
            <w:tcW w:w="1249" w:type="dxa"/>
            <w:vAlign w:val="center"/>
          </w:tcPr>
          <w:p w14:paraId="6D11E5D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41.02</w:t>
            </w:r>
          </w:p>
        </w:tc>
        <w:tc>
          <w:tcPr>
            <w:tcW w:w="1038" w:type="dxa"/>
            <w:vAlign w:val="center"/>
          </w:tcPr>
          <w:p w14:paraId="62AA893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35</w:t>
            </w:r>
          </w:p>
        </w:tc>
        <w:tc>
          <w:tcPr>
            <w:tcW w:w="1034" w:type="dxa"/>
            <w:vAlign w:val="center"/>
          </w:tcPr>
          <w:p w14:paraId="435E302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31.48</w:t>
            </w:r>
          </w:p>
        </w:tc>
      </w:tr>
      <w:tr w:rsidR="00E579B9" w14:paraId="3F1C67BA" w14:textId="77777777">
        <w:trPr>
          <w:trHeight w:val="56"/>
        </w:trPr>
        <w:tc>
          <w:tcPr>
            <w:tcW w:w="1385" w:type="dxa"/>
            <w:vAlign w:val="center"/>
          </w:tcPr>
          <w:p w14:paraId="254BF3AC"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工具</w:t>
            </w:r>
            <w:r>
              <w:rPr>
                <w:rFonts w:cs="Times New Roman"/>
                <w:kern w:val="0"/>
                <w:sz w:val="21"/>
                <w:szCs w:val="21"/>
              </w:rPr>
              <w:t>车</w:t>
            </w:r>
          </w:p>
        </w:tc>
        <w:tc>
          <w:tcPr>
            <w:tcW w:w="991" w:type="dxa"/>
            <w:vAlign w:val="center"/>
          </w:tcPr>
          <w:p w14:paraId="6DCFC887"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66.02</w:t>
            </w:r>
          </w:p>
        </w:tc>
        <w:tc>
          <w:tcPr>
            <w:tcW w:w="993" w:type="dxa"/>
            <w:vAlign w:val="center"/>
          </w:tcPr>
          <w:p w14:paraId="574CC1FA"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60</w:t>
            </w:r>
          </w:p>
        </w:tc>
        <w:tc>
          <w:tcPr>
            <w:tcW w:w="1007" w:type="dxa"/>
            <w:vAlign w:val="center"/>
          </w:tcPr>
          <w:p w14:paraId="36BA730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53.98</w:t>
            </w:r>
          </w:p>
        </w:tc>
        <w:tc>
          <w:tcPr>
            <w:tcW w:w="1249" w:type="dxa"/>
            <w:vAlign w:val="center"/>
          </w:tcPr>
          <w:p w14:paraId="29DCB4C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50.46</w:t>
            </w:r>
          </w:p>
        </w:tc>
        <w:tc>
          <w:tcPr>
            <w:tcW w:w="1249" w:type="dxa"/>
            <w:vAlign w:val="center"/>
          </w:tcPr>
          <w:p w14:paraId="130F33B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46.02</w:t>
            </w:r>
          </w:p>
        </w:tc>
        <w:tc>
          <w:tcPr>
            <w:tcW w:w="1038" w:type="dxa"/>
            <w:vAlign w:val="center"/>
          </w:tcPr>
          <w:p w14:paraId="493EF68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40</w:t>
            </w:r>
          </w:p>
        </w:tc>
        <w:tc>
          <w:tcPr>
            <w:tcW w:w="1034" w:type="dxa"/>
            <w:vAlign w:val="center"/>
          </w:tcPr>
          <w:p w14:paraId="0F83673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36.48</w:t>
            </w:r>
          </w:p>
        </w:tc>
      </w:tr>
      <w:tr w:rsidR="00E579B9" w14:paraId="3EBD0598" w14:textId="77777777">
        <w:trPr>
          <w:trHeight w:val="285"/>
        </w:trPr>
        <w:tc>
          <w:tcPr>
            <w:tcW w:w="1385" w:type="dxa"/>
            <w:vAlign w:val="center"/>
          </w:tcPr>
          <w:p w14:paraId="3FC418D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装载机</w:t>
            </w:r>
          </w:p>
        </w:tc>
        <w:tc>
          <w:tcPr>
            <w:tcW w:w="991" w:type="dxa"/>
            <w:vAlign w:val="center"/>
          </w:tcPr>
          <w:p w14:paraId="60FAF5B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61.02</w:t>
            </w:r>
          </w:p>
        </w:tc>
        <w:tc>
          <w:tcPr>
            <w:tcW w:w="993" w:type="dxa"/>
            <w:vAlign w:val="center"/>
          </w:tcPr>
          <w:p w14:paraId="16B1F528"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55</w:t>
            </w:r>
          </w:p>
        </w:tc>
        <w:tc>
          <w:tcPr>
            <w:tcW w:w="1007" w:type="dxa"/>
            <w:vAlign w:val="center"/>
          </w:tcPr>
          <w:p w14:paraId="4416BA6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48.98</w:t>
            </w:r>
          </w:p>
        </w:tc>
        <w:tc>
          <w:tcPr>
            <w:tcW w:w="1249" w:type="dxa"/>
            <w:vAlign w:val="center"/>
          </w:tcPr>
          <w:p w14:paraId="36FAB899"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45.46</w:t>
            </w:r>
          </w:p>
        </w:tc>
        <w:tc>
          <w:tcPr>
            <w:tcW w:w="1249" w:type="dxa"/>
            <w:vAlign w:val="center"/>
          </w:tcPr>
          <w:p w14:paraId="4B88869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41.02</w:t>
            </w:r>
          </w:p>
        </w:tc>
        <w:tc>
          <w:tcPr>
            <w:tcW w:w="1038" w:type="dxa"/>
            <w:vAlign w:val="center"/>
          </w:tcPr>
          <w:p w14:paraId="4FA14EB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35</w:t>
            </w:r>
          </w:p>
        </w:tc>
        <w:tc>
          <w:tcPr>
            <w:tcW w:w="1034" w:type="dxa"/>
            <w:vAlign w:val="center"/>
          </w:tcPr>
          <w:p w14:paraId="7A558ADC"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31.48</w:t>
            </w:r>
          </w:p>
        </w:tc>
      </w:tr>
      <w:tr w:rsidR="00E579B9" w14:paraId="267321D7" w14:textId="77777777">
        <w:trPr>
          <w:trHeight w:val="285"/>
        </w:trPr>
        <w:tc>
          <w:tcPr>
            <w:tcW w:w="1385" w:type="dxa"/>
            <w:vAlign w:val="center"/>
          </w:tcPr>
          <w:p w14:paraId="748C72C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空压机</w:t>
            </w:r>
          </w:p>
        </w:tc>
        <w:tc>
          <w:tcPr>
            <w:tcW w:w="991" w:type="dxa"/>
            <w:vAlign w:val="center"/>
          </w:tcPr>
          <w:p w14:paraId="4B1D39D4"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61.02</w:t>
            </w:r>
          </w:p>
        </w:tc>
        <w:tc>
          <w:tcPr>
            <w:tcW w:w="993" w:type="dxa"/>
            <w:vAlign w:val="center"/>
          </w:tcPr>
          <w:p w14:paraId="3B40508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55</w:t>
            </w:r>
          </w:p>
        </w:tc>
        <w:tc>
          <w:tcPr>
            <w:tcW w:w="1007" w:type="dxa"/>
            <w:vAlign w:val="center"/>
          </w:tcPr>
          <w:p w14:paraId="2D5F4FEC"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48.98</w:t>
            </w:r>
          </w:p>
        </w:tc>
        <w:tc>
          <w:tcPr>
            <w:tcW w:w="1249" w:type="dxa"/>
            <w:vAlign w:val="center"/>
          </w:tcPr>
          <w:p w14:paraId="3C89DFA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45.46</w:t>
            </w:r>
          </w:p>
        </w:tc>
        <w:tc>
          <w:tcPr>
            <w:tcW w:w="1249" w:type="dxa"/>
            <w:vAlign w:val="center"/>
          </w:tcPr>
          <w:p w14:paraId="10552DF6"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41.02</w:t>
            </w:r>
          </w:p>
        </w:tc>
        <w:tc>
          <w:tcPr>
            <w:tcW w:w="1038" w:type="dxa"/>
            <w:vAlign w:val="center"/>
          </w:tcPr>
          <w:p w14:paraId="2ED0DD4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35</w:t>
            </w:r>
          </w:p>
        </w:tc>
        <w:tc>
          <w:tcPr>
            <w:tcW w:w="1034" w:type="dxa"/>
            <w:vAlign w:val="center"/>
          </w:tcPr>
          <w:p w14:paraId="1DC4EAD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31.48</w:t>
            </w:r>
          </w:p>
        </w:tc>
      </w:tr>
      <w:tr w:rsidR="00E579B9" w14:paraId="6C4899D7" w14:textId="77777777">
        <w:trPr>
          <w:trHeight w:val="56"/>
        </w:trPr>
        <w:tc>
          <w:tcPr>
            <w:tcW w:w="1385" w:type="dxa"/>
            <w:vAlign w:val="center"/>
          </w:tcPr>
          <w:p w14:paraId="29E5EAC1"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自卸汽车</w:t>
            </w:r>
          </w:p>
        </w:tc>
        <w:tc>
          <w:tcPr>
            <w:tcW w:w="991" w:type="dxa"/>
            <w:vAlign w:val="center"/>
          </w:tcPr>
          <w:p w14:paraId="746BCA0C"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61.02</w:t>
            </w:r>
          </w:p>
        </w:tc>
        <w:tc>
          <w:tcPr>
            <w:tcW w:w="993" w:type="dxa"/>
            <w:vAlign w:val="center"/>
          </w:tcPr>
          <w:p w14:paraId="663329B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55</w:t>
            </w:r>
          </w:p>
        </w:tc>
        <w:tc>
          <w:tcPr>
            <w:tcW w:w="1007" w:type="dxa"/>
            <w:vAlign w:val="center"/>
          </w:tcPr>
          <w:p w14:paraId="53D3448A"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48.98</w:t>
            </w:r>
          </w:p>
        </w:tc>
        <w:tc>
          <w:tcPr>
            <w:tcW w:w="1249" w:type="dxa"/>
            <w:vAlign w:val="center"/>
          </w:tcPr>
          <w:p w14:paraId="6AF948C8"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45.46</w:t>
            </w:r>
          </w:p>
        </w:tc>
        <w:tc>
          <w:tcPr>
            <w:tcW w:w="1249" w:type="dxa"/>
            <w:vAlign w:val="center"/>
          </w:tcPr>
          <w:p w14:paraId="786A1B03"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41.02</w:t>
            </w:r>
          </w:p>
        </w:tc>
        <w:tc>
          <w:tcPr>
            <w:tcW w:w="1038" w:type="dxa"/>
            <w:vAlign w:val="center"/>
          </w:tcPr>
          <w:p w14:paraId="199B33C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35</w:t>
            </w:r>
          </w:p>
        </w:tc>
        <w:tc>
          <w:tcPr>
            <w:tcW w:w="1034" w:type="dxa"/>
            <w:vAlign w:val="center"/>
          </w:tcPr>
          <w:p w14:paraId="721D6214"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31.48</w:t>
            </w:r>
          </w:p>
        </w:tc>
      </w:tr>
      <w:tr w:rsidR="00E579B9" w14:paraId="289855CA" w14:textId="77777777">
        <w:trPr>
          <w:trHeight w:val="56"/>
        </w:trPr>
        <w:tc>
          <w:tcPr>
            <w:tcW w:w="1385" w:type="dxa"/>
            <w:vAlign w:val="center"/>
          </w:tcPr>
          <w:p w14:paraId="3842C19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叠加贡献值</w:t>
            </w:r>
          </w:p>
        </w:tc>
        <w:tc>
          <w:tcPr>
            <w:tcW w:w="991" w:type="dxa"/>
            <w:vAlign w:val="center"/>
          </w:tcPr>
          <w:p w14:paraId="740AB59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71.16</w:t>
            </w:r>
          </w:p>
        </w:tc>
        <w:tc>
          <w:tcPr>
            <w:tcW w:w="993" w:type="dxa"/>
            <w:vAlign w:val="center"/>
          </w:tcPr>
          <w:p w14:paraId="59E66BD4"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65.14</w:t>
            </w:r>
          </w:p>
        </w:tc>
        <w:tc>
          <w:tcPr>
            <w:tcW w:w="1007" w:type="dxa"/>
            <w:vAlign w:val="center"/>
          </w:tcPr>
          <w:p w14:paraId="77C3808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59.12</w:t>
            </w:r>
          </w:p>
        </w:tc>
        <w:tc>
          <w:tcPr>
            <w:tcW w:w="1249" w:type="dxa"/>
            <w:vAlign w:val="center"/>
          </w:tcPr>
          <w:p w14:paraId="22278794"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55.6</w:t>
            </w:r>
          </w:p>
        </w:tc>
        <w:tc>
          <w:tcPr>
            <w:tcW w:w="1249" w:type="dxa"/>
            <w:vAlign w:val="center"/>
          </w:tcPr>
          <w:p w14:paraId="6188F109"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51.16</w:t>
            </w:r>
          </w:p>
        </w:tc>
        <w:tc>
          <w:tcPr>
            <w:tcW w:w="1038" w:type="dxa"/>
            <w:vAlign w:val="center"/>
          </w:tcPr>
          <w:p w14:paraId="5D93CFE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45.14</w:t>
            </w:r>
          </w:p>
        </w:tc>
        <w:tc>
          <w:tcPr>
            <w:tcW w:w="1034" w:type="dxa"/>
            <w:vAlign w:val="center"/>
          </w:tcPr>
          <w:p w14:paraId="0A9C488F"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41.62</w:t>
            </w:r>
          </w:p>
        </w:tc>
      </w:tr>
    </w:tbl>
    <w:p w14:paraId="771FF6ED" w14:textId="77777777" w:rsidR="00E579B9" w:rsidRDefault="006A1398">
      <w:pPr>
        <w:pStyle w:val="226"/>
        <w:rPr>
          <w:rFonts w:cs="Times New Roman"/>
          <w:kern w:val="0"/>
        </w:rPr>
      </w:pPr>
      <w:r>
        <w:rPr>
          <w:rFonts w:cs="Times New Roman" w:hint="eastAsia"/>
          <w:kern w:val="0"/>
        </w:rPr>
        <w:t>本项目运营期主要噪声源均为流动性声源，夜间不生产。经计算，在最不利情况下，露天采场主要机械设备集中生产，噪声对</w:t>
      </w:r>
      <w:r>
        <w:rPr>
          <w:rFonts w:cs="Times New Roman" w:hint="eastAsia"/>
          <w:kern w:val="0"/>
        </w:rPr>
        <w:t>20</w:t>
      </w:r>
      <w:r>
        <w:rPr>
          <w:rFonts w:cs="Times New Roman"/>
          <w:kern w:val="0"/>
        </w:rPr>
        <w:t>m</w:t>
      </w:r>
      <w:r>
        <w:rPr>
          <w:rFonts w:cs="Times New Roman" w:hint="eastAsia"/>
          <w:kern w:val="0"/>
        </w:rPr>
        <w:t>处的影响经距离衰减后的</w:t>
      </w:r>
      <w:proofErr w:type="gramStart"/>
      <w:r>
        <w:rPr>
          <w:rFonts w:cs="Times New Roman" w:hint="eastAsia"/>
          <w:kern w:val="0"/>
        </w:rPr>
        <w:t>叠加值</w:t>
      </w:r>
      <w:proofErr w:type="gramEnd"/>
      <w:r>
        <w:rPr>
          <w:rFonts w:cs="Times New Roman" w:hint="eastAsia"/>
          <w:kern w:val="0"/>
        </w:rPr>
        <w:t>为</w:t>
      </w:r>
      <w:r>
        <w:rPr>
          <w:rFonts w:cs="Times New Roman" w:hint="eastAsia"/>
          <w:kern w:val="0"/>
        </w:rPr>
        <w:t>59.12</w:t>
      </w:r>
      <w:r>
        <w:rPr>
          <w:rFonts w:cs="Times New Roman"/>
          <w:kern w:val="0"/>
        </w:rPr>
        <w:t>dB(A)</w:t>
      </w:r>
      <w:r>
        <w:rPr>
          <w:rFonts w:cs="Times New Roman" w:hint="eastAsia"/>
          <w:kern w:val="0"/>
        </w:rPr>
        <w:t>，即在各噪声设备相对集中且同时运行时，距离噪声源</w:t>
      </w:r>
      <w:r>
        <w:rPr>
          <w:rFonts w:cs="Times New Roman" w:hint="eastAsia"/>
          <w:kern w:val="0"/>
        </w:rPr>
        <w:t>20</w:t>
      </w:r>
      <w:r>
        <w:rPr>
          <w:rFonts w:cs="Times New Roman"/>
          <w:kern w:val="0"/>
        </w:rPr>
        <w:t>m</w:t>
      </w:r>
      <w:r>
        <w:rPr>
          <w:rFonts w:cs="Times New Roman" w:hint="eastAsia"/>
          <w:kern w:val="0"/>
        </w:rPr>
        <w:t>以则上满足《工业企业厂界环境噪声排放标准》（</w:t>
      </w:r>
      <w:r>
        <w:rPr>
          <w:rFonts w:cs="Times New Roman"/>
          <w:kern w:val="0"/>
        </w:rPr>
        <w:t>GB12348-2008</w:t>
      </w:r>
      <w:r>
        <w:rPr>
          <w:rFonts w:cs="Times New Roman" w:hint="eastAsia"/>
          <w:kern w:val="0"/>
        </w:rPr>
        <w:t>）</w:t>
      </w:r>
      <w:r>
        <w:rPr>
          <w:rFonts w:cs="Times New Roman"/>
          <w:kern w:val="0"/>
        </w:rPr>
        <w:t>2</w:t>
      </w:r>
      <w:r>
        <w:rPr>
          <w:rFonts w:cs="Times New Roman" w:hint="eastAsia"/>
          <w:kern w:val="0"/>
        </w:rPr>
        <w:t>类（昼</w:t>
      </w:r>
      <w:r>
        <w:rPr>
          <w:rFonts w:cs="Times New Roman"/>
          <w:kern w:val="0"/>
        </w:rPr>
        <w:t>60dB</w:t>
      </w:r>
      <w:r>
        <w:rPr>
          <w:rFonts w:cs="Times New Roman" w:hint="eastAsia"/>
          <w:kern w:val="0"/>
        </w:rPr>
        <w:t>（</w:t>
      </w:r>
      <w:r>
        <w:rPr>
          <w:rFonts w:cs="Times New Roman"/>
          <w:kern w:val="0"/>
        </w:rPr>
        <w:t>A</w:t>
      </w:r>
      <w:r>
        <w:rPr>
          <w:rFonts w:cs="Times New Roman" w:hint="eastAsia"/>
          <w:kern w:val="0"/>
        </w:rPr>
        <w:t>））标准要求。根据现场踏勘情况，项目露天采场周边</w:t>
      </w:r>
      <w:r>
        <w:rPr>
          <w:rFonts w:cs="Times New Roman" w:hint="eastAsia"/>
          <w:kern w:val="0"/>
        </w:rPr>
        <w:t>400m</w:t>
      </w:r>
      <w:r>
        <w:rPr>
          <w:rFonts w:cs="Times New Roman" w:hint="eastAsia"/>
          <w:kern w:val="0"/>
        </w:rPr>
        <w:t>范围内无</w:t>
      </w:r>
      <w:r>
        <w:rPr>
          <w:rFonts w:cs="Times New Roman" w:hint="eastAsia"/>
          <w:kern w:val="0"/>
        </w:rPr>
        <w:lastRenderedPageBreak/>
        <w:t>居民点分布，预测项目露天采场设备噪声对周边居民的影响较小。</w:t>
      </w:r>
    </w:p>
    <w:p w14:paraId="2050EC6B" w14:textId="77777777" w:rsidR="00E579B9" w:rsidRDefault="006A1398">
      <w:pPr>
        <w:pStyle w:val="226"/>
        <w:rPr>
          <w:rFonts w:cs="Times New Roman"/>
          <w:kern w:val="0"/>
        </w:rPr>
      </w:pPr>
      <w:r>
        <w:rPr>
          <w:rFonts w:cs="Times New Roman" w:hint="eastAsia"/>
          <w:kern w:val="0"/>
        </w:rPr>
        <w:t>（</w:t>
      </w:r>
      <w:r>
        <w:rPr>
          <w:rFonts w:cs="Times New Roman" w:hint="eastAsia"/>
          <w:kern w:val="0"/>
        </w:rPr>
        <w:t>2</w:t>
      </w:r>
      <w:r>
        <w:rPr>
          <w:rFonts w:cs="Times New Roman" w:hint="eastAsia"/>
          <w:kern w:val="0"/>
        </w:rPr>
        <w:t>）破碎场地对声环境影响分析</w:t>
      </w:r>
    </w:p>
    <w:p w14:paraId="5B8A8456" w14:textId="77777777" w:rsidR="00E579B9" w:rsidRDefault="006A1398">
      <w:pPr>
        <w:pStyle w:val="226"/>
        <w:rPr>
          <w:rFonts w:cs="Times New Roman"/>
          <w:kern w:val="0"/>
        </w:rPr>
      </w:pPr>
      <w:r>
        <w:rPr>
          <w:rFonts w:cs="Times New Roman" w:hint="eastAsia"/>
          <w:kern w:val="0"/>
        </w:rPr>
        <w:t>项目破碎场地噪声源主要是破碎机、筛分机、风机等设备产生的噪声。具体噪声源强情况见表</w:t>
      </w:r>
      <w:r>
        <w:rPr>
          <w:rFonts w:cs="Times New Roman" w:hint="eastAsia"/>
          <w:kern w:val="0"/>
        </w:rPr>
        <w:t>5</w:t>
      </w:r>
      <w:r>
        <w:rPr>
          <w:rFonts w:cs="Times New Roman"/>
          <w:kern w:val="0"/>
        </w:rPr>
        <w:t>.2</w:t>
      </w:r>
      <w:r>
        <w:rPr>
          <w:rFonts w:cs="Times New Roman" w:hint="eastAsia"/>
          <w:kern w:val="0"/>
        </w:rPr>
        <w:t>-14</w:t>
      </w:r>
      <w:r>
        <w:rPr>
          <w:rFonts w:cs="Times New Roman" w:hint="eastAsia"/>
          <w:kern w:val="0"/>
        </w:rPr>
        <w:t>。</w:t>
      </w:r>
    </w:p>
    <w:p w14:paraId="6C03AB4F" w14:textId="77777777" w:rsidR="00E579B9" w:rsidRDefault="006A1398">
      <w:pPr>
        <w:pStyle w:val="226"/>
        <w:jc w:val="center"/>
        <w:rPr>
          <w:rFonts w:eastAsia="黑体" w:cs="Times New Roman"/>
        </w:rPr>
      </w:pPr>
      <w:r>
        <w:rPr>
          <w:rFonts w:eastAsia="黑体" w:cs="Times New Roman" w:hint="eastAsia"/>
        </w:rPr>
        <w:t>表</w:t>
      </w:r>
      <w:r>
        <w:rPr>
          <w:rFonts w:eastAsia="黑体" w:cs="Times New Roman" w:hint="eastAsia"/>
        </w:rPr>
        <w:t>5</w:t>
      </w:r>
      <w:r>
        <w:rPr>
          <w:rFonts w:eastAsia="黑体" w:cs="Times New Roman"/>
        </w:rPr>
        <w:t>.2-</w:t>
      </w:r>
      <w:r>
        <w:rPr>
          <w:rFonts w:eastAsia="黑体" w:cs="Times New Roman" w:hint="eastAsia"/>
        </w:rPr>
        <w:t>14</w:t>
      </w:r>
      <w:r>
        <w:rPr>
          <w:rFonts w:eastAsia="黑体" w:cs="Times New Roman" w:hint="eastAsia"/>
        </w:rPr>
        <w:t>破碎场地主要设备噪声源强</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711"/>
        <w:gridCol w:w="1274"/>
        <w:gridCol w:w="851"/>
        <w:gridCol w:w="893"/>
        <w:gridCol w:w="664"/>
        <w:gridCol w:w="2438"/>
        <w:gridCol w:w="1134"/>
      </w:tblGrid>
      <w:tr w:rsidR="00E579B9" w14:paraId="45166A8C" w14:textId="77777777">
        <w:tc>
          <w:tcPr>
            <w:tcW w:w="677" w:type="dxa"/>
            <w:vAlign w:val="center"/>
          </w:tcPr>
          <w:p w14:paraId="63CFEE42"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位置</w:t>
            </w:r>
          </w:p>
        </w:tc>
        <w:tc>
          <w:tcPr>
            <w:tcW w:w="711" w:type="dxa"/>
            <w:vAlign w:val="center"/>
          </w:tcPr>
          <w:p w14:paraId="3AF43DD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序号</w:t>
            </w:r>
          </w:p>
        </w:tc>
        <w:tc>
          <w:tcPr>
            <w:tcW w:w="1274" w:type="dxa"/>
            <w:vAlign w:val="center"/>
          </w:tcPr>
          <w:p w14:paraId="46F5D945"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设备名称</w:t>
            </w:r>
          </w:p>
        </w:tc>
        <w:tc>
          <w:tcPr>
            <w:tcW w:w="851" w:type="dxa"/>
            <w:vAlign w:val="center"/>
          </w:tcPr>
          <w:p w14:paraId="609CF652"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数量</w:t>
            </w:r>
          </w:p>
          <w:p w14:paraId="00A281DB"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（台）</w:t>
            </w:r>
          </w:p>
        </w:tc>
        <w:tc>
          <w:tcPr>
            <w:tcW w:w="893" w:type="dxa"/>
            <w:vAlign w:val="center"/>
          </w:tcPr>
          <w:p w14:paraId="755C6EC5"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声级</w:t>
            </w:r>
          </w:p>
          <w:p w14:paraId="76126EF4"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[dB(A)]</w:t>
            </w:r>
          </w:p>
        </w:tc>
        <w:tc>
          <w:tcPr>
            <w:tcW w:w="664" w:type="dxa"/>
            <w:vAlign w:val="center"/>
          </w:tcPr>
          <w:p w14:paraId="3C3787E4"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运行情况</w:t>
            </w:r>
          </w:p>
        </w:tc>
        <w:tc>
          <w:tcPr>
            <w:tcW w:w="2438" w:type="dxa"/>
            <w:vAlign w:val="center"/>
          </w:tcPr>
          <w:p w14:paraId="39651C68"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降噪措施</w:t>
            </w:r>
          </w:p>
        </w:tc>
        <w:tc>
          <w:tcPr>
            <w:tcW w:w="1134" w:type="dxa"/>
            <w:vAlign w:val="center"/>
          </w:tcPr>
          <w:p w14:paraId="76FF8ECE" w14:textId="77777777" w:rsidR="00E579B9" w:rsidRDefault="006A1398">
            <w:pPr>
              <w:spacing w:line="360" w:lineRule="exact"/>
              <w:ind w:firstLineChars="0" w:firstLine="0"/>
              <w:jc w:val="center"/>
              <w:rPr>
                <w:rFonts w:cs="Times New Roman"/>
                <w:kern w:val="0"/>
                <w:sz w:val="21"/>
                <w:szCs w:val="21"/>
              </w:rPr>
            </w:pPr>
            <w:proofErr w:type="gramStart"/>
            <w:r>
              <w:rPr>
                <w:rFonts w:cs="Times New Roman" w:hint="eastAsia"/>
                <w:kern w:val="0"/>
                <w:sz w:val="21"/>
                <w:szCs w:val="21"/>
              </w:rPr>
              <w:t>治理后源强</w:t>
            </w:r>
            <w:proofErr w:type="gramEnd"/>
            <w:r>
              <w:rPr>
                <w:rFonts w:cs="Times New Roman"/>
                <w:kern w:val="0"/>
                <w:sz w:val="21"/>
                <w:szCs w:val="21"/>
              </w:rPr>
              <w:t>[dB(A)]</w:t>
            </w:r>
          </w:p>
        </w:tc>
      </w:tr>
      <w:tr w:rsidR="00E579B9" w14:paraId="44AA7DCD" w14:textId="77777777">
        <w:tc>
          <w:tcPr>
            <w:tcW w:w="677" w:type="dxa"/>
            <w:vMerge w:val="restart"/>
            <w:vAlign w:val="center"/>
          </w:tcPr>
          <w:p w14:paraId="0802647D"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破碎</w:t>
            </w:r>
            <w:r>
              <w:rPr>
                <w:rFonts w:cs="Times New Roman" w:hint="eastAsia"/>
                <w:kern w:val="0"/>
                <w:sz w:val="21"/>
                <w:szCs w:val="21"/>
              </w:rPr>
              <w:t>场地</w:t>
            </w:r>
          </w:p>
        </w:tc>
        <w:tc>
          <w:tcPr>
            <w:tcW w:w="711" w:type="dxa"/>
            <w:vAlign w:val="center"/>
          </w:tcPr>
          <w:p w14:paraId="5ED5CAE7"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1</w:t>
            </w:r>
          </w:p>
        </w:tc>
        <w:tc>
          <w:tcPr>
            <w:tcW w:w="1274" w:type="dxa"/>
            <w:vAlign w:val="center"/>
          </w:tcPr>
          <w:p w14:paraId="4AD5E24C"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颚式</w:t>
            </w:r>
            <w:r>
              <w:rPr>
                <w:rFonts w:cs="Times New Roman"/>
                <w:kern w:val="0"/>
                <w:sz w:val="21"/>
                <w:szCs w:val="21"/>
              </w:rPr>
              <w:t>破碎机</w:t>
            </w:r>
          </w:p>
        </w:tc>
        <w:tc>
          <w:tcPr>
            <w:tcW w:w="851" w:type="dxa"/>
            <w:vAlign w:val="center"/>
          </w:tcPr>
          <w:p w14:paraId="0A576A69"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2</w:t>
            </w:r>
          </w:p>
        </w:tc>
        <w:tc>
          <w:tcPr>
            <w:tcW w:w="893" w:type="dxa"/>
            <w:vAlign w:val="center"/>
          </w:tcPr>
          <w:p w14:paraId="5699E7BB"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90</w:t>
            </w:r>
          </w:p>
        </w:tc>
        <w:tc>
          <w:tcPr>
            <w:tcW w:w="664" w:type="dxa"/>
            <w:vMerge w:val="restart"/>
            <w:vAlign w:val="center"/>
          </w:tcPr>
          <w:p w14:paraId="695BC381"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连续</w:t>
            </w:r>
          </w:p>
        </w:tc>
        <w:tc>
          <w:tcPr>
            <w:tcW w:w="2438" w:type="dxa"/>
            <w:vAlign w:val="center"/>
          </w:tcPr>
          <w:p w14:paraId="00680C26" w14:textId="77777777" w:rsidR="00E579B9" w:rsidRDefault="006A1398">
            <w:pPr>
              <w:spacing w:line="360" w:lineRule="exact"/>
              <w:ind w:firstLineChars="0" w:firstLine="0"/>
              <w:jc w:val="center"/>
              <w:rPr>
                <w:rFonts w:cs="Times New Roman"/>
                <w:sz w:val="21"/>
                <w:szCs w:val="21"/>
              </w:rPr>
            </w:pPr>
            <w:r>
              <w:rPr>
                <w:rFonts w:cs="Times New Roman"/>
                <w:sz w:val="21"/>
                <w:szCs w:val="21"/>
              </w:rPr>
              <w:t>减振、置于密闭厂房内</w:t>
            </w:r>
          </w:p>
        </w:tc>
        <w:tc>
          <w:tcPr>
            <w:tcW w:w="1134" w:type="dxa"/>
            <w:vAlign w:val="center"/>
          </w:tcPr>
          <w:p w14:paraId="32A6D0F1"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70</w:t>
            </w:r>
          </w:p>
        </w:tc>
      </w:tr>
      <w:tr w:rsidR="00E579B9" w14:paraId="74708D3D" w14:textId="77777777">
        <w:tc>
          <w:tcPr>
            <w:tcW w:w="677" w:type="dxa"/>
            <w:vMerge/>
            <w:vAlign w:val="center"/>
          </w:tcPr>
          <w:p w14:paraId="5BA8F7F0" w14:textId="77777777" w:rsidR="00E579B9" w:rsidRDefault="00E579B9">
            <w:pPr>
              <w:spacing w:line="360" w:lineRule="exact"/>
              <w:ind w:firstLineChars="0" w:firstLine="0"/>
              <w:rPr>
                <w:rFonts w:cs="Times New Roman"/>
                <w:kern w:val="0"/>
                <w:sz w:val="21"/>
                <w:szCs w:val="21"/>
              </w:rPr>
            </w:pPr>
          </w:p>
        </w:tc>
        <w:tc>
          <w:tcPr>
            <w:tcW w:w="711" w:type="dxa"/>
            <w:vAlign w:val="center"/>
          </w:tcPr>
          <w:p w14:paraId="7C3CA38D"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2</w:t>
            </w:r>
          </w:p>
        </w:tc>
        <w:tc>
          <w:tcPr>
            <w:tcW w:w="1274" w:type="dxa"/>
            <w:vAlign w:val="center"/>
          </w:tcPr>
          <w:p w14:paraId="3D5B519B"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圆锥破碎机</w:t>
            </w:r>
          </w:p>
        </w:tc>
        <w:tc>
          <w:tcPr>
            <w:tcW w:w="851" w:type="dxa"/>
            <w:vAlign w:val="center"/>
          </w:tcPr>
          <w:p w14:paraId="73568B09"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6</w:t>
            </w:r>
          </w:p>
        </w:tc>
        <w:tc>
          <w:tcPr>
            <w:tcW w:w="893" w:type="dxa"/>
            <w:vAlign w:val="center"/>
          </w:tcPr>
          <w:p w14:paraId="5A20CF67"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95</w:t>
            </w:r>
          </w:p>
        </w:tc>
        <w:tc>
          <w:tcPr>
            <w:tcW w:w="664" w:type="dxa"/>
            <w:vMerge/>
            <w:vAlign w:val="center"/>
          </w:tcPr>
          <w:p w14:paraId="37C19B6E" w14:textId="77777777" w:rsidR="00E579B9" w:rsidRDefault="00E579B9">
            <w:pPr>
              <w:spacing w:line="360" w:lineRule="exact"/>
              <w:ind w:firstLineChars="0" w:firstLine="0"/>
              <w:jc w:val="center"/>
              <w:rPr>
                <w:rFonts w:cs="Times New Roman"/>
                <w:sz w:val="21"/>
                <w:szCs w:val="21"/>
              </w:rPr>
            </w:pPr>
          </w:p>
        </w:tc>
        <w:tc>
          <w:tcPr>
            <w:tcW w:w="2438" w:type="dxa"/>
            <w:vAlign w:val="center"/>
          </w:tcPr>
          <w:p w14:paraId="19748BDA" w14:textId="77777777" w:rsidR="00E579B9" w:rsidRDefault="006A1398">
            <w:pPr>
              <w:spacing w:line="360" w:lineRule="exact"/>
              <w:ind w:firstLineChars="0" w:firstLine="0"/>
              <w:jc w:val="center"/>
              <w:rPr>
                <w:rFonts w:cs="Times New Roman"/>
                <w:sz w:val="21"/>
                <w:szCs w:val="21"/>
              </w:rPr>
            </w:pPr>
            <w:r>
              <w:rPr>
                <w:rFonts w:cs="Times New Roman"/>
                <w:sz w:val="21"/>
                <w:szCs w:val="21"/>
              </w:rPr>
              <w:t>减振、置于密闭厂房内</w:t>
            </w:r>
          </w:p>
        </w:tc>
        <w:tc>
          <w:tcPr>
            <w:tcW w:w="1134" w:type="dxa"/>
            <w:vAlign w:val="center"/>
          </w:tcPr>
          <w:p w14:paraId="2725E936"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75</w:t>
            </w:r>
          </w:p>
        </w:tc>
      </w:tr>
      <w:tr w:rsidR="00E579B9" w14:paraId="66160F6F" w14:textId="77777777">
        <w:tc>
          <w:tcPr>
            <w:tcW w:w="677" w:type="dxa"/>
            <w:vMerge/>
            <w:vAlign w:val="center"/>
          </w:tcPr>
          <w:p w14:paraId="1CE74816" w14:textId="77777777" w:rsidR="00E579B9" w:rsidRDefault="00E579B9">
            <w:pPr>
              <w:spacing w:line="360" w:lineRule="exact"/>
              <w:ind w:firstLineChars="0" w:firstLine="0"/>
              <w:rPr>
                <w:rFonts w:cs="Times New Roman"/>
                <w:kern w:val="0"/>
                <w:sz w:val="21"/>
                <w:szCs w:val="21"/>
              </w:rPr>
            </w:pPr>
          </w:p>
        </w:tc>
        <w:tc>
          <w:tcPr>
            <w:tcW w:w="711" w:type="dxa"/>
            <w:vAlign w:val="center"/>
          </w:tcPr>
          <w:p w14:paraId="6FC52F42"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3</w:t>
            </w:r>
          </w:p>
        </w:tc>
        <w:tc>
          <w:tcPr>
            <w:tcW w:w="1274" w:type="dxa"/>
            <w:vAlign w:val="center"/>
          </w:tcPr>
          <w:p w14:paraId="7AB2EAD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振动筛</w:t>
            </w:r>
          </w:p>
        </w:tc>
        <w:tc>
          <w:tcPr>
            <w:tcW w:w="851" w:type="dxa"/>
            <w:vAlign w:val="center"/>
          </w:tcPr>
          <w:p w14:paraId="3CE726DF"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10</w:t>
            </w:r>
          </w:p>
        </w:tc>
        <w:tc>
          <w:tcPr>
            <w:tcW w:w="893" w:type="dxa"/>
            <w:vAlign w:val="center"/>
          </w:tcPr>
          <w:p w14:paraId="0ACB15DA"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85</w:t>
            </w:r>
          </w:p>
        </w:tc>
        <w:tc>
          <w:tcPr>
            <w:tcW w:w="664" w:type="dxa"/>
            <w:vMerge/>
            <w:vAlign w:val="center"/>
          </w:tcPr>
          <w:p w14:paraId="2C1201B2" w14:textId="77777777" w:rsidR="00E579B9" w:rsidRDefault="00E579B9">
            <w:pPr>
              <w:spacing w:line="360" w:lineRule="exact"/>
              <w:ind w:firstLineChars="0" w:firstLine="0"/>
              <w:jc w:val="center"/>
              <w:rPr>
                <w:rFonts w:cs="Times New Roman"/>
                <w:sz w:val="21"/>
                <w:szCs w:val="21"/>
              </w:rPr>
            </w:pPr>
          </w:p>
        </w:tc>
        <w:tc>
          <w:tcPr>
            <w:tcW w:w="2438" w:type="dxa"/>
            <w:vAlign w:val="center"/>
          </w:tcPr>
          <w:p w14:paraId="49D7D7AA" w14:textId="77777777" w:rsidR="00E579B9" w:rsidRDefault="006A1398">
            <w:pPr>
              <w:spacing w:line="360" w:lineRule="exact"/>
              <w:ind w:firstLineChars="0" w:firstLine="0"/>
              <w:jc w:val="center"/>
              <w:rPr>
                <w:rFonts w:cs="Times New Roman"/>
                <w:sz w:val="21"/>
                <w:szCs w:val="21"/>
              </w:rPr>
            </w:pPr>
            <w:r>
              <w:rPr>
                <w:rFonts w:cs="Times New Roman"/>
                <w:sz w:val="21"/>
                <w:szCs w:val="21"/>
              </w:rPr>
              <w:t>减振、置于密闭厂房内</w:t>
            </w:r>
          </w:p>
        </w:tc>
        <w:tc>
          <w:tcPr>
            <w:tcW w:w="1134" w:type="dxa"/>
            <w:vAlign w:val="center"/>
          </w:tcPr>
          <w:p w14:paraId="787971F7"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65</w:t>
            </w:r>
          </w:p>
        </w:tc>
      </w:tr>
      <w:tr w:rsidR="00E579B9" w14:paraId="50F2DD0A" w14:textId="77777777">
        <w:tc>
          <w:tcPr>
            <w:tcW w:w="677" w:type="dxa"/>
            <w:vMerge/>
            <w:vAlign w:val="center"/>
          </w:tcPr>
          <w:p w14:paraId="775AF528" w14:textId="77777777" w:rsidR="00E579B9" w:rsidRDefault="00E579B9">
            <w:pPr>
              <w:spacing w:line="360" w:lineRule="exact"/>
              <w:ind w:firstLineChars="0" w:firstLine="0"/>
              <w:rPr>
                <w:rFonts w:cs="Times New Roman"/>
                <w:kern w:val="0"/>
                <w:sz w:val="21"/>
                <w:szCs w:val="21"/>
              </w:rPr>
            </w:pPr>
          </w:p>
        </w:tc>
        <w:tc>
          <w:tcPr>
            <w:tcW w:w="711" w:type="dxa"/>
            <w:vAlign w:val="center"/>
          </w:tcPr>
          <w:p w14:paraId="777BE595"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4</w:t>
            </w:r>
          </w:p>
        </w:tc>
        <w:tc>
          <w:tcPr>
            <w:tcW w:w="1274" w:type="dxa"/>
            <w:vAlign w:val="center"/>
          </w:tcPr>
          <w:p w14:paraId="67236E40"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除尘器风机</w:t>
            </w:r>
          </w:p>
        </w:tc>
        <w:tc>
          <w:tcPr>
            <w:tcW w:w="851" w:type="dxa"/>
            <w:vAlign w:val="center"/>
          </w:tcPr>
          <w:p w14:paraId="55498775"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2</w:t>
            </w:r>
          </w:p>
        </w:tc>
        <w:tc>
          <w:tcPr>
            <w:tcW w:w="893" w:type="dxa"/>
            <w:vAlign w:val="center"/>
          </w:tcPr>
          <w:p w14:paraId="00DE772A"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85</w:t>
            </w:r>
          </w:p>
        </w:tc>
        <w:tc>
          <w:tcPr>
            <w:tcW w:w="664" w:type="dxa"/>
            <w:vMerge/>
            <w:vAlign w:val="center"/>
          </w:tcPr>
          <w:p w14:paraId="718E29B2" w14:textId="77777777" w:rsidR="00E579B9" w:rsidRDefault="00E579B9">
            <w:pPr>
              <w:spacing w:line="360" w:lineRule="exact"/>
              <w:ind w:firstLineChars="0" w:firstLine="0"/>
              <w:jc w:val="center"/>
              <w:rPr>
                <w:rFonts w:cs="Times New Roman"/>
                <w:sz w:val="21"/>
                <w:szCs w:val="21"/>
              </w:rPr>
            </w:pPr>
          </w:p>
        </w:tc>
        <w:tc>
          <w:tcPr>
            <w:tcW w:w="2438" w:type="dxa"/>
            <w:vAlign w:val="center"/>
          </w:tcPr>
          <w:p w14:paraId="75E28EA5" w14:textId="77777777" w:rsidR="00E579B9" w:rsidRDefault="006A1398">
            <w:pPr>
              <w:spacing w:line="360" w:lineRule="exact"/>
              <w:ind w:firstLineChars="0" w:firstLine="0"/>
              <w:jc w:val="center"/>
              <w:rPr>
                <w:rFonts w:cs="Times New Roman"/>
                <w:sz w:val="21"/>
                <w:szCs w:val="21"/>
              </w:rPr>
            </w:pPr>
            <w:r>
              <w:rPr>
                <w:rFonts w:cs="Times New Roman"/>
                <w:sz w:val="21"/>
                <w:szCs w:val="21"/>
              </w:rPr>
              <w:t>减振、置于密闭厂房内，安装消声器</w:t>
            </w:r>
          </w:p>
        </w:tc>
        <w:tc>
          <w:tcPr>
            <w:tcW w:w="1134" w:type="dxa"/>
            <w:vAlign w:val="center"/>
          </w:tcPr>
          <w:p w14:paraId="0F87346C" w14:textId="77777777" w:rsidR="00E579B9" w:rsidRDefault="006A1398">
            <w:pPr>
              <w:spacing w:line="360" w:lineRule="exact"/>
              <w:ind w:firstLineChars="0" w:firstLine="0"/>
              <w:jc w:val="center"/>
              <w:rPr>
                <w:rFonts w:cs="Times New Roman"/>
                <w:sz w:val="21"/>
                <w:szCs w:val="21"/>
              </w:rPr>
            </w:pPr>
            <w:r>
              <w:rPr>
                <w:rFonts w:cs="Times New Roman" w:hint="eastAsia"/>
                <w:sz w:val="21"/>
                <w:szCs w:val="21"/>
              </w:rPr>
              <w:t>65</w:t>
            </w:r>
          </w:p>
        </w:tc>
      </w:tr>
    </w:tbl>
    <w:p w14:paraId="10169F41" w14:textId="77777777" w:rsidR="00E579B9" w:rsidRDefault="006A1398">
      <w:pPr>
        <w:adjustRightInd w:val="0"/>
        <w:snapToGrid w:val="0"/>
        <w:spacing w:line="500" w:lineRule="exact"/>
        <w:rPr>
          <w:rFonts w:cs="Times New Roman"/>
        </w:rPr>
      </w:pPr>
      <w:r>
        <w:rPr>
          <w:rFonts w:cs="Times New Roman"/>
        </w:rPr>
        <w:t>各噪声源经过减振、隔声等处理措施，再经过距离衰减后，对项目厂界噪声预测结果见表</w:t>
      </w:r>
      <w:r>
        <w:rPr>
          <w:rFonts w:cs="Times New Roman" w:hint="eastAsia"/>
        </w:rPr>
        <w:t>5.2-15</w:t>
      </w:r>
      <w:r>
        <w:rPr>
          <w:rFonts w:cs="Times New Roman"/>
        </w:rPr>
        <w:t>。</w:t>
      </w:r>
    </w:p>
    <w:p w14:paraId="4EE83330" w14:textId="77777777" w:rsidR="00E579B9" w:rsidRDefault="006A1398">
      <w:pPr>
        <w:adjustRightInd w:val="0"/>
        <w:snapToGrid w:val="0"/>
        <w:spacing w:line="520" w:lineRule="exact"/>
        <w:jc w:val="center"/>
        <w:rPr>
          <w:rFonts w:eastAsia="黑体" w:cs="Times New Roman"/>
        </w:rPr>
      </w:pPr>
      <w:r>
        <w:rPr>
          <w:rFonts w:eastAsia="黑体" w:cs="Times New Roman"/>
        </w:rPr>
        <w:t>表</w:t>
      </w:r>
      <w:r>
        <w:rPr>
          <w:rFonts w:eastAsia="黑体" w:cs="Times New Roman" w:hint="eastAsia"/>
        </w:rPr>
        <w:t>5.2-15</w:t>
      </w:r>
      <w:r>
        <w:rPr>
          <w:rFonts w:eastAsia="黑体" w:cs="Times New Roman"/>
        </w:rPr>
        <w:t>厂界噪声贡献值</w:t>
      </w:r>
    </w:p>
    <w:tbl>
      <w:tblPr>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1857"/>
        <w:gridCol w:w="2960"/>
        <w:gridCol w:w="2961"/>
      </w:tblGrid>
      <w:tr w:rsidR="00E579B9" w14:paraId="29CCCCA4" w14:textId="77777777">
        <w:trPr>
          <w:trHeight w:val="397"/>
        </w:trPr>
        <w:tc>
          <w:tcPr>
            <w:tcW w:w="922" w:type="dxa"/>
            <w:vAlign w:val="center"/>
          </w:tcPr>
          <w:p w14:paraId="3D00A994" w14:textId="77777777" w:rsidR="00E579B9" w:rsidRDefault="006A1398">
            <w:pPr>
              <w:pStyle w:val="aa"/>
            </w:pPr>
            <w:r>
              <w:t>序号</w:t>
            </w:r>
          </w:p>
        </w:tc>
        <w:tc>
          <w:tcPr>
            <w:tcW w:w="1857" w:type="dxa"/>
            <w:vAlign w:val="center"/>
          </w:tcPr>
          <w:p w14:paraId="5D76773E" w14:textId="77777777" w:rsidR="00E579B9" w:rsidRDefault="006A1398">
            <w:pPr>
              <w:pStyle w:val="aa"/>
            </w:pPr>
            <w:r>
              <w:t>各厂界</w:t>
            </w:r>
          </w:p>
        </w:tc>
        <w:tc>
          <w:tcPr>
            <w:tcW w:w="2960" w:type="dxa"/>
            <w:vAlign w:val="center"/>
          </w:tcPr>
          <w:p w14:paraId="24C9759E" w14:textId="77777777" w:rsidR="00E579B9" w:rsidRDefault="006A1398">
            <w:pPr>
              <w:pStyle w:val="aa"/>
            </w:pPr>
            <w:r>
              <w:t>各厂界噪声贡献值</w:t>
            </w:r>
          </w:p>
          <w:p w14:paraId="5FB1FE0C" w14:textId="77777777" w:rsidR="00E579B9" w:rsidRDefault="006A1398">
            <w:pPr>
              <w:pStyle w:val="aa"/>
            </w:pPr>
            <w:r>
              <w:t>dB</w:t>
            </w:r>
            <w:r>
              <w:t>（</w:t>
            </w:r>
            <w:r>
              <w:t>A</w:t>
            </w:r>
            <w:r>
              <w:t>）</w:t>
            </w:r>
          </w:p>
        </w:tc>
        <w:tc>
          <w:tcPr>
            <w:tcW w:w="2961" w:type="dxa"/>
            <w:vAlign w:val="center"/>
          </w:tcPr>
          <w:p w14:paraId="4A6BEF6C" w14:textId="77777777" w:rsidR="00E579B9" w:rsidRDefault="006A1398">
            <w:pPr>
              <w:pStyle w:val="aa"/>
            </w:pPr>
            <w:r>
              <w:t>标准值</w:t>
            </w:r>
            <w:r>
              <w:t>dB</w:t>
            </w:r>
            <w:r>
              <w:t>（</w:t>
            </w:r>
            <w:r>
              <w:t>A</w:t>
            </w:r>
            <w:r>
              <w:t>）</w:t>
            </w:r>
          </w:p>
        </w:tc>
      </w:tr>
      <w:tr w:rsidR="00E579B9" w14:paraId="22D05649" w14:textId="77777777">
        <w:trPr>
          <w:trHeight w:val="397"/>
        </w:trPr>
        <w:tc>
          <w:tcPr>
            <w:tcW w:w="922" w:type="dxa"/>
            <w:vAlign w:val="center"/>
          </w:tcPr>
          <w:p w14:paraId="30D37137" w14:textId="77777777" w:rsidR="00E579B9" w:rsidRDefault="006A1398">
            <w:pPr>
              <w:pStyle w:val="aa"/>
            </w:pPr>
            <w:r>
              <w:t>1</w:t>
            </w:r>
          </w:p>
        </w:tc>
        <w:tc>
          <w:tcPr>
            <w:tcW w:w="1857" w:type="dxa"/>
            <w:vAlign w:val="center"/>
          </w:tcPr>
          <w:p w14:paraId="3AAB2951" w14:textId="77777777" w:rsidR="00E579B9" w:rsidRDefault="006A1398">
            <w:pPr>
              <w:pStyle w:val="aa"/>
            </w:pPr>
            <w:r>
              <w:t>东厂界</w:t>
            </w:r>
          </w:p>
        </w:tc>
        <w:tc>
          <w:tcPr>
            <w:tcW w:w="2960" w:type="dxa"/>
            <w:vAlign w:val="center"/>
          </w:tcPr>
          <w:p w14:paraId="535CD633" w14:textId="77777777" w:rsidR="00E579B9" w:rsidRDefault="006A1398">
            <w:pPr>
              <w:pStyle w:val="aa"/>
            </w:pPr>
            <w:r>
              <w:t>44.8</w:t>
            </w:r>
          </w:p>
        </w:tc>
        <w:tc>
          <w:tcPr>
            <w:tcW w:w="2961" w:type="dxa"/>
            <w:vMerge w:val="restart"/>
            <w:vAlign w:val="center"/>
          </w:tcPr>
          <w:p w14:paraId="2B925133" w14:textId="77777777" w:rsidR="00E579B9" w:rsidRDefault="006A1398">
            <w:pPr>
              <w:pStyle w:val="aa"/>
            </w:pPr>
            <w:r>
              <w:t>60</w:t>
            </w:r>
            <w:r>
              <w:t>（昼间）；</w:t>
            </w:r>
          </w:p>
          <w:p w14:paraId="2741CFDF" w14:textId="77777777" w:rsidR="00E579B9" w:rsidRDefault="006A1398">
            <w:pPr>
              <w:pStyle w:val="aa"/>
            </w:pPr>
            <w:r>
              <w:t>50</w:t>
            </w:r>
            <w:r>
              <w:t>（夜间）；</w:t>
            </w:r>
          </w:p>
        </w:tc>
      </w:tr>
      <w:tr w:rsidR="00E579B9" w14:paraId="4D95EBBD" w14:textId="77777777">
        <w:trPr>
          <w:trHeight w:val="397"/>
        </w:trPr>
        <w:tc>
          <w:tcPr>
            <w:tcW w:w="922" w:type="dxa"/>
            <w:vAlign w:val="center"/>
          </w:tcPr>
          <w:p w14:paraId="2D8AF1CE" w14:textId="77777777" w:rsidR="00E579B9" w:rsidRDefault="006A1398">
            <w:pPr>
              <w:pStyle w:val="aa"/>
            </w:pPr>
            <w:r>
              <w:t>2</w:t>
            </w:r>
          </w:p>
        </w:tc>
        <w:tc>
          <w:tcPr>
            <w:tcW w:w="1857" w:type="dxa"/>
            <w:vAlign w:val="center"/>
          </w:tcPr>
          <w:p w14:paraId="466B4A05" w14:textId="77777777" w:rsidR="00E579B9" w:rsidRDefault="006A1398">
            <w:pPr>
              <w:pStyle w:val="aa"/>
            </w:pPr>
            <w:r>
              <w:t>南厂界</w:t>
            </w:r>
          </w:p>
        </w:tc>
        <w:tc>
          <w:tcPr>
            <w:tcW w:w="2960" w:type="dxa"/>
            <w:vAlign w:val="center"/>
          </w:tcPr>
          <w:p w14:paraId="1D038805" w14:textId="77777777" w:rsidR="00E579B9" w:rsidRDefault="006A1398">
            <w:pPr>
              <w:pStyle w:val="aa"/>
            </w:pPr>
            <w:r>
              <w:t>46.3</w:t>
            </w:r>
          </w:p>
        </w:tc>
        <w:tc>
          <w:tcPr>
            <w:tcW w:w="2961" w:type="dxa"/>
            <w:vMerge/>
            <w:vAlign w:val="center"/>
          </w:tcPr>
          <w:p w14:paraId="2B85F85E" w14:textId="77777777" w:rsidR="00E579B9" w:rsidRDefault="00E579B9">
            <w:pPr>
              <w:pStyle w:val="aa"/>
            </w:pPr>
          </w:p>
        </w:tc>
      </w:tr>
      <w:tr w:rsidR="00E579B9" w14:paraId="6B7C9E7F" w14:textId="77777777">
        <w:trPr>
          <w:trHeight w:val="397"/>
        </w:trPr>
        <w:tc>
          <w:tcPr>
            <w:tcW w:w="922" w:type="dxa"/>
            <w:vAlign w:val="center"/>
          </w:tcPr>
          <w:p w14:paraId="0B819757" w14:textId="77777777" w:rsidR="00E579B9" w:rsidRDefault="006A1398">
            <w:pPr>
              <w:pStyle w:val="aa"/>
            </w:pPr>
            <w:r>
              <w:t>3</w:t>
            </w:r>
          </w:p>
        </w:tc>
        <w:tc>
          <w:tcPr>
            <w:tcW w:w="1857" w:type="dxa"/>
            <w:vAlign w:val="center"/>
          </w:tcPr>
          <w:p w14:paraId="0597AABE" w14:textId="77777777" w:rsidR="00E579B9" w:rsidRDefault="006A1398">
            <w:pPr>
              <w:pStyle w:val="aa"/>
            </w:pPr>
            <w:r>
              <w:t>西厂界</w:t>
            </w:r>
          </w:p>
        </w:tc>
        <w:tc>
          <w:tcPr>
            <w:tcW w:w="2960" w:type="dxa"/>
            <w:vAlign w:val="center"/>
          </w:tcPr>
          <w:p w14:paraId="267DEF1A" w14:textId="77777777" w:rsidR="00E579B9" w:rsidRDefault="006A1398">
            <w:pPr>
              <w:pStyle w:val="aa"/>
            </w:pPr>
            <w:r>
              <w:t>45.1</w:t>
            </w:r>
          </w:p>
        </w:tc>
        <w:tc>
          <w:tcPr>
            <w:tcW w:w="2961" w:type="dxa"/>
            <w:vMerge/>
            <w:vAlign w:val="center"/>
          </w:tcPr>
          <w:p w14:paraId="484A7523" w14:textId="77777777" w:rsidR="00E579B9" w:rsidRDefault="00E579B9">
            <w:pPr>
              <w:pStyle w:val="aa"/>
            </w:pPr>
          </w:p>
        </w:tc>
      </w:tr>
      <w:tr w:rsidR="00E579B9" w14:paraId="77616507" w14:textId="77777777">
        <w:trPr>
          <w:trHeight w:val="397"/>
        </w:trPr>
        <w:tc>
          <w:tcPr>
            <w:tcW w:w="922" w:type="dxa"/>
            <w:vAlign w:val="center"/>
          </w:tcPr>
          <w:p w14:paraId="26D965B9" w14:textId="77777777" w:rsidR="00E579B9" w:rsidRDefault="006A1398">
            <w:pPr>
              <w:pStyle w:val="aa"/>
            </w:pPr>
            <w:r>
              <w:t>4</w:t>
            </w:r>
          </w:p>
        </w:tc>
        <w:tc>
          <w:tcPr>
            <w:tcW w:w="1857" w:type="dxa"/>
            <w:vAlign w:val="center"/>
          </w:tcPr>
          <w:p w14:paraId="7D204025" w14:textId="77777777" w:rsidR="00E579B9" w:rsidRDefault="006A1398">
            <w:pPr>
              <w:pStyle w:val="aa"/>
            </w:pPr>
            <w:r>
              <w:t>北厂界</w:t>
            </w:r>
          </w:p>
        </w:tc>
        <w:tc>
          <w:tcPr>
            <w:tcW w:w="2960" w:type="dxa"/>
            <w:vAlign w:val="center"/>
          </w:tcPr>
          <w:p w14:paraId="5949D8C1" w14:textId="77777777" w:rsidR="00E579B9" w:rsidRDefault="006A1398">
            <w:pPr>
              <w:pStyle w:val="aa"/>
            </w:pPr>
            <w:r>
              <w:t>47.2</w:t>
            </w:r>
          </w:p>
        </w:tc>
        <w:tc>
          <w:tcPr>
            <w:tcW w:w="2961" w:type="dxa"/>
            <w:vMerge/>
            <w:vAlign w:val="center"/>
          </w:tcPr>
          <w:p w14:paraId="010D5423" w14:textId="77777777" w:rsidR="00E579B9" w:rsidRDefault="00E579B9">
            <w:pPr>
              <w:pStyle w:val="aa"/>
            </w:pPr>
          </w:p>
        </w:tc>
      </w:tr>
    </w:tbl>
    <w:p w14:paraId="6E6DC516" w14:textId="77777777" w:rsidR="00E579B9" w:rsidRDefault="006A1398">
      <w:pPr>
        <w:pStyle w:val="226"/>
        <w:rPr>
          <w:rFonts w:cs="Times New Roman"/>
          <w:kern w:val="0"/>
        </w:rPr>
      </w:pPr>
      <w:r>
        <w:rPr>
          <w:rFonts w:cs="Times New Roman" w:hint="eastAsia"/>
          <w:kern w:val="0"/>
        </w:rPr>
        <w:t>项目破碎场地厂界处昼、夜间噪声均能满足《工业企业厂界环境噪声排放标准》（</w:t>
      </w:r>
      <w:r>
        <w:rPr>
          <w:rFonts w:cs="Times New Roman"/>
          <w:kern w:val="0"/>
        </w:rPr>
        <w:t>GB12348—2008</w:t>
      </w:r>
      <w:r>
        <w:rPr>
          <w:rFonts w:cs="Times New Roman" w:hint="eastAsia"/>
          <w:kern w:val="0"/>
        </w:rPr>
        <w:t>）</w:t>
      </w:r>
      <w:r>
        <w:rPr>
          <w:rFonts w:cs="Times New Roman"/>
          <w:kern w:val="0"/>
        </w:rPr>
        <w:t>2</w:t>
      </w:r>
      <w:r>
        <w:rPr>
          <w:rFonts w:cs="Times New Roman" w:hint="eastAsia"/>
          <w:kern w:val="0"/>
        </w:rPr>
        <w:t>类标准（昼间≤</w:t>
      </w:r>
      <w:r>
        <w:rPr>
          <w:rFonts w:cs="Times New Roman" w:hint="eastAsia"/>
          <w:kern w:val="0"/>
        </w:rPr>
        <w:t>60</w:t>
      </w:r>
      <w:r>
        <w:rPr>
          <w:rFonts w:cs="Times New Roman"/>
          <w:kern w:val="0"/>
        </w:rPr>
        <w:t>dB(A)</w:t>
      </w:r>
      <w:r>
        <w:rPr>
          <w:rFonts w:cs="Times New Roman" w:hint="eastAsia"/>
          <w:kern w:val="0"/>
        </w:rPr>
        <w:t>、夜间≤</w:t>
      </w:r>
      <w:r>
        <w:rPr>
          <w:rFonts w:cs="Times New Roman" w:hint="eastAsia"/>
          <w:kern w:val="0"/>
        </w:rPr>
        <w:t>60</w:t>
      </w:r>
      <w:r>
        <w:rPr>
          <w:rFonts w:cs="Times New Roman"/>
          <w:kern w:val="0"/>
        </w:rPr>
        <w:t>dB(A)</w:t>
      </w:r>
      <w:r>
        <w:rPr>
          <w:rFonts w:cs="Times New Roman" w:hint="eastAsia"/>
          <w:kern w:val="0"/>
        </w:rPr>
        <w:t>）要求。项目破碎场地距离最近的敏感点西下庄</w:t>
      </w:r>
      <w:r>
        <w:rPr>
          <w:rFonts w:cs="Times New Roman"/>
          <w:kern w:val="0"/>
        </w:rPr>
        <w:t>居民点</w:t>
      </w:r>
      <w:r>
        <w:rPr>
          <w:rFonts w:cs="Times New Roman" w:hint="eastAsia"/>
          <w:kern w:val="0"/>
        </w:rPr>
        <w:t>420m</w:t>
      </w:r>
      <w:r>
        <w:rPr>
          <w:rFonts w:cs="Times New Roman" w:hint="eastAsia"/>
          <w:kern w:val="0"/>
        </w:rPr>
        <w:t>，距离较远，预计破碎场地噪声对其影响较小。因此，总体来说，项目破碎场地对</w:t>
      </w:r>
      <w:proofErr w:type="gramStart"/>
      <w:r>
        <w:rPr>
          <w:rFonts w:cs="Times New Roman" w:hint="eastAsia"/>
          <w:kern w:val="0"/>
        </w:rPr>
        <w:t>周边声</w:t>
      </w:r>
      <w:proofErr w:type="gramEnd"/>
      <w:r>
        <w:rPr>
          <w:rFonts w:cs="Times New Roman" w:hint="eastAsia"/>
          <w:kern w:val="0"/>
        </w:rPr>
        <w:t>环境的影响较小。</w:t>
      </w:r>
    </w:p>
    <w:p w14:paraId="042ED901" w14:textId="77777777" w:rsidR="00E579B9" w:rsidRDefault="006A1398">
      <w:pPr>
        <w:pStyle w:val="a5"/>
        <w:spacing w:before="67" w:line="376" w:lineRule="auto"/>
        <w:ind w:right="111" w:firstLineChars="0"/>
        <w:rPr>
          <w:rFonts w:cs="Times New Roman"/>
          <w:kern w:val="0"/>
        </w:rPr>
      </w:pPr>
      <w:r>
        <w:rPr>
          <w:rFonts w:cs="Times New Roman" w:hint="eastAsia"/>
          <w:kern w:val="0"/>
        </w:rPr>
        <w:t>（</w:t>
      </w:r>
      <w:r>
        <w:rPr>
          <w:rFonts w:cs="Times New Roman" w:hint="eastAsia"/>
          <w:kern w:val="0"/>
        </w:rPr>
        <w:t>3</w:t>
      </w:r>
      <w:r>
        <w:rPr>
          <w:rFonts w:cs="Times New Roman" w:hint="eastAsia"/>
          <w:kern w:val="0"/>
        </w:rPr>
        <w:t>）运输噪声对敏感点的影响</w:t>
      </w:r>
    </w:p>
    <w:p w14:paraId="1447A028" w14:textId="3885CB15" w:rsidR="00E579B9" w:rsidRDefault="006A1398">
      <w:r>
        <w:t>本项目矿山开采矿石直接运往山下配套破碎厂，运输距离较短，运输过程中不经过敏感点。项目矿山四周均为石山，内部运输车辆产生的噪声对敏感点影响不大</w:t>
      </w:r>
      <w:r w:rsidR="00310AC0">
        <w:rPr>
          <w:rFonts w:hint="eastAsia"/>
        </w:rPr>
        <w:t>，周围敏感</w:t>
      </w:r>
      <w:proofErr w:type="gramStart"/>
      <w:r w:rsidR="00310AC0">
        <w:rPr>
          <w:rFonts w:hint="eastAsia"/>
        </w:rPr>
        <w:t>点处声环境</w:t>
      </w:r>
      <w:proofErr w:type="gramEnd"/>
      <w:r w:rsidR="00310AC0">
        <w:rPr>
          <w:rFonts w:hint="eastAsia"/>
        </w:rPr>
        <w:t>能满足</w:t>
      </w:r>
      <w:r w:rsidR="00310AC0">
        <w:t>《声环境质量标准》（</w:t>
      </w:r>
      <w:r w:rsidR="00310AC0">
        <w:t>GB3096-2008</w:t>
      </w:r>
      <w:r w:rsidR="00310AC0">
        <w:rPr>
          <w:rFonts w:ascii="宋体" w:hAnsi="宋体"/>
        </w:rPr>
        <w:t>）</w:t>
      </w:r>
      <w:r w:rsidR="00310AC0">
        <w:t>2</w:t>
      </w:r>
      <w:r w:rsidR="00310AC0">
        <w:rPr>
          <w:rFonts w:ascii="宋体" w:hAnsi="宋体"/>
        </w:rPr>
        <w:t>类区标准</w:t>
      </w:r>
      <w:r w:rsidR="00310AC0">
        <w:rPr>
          <w:rFonts w:ascii="宋体" w:hAnsi="宋体" w:hint="eastAsia"/>
        </w:rPr>
        <w:t>。</w:t>
      </w:r>
    </w:p>
    <w:p w14:paraId="1AD7D921" w14:textId="77777777" w:rsidR="00E579B9" w:rsidRDefault="006A1398">
      <w:proofErr w:type="gramStart"/>
      <w:r>
        <w:lastRenderedPageBreak/>
        <w:t>本环评要求</w:t>
      </w:r>
      <w:proofErr w:type="gramEnd"/>
      <w:r>
        <w:t>企业合理安排运输时间，夜间禁止运输，限制鸣笛、严格控制运输车辆速度等。采取上述措施后，可减轻项目运输车辆噪声对周围敏感点的影响。</w:t>
      </w:r>
    </w:p>
    <w:p w14:paraId="65B17C1C" w14:textId="77777777" w:rsidR="00E579B9" w:rsidRDefault="006A1398">
      <w:pPr>
        <w:pStyle w:val="226"/>
        <w:rPr>
          <w:rFonts w:cs="Times New Roman"/>
          <w:kern w:val="0"/>
        </w:rPr>
      </w:pPr>
      <w:r>
        <w:rPr>
          <w:rFonts w:cs="Times New Roman" w:hint="eastAsia"/>
          <w:kern w:val="0"/>
        </w:rPr>
        <w:t>综上所述，在采取环</w:t>
      </w:r>
      <w:proofErr w:type="gramStart"/>
      <w:r>
        <w:rPr>
          <w:rFonts w:cs="Times New Roman" w:hint="eastAsia"/>
          <w:kern w:val="0"/>
        </w:rPr>
        <w:t>评要求</w:t>
      </w:r>
      <w:proofErr w:type="gramEnd"/>
      <w:r>
        <w:rPr>
          <w:rFonts w:cs="Times New Roman" w:hint="eastAsia"/>
          <w:kern w:val="0"/>
        </w:rPr>
        <w:t>的措施后，项目露天采场、破碎场地噪声对</w:t>
      </w:r>
      <w:proofErr w:type="gramStart"/>
      <w:r>
        <w:rPr>
          <w:rFonts w:cs="Times New Roman" w:hint="eastAsia"/>
          <w:kern w:val="0"/>
        </w:rPr>
        <w:t>周边声</w:t>
      </w:r>
      <w:proofErr w:type="gramEnd"/>
      <w:r>
        <w:rPr>
          <w:rFonts w:cs="Times New Roman" w:hint="eastAsia"/>
          <w:kern w:val="0"/>
        </w:rPr>
        <w:t>环境的影响较小。</w:t>
      </w:r>
    </w:p>
    <w:p w14:paraId="64F3360E" w14:textId="77777777" w:rsidR="00E579B9" w:rsidRDefault="006A1398">
      <w:pPr>
        <w:pStyle w:val="3"/>
        <w:ind w:firstLine="560"/>
      </w:pPr>
      <w:bookmarkStart w:id="256" w:name="_Toc531939369"/>
      <w:bookmarkStart w:id="257" w:name="_Toc4170"/>
      <w:bookmarkStart w:id="258" w:name="_Toc531939580"/>
      <w:r>
        <w:t>5.2.4</w:t>
      </w:r>
      <w:r>
        <w:t>固体废物环境影响分析</w:t>
      </w:r>
      <w:bookmarkEnd w:id="256"/>
      <w:bookmarkEnd w:id="257"/>
      <w:bookmarkEnd w:id="258"/>
    </w:p>
    <w:p w14:paraId="616DA8E6" w14:textId="77777777" w:rsidR="00E579B9" w:rsidRDefault="006A1398">
      <w:r>
        <w:rPr>
          <w:rFonts w:hint="eastAsia"/>
        </w:rPr>
        <w:t>本项目运营期的产生的固体废物主要是矿山剥离表土、破碎场地袋式除尘器收集粉尘、生活垃圾。</w:t>
      </w:r>
    </w:p>
    <w:p w14:paraId="46F57C63" w14:textId="77777777" w:rsidR="00E579B9" w:rsidRDefault="006A1398">
      <w:r>
        <w:t>本项目</w:t>
      </w:r>
      <w:r>
        <w:rPr>
          <w:rFonts w:hint="eastAsia"/>
        </w:rPr>
        <w:t>产生的废土石和收集的除尘灰前期暂存于临时表土场，后期直接用于边坡的复垦</w:t>
      </w:r>
      <w:proofErr w:type="gramStart"/>
      <w:r>
        <w:rPr>
          <w:rFonts w:hint="eastAsia"/>
        </w:rPr>
        <w:t>以及采坑的</w:t>
      </w:r>
      <w:proofErr w:type="gramEnd"/>
      <w:r>
        <w:rPr>
          <w:rFonts w:hint="eastAsia"/>
        </w:rPr>
        <w:t>覆土填平；废石固体残渣中剥离出风化岩层出售给砖厂，得以综合利用。</w:t>
      </w:r>
    </w:p>
    <w:p w14:paraId="52B1ACF8" w14:textId="77777777" w:rsidR="00E579B9" w:rsidRDefault="006A1398">
      <w:r>
        <w:rPr>
          <w:rFonts w:hint="eastAsia"/>
        </w:rPr>
        <w:t>项目破碎场地袋式除尘器收集粉尘量为</w:t>
      </w:r>
      <w:r>
        <w:rPr>
          <w:rFonts w:hint="eastAsia"/>
        </w:rPr>
        <w:t>14.63t/a</w:t>
      </w:r>
      <w:r>
        <w:rPr>
          <w:rFonts w:hint="eastAsia"/>
        </w:rPr>
        <w:t>，收集粉尘作为产品外售。</w:t>
      </w:r>
    </w:p>
    <w:p w14:paraId="0545791E" w14:textId="77777777" w:rsidR="00E579B9" w:rsidRDefault="006A1398">
      <w:r>
        <w:rPr>
          <w:rFonts w:hint="eastAsia"/>
        </w:rPr>
        <w:t>项目劳动定员</w:t>
      </w:r>
      <w:r>
        <w:t>159</w:t>
      </w:r>
      <w:r>
        <w:rPr>
          <w:rFonts w:hint="eastAsia"/>
        </w:rPr>
        <w:t>人，生活垃圾产生量按</w:t>
      </w:r>
      <w:r>
        <w:t>0.5</w:t>
      </w:r>
      <w:r>
        <w:rPr>
          <w:rFonts w:hint="eastAsia"/>
        </w:rPr>
        <w:t>kg/</w:t>
      </w:r>
      <w:r>
        <w:rPr>
          <w:rFonts w:hint="eastAsia"/>
        </w:rPr>
        <w:t>人·</w:t>
      </w:r>
      <w:r>
        <w:rPr>
          <w:rFonts w:hint="eastAsia"/>
        </w:rPr>
        <w:t>d</w:t>
      </w:r>
      <w:r>
        <w:rPr>
          <w:rFonts w:hint="eastAsia"/>
        </w:rPr>
        <w:t>计，则生活垃圾产生量为</w:t>
      </w:r>
      <w:r>
        <w:t>79.5</w:t>
      </w:r>
      <w:r>
        <w:rPr>
          <w:rFonts w:hint="eastAsia"/>
        </w:rPr>
        <w:t>kg/d</w:t>
      </w:r>
      <w:r>
        <w:rPr>
          <w:rFonts w:hint="eastAsia"/>
        </w:rPr>
        <w:t>（</w:t>
      </w:r>
      <w:r>
        <w:t>22.26</w:t>
      </w:r>
      <w:r>
        <w:rPr>
          <w:rFonts w:hint="eastAsia"/>
        </w:rPr>
        <w:t>t/a</w:t>
      </w:r>
      <w:r>
        <w:rPr>
          <w:rFonts w:hint="eastAsia"/>
        </w:rPr>
        <w:t>）。采区设置垃圾收集箱，收集的</w:t>
      </w:r>
      <w:r>
        <w:rPr>
          <w:rFonts w:hint="eastAsia"/>
          <w:spacing w:val="12"/>
        </w:rPr>
        <w:t>生活垃圾则由环卫部门定期清运</w:t>
      </w:r>
      <w:r>
        <w:rPr>
          <w:rFonts w:hint="eastAsia"/>
        </w:rPr>
        <w:t>，对外环境影响较小。</w:t>
      </w:r>
    </w:p>
    <w:p w14:paraId="55443144" w14:textId="77777777" w:rsidR="00E579B9" w:rsidRDefault="006A1398">
      <w:r>
        <w:rPr>
          <w:rFonts w:hint="eastAsia"/>
        </w:rPr>
        <w:t>综上所述，本项目固体废物均能得到合理处置，对周围环境影响较小。</w:t>
      </w:r>
    </w:p>
    <w:p w14:paraId="3422CE7A" w14:textId="77777777" w:rsidR="00E579B9" w:rsidRDefault="006A1398">
      <w:pPr>
        <w:pStyle w:val="3"/>
        <w:ind w:firstLine="560"/>
      </w:pPr>
      <w:bookmarkStart w:id="259" w:name="_Toc531939370"/>
      <w:bookmarkStart w:id="260" w:name="_Toc531939581"/>
      <w:r>
        <w:rPr>
          <w:rFonts w:hint="eastAsia"/>
        </w:rPr>
        <w:t>5.2</w:t>
      </w:r>
      <w:r>
        <w:t>.5</w:t>
      </w:r>
      <w:r>
        <w:rPr>
          <w:rFonts w:hint="eastAsia"/>
        </w:rPr>
        <w:t>地下水环境影响分析</w:t>
      </w:r>
      <w:bookmarkEnd w:id="259"/>
      <w:bookmarkEnd w:id="260"/>
    </w:p>
    <w:p w14:paraId="3657F0D1" w14:textId="77777777" w:rsidR="00E579B9" w:rsidRDefault="006A1398">
      <w:r>
        <w:t>本项目为</w:t>
      </w:r>
      <w:r>
        <w:rPr>
          <w:rFonts w:hint="eastAsia"/>
        </w:rPr>
        <w:t>大理岩矿</w:t>
      </w:r>
      <w:r>
        <w:t>露天开采项目，根据《环境影响评价技术导则地下水环境》（</w:t>
      </w:r>
      <w:r>
        <w:t>HJ610-2016</w:t>
      </w:r>
      <w:r>
        <w:t>）附录</w:t>
      </w:r>
      <w:r>
        <w:t>A</w:t>
      </w:r>
      <w:r>
        <w:t>，本项目属于</w:t>
      </w:r>
      <w:r>
        <w:t>J.</w:t>
      </w:r>
      <w:r>
        <w:t>非金属矿采选及制品制造中</w:t>
      </w:r>
      <w:r>
        <w:t>54</w:t>
      </w:r>
      <w:r>
        <w:t>、土砂石开采，地下水环境影响评价项目类型为（报告书）</w:t>
      </w:r>
      <w:r>
        <w:t>Ⅳ</w:t>
      </w:r>
      <w:r>
        <w:t>类，</w:t>
      </w:r>
      <w:r>
        <w:t>Ⅳ</w:t>
      </w:r>
      <w:r>
        <w:t>类建设项目不</w:t>
      </w:r>
      <w:r>
        <w:rPr>
          <w:rFonts w:hint="eastAsia"/>
        </w:rPr>
        <w:t>须</w:t>
      </w:r>
      <w:r>
        <w:t>开展地下水环境影响评价。</w:t>
      </w:r>
    </w:p>
    <w:p w14:paraId="66BE5B3D" w14:textId="77777777" w:rsidR="00E579B9" w:rsidRDefault="006A1398">
      <w:r>
        <w:rPr>
          <w:rFonts w:hint="eastAsia"/>
        </w:rPr>
        <w:t>本项目运营</w:t>
      </w:r>
      <w:proofErr w:type="gramStart"/>
      <w:r>
        <w:rPr>
          <w:rFonts w:hint="eastAsia"/>
        </w:rPr>
        <w:t>期生产</w:t>
      </w:r>
      <w:proofErr w:type="gramEnd"/>
      <w:r>
        <w:rPr>
          <w:rFonts w:hint="eastAsia"/>
        </w:rPr>
        <w:t>用水主要为湿式爆破用水及降尘用水，无生产废水外排，生活污水经一体化污水处理站处理后，综合利用于场地降尘，且生活污水产生量较少，污染物成分较简单，主要为</w:t>
      </w:r>
      <w:r>
        <w:rPr>
          <w:rFonts w:hint="eastAsia"/>
        </w:rPr>
        <w:t>COD</w:t>
      </w:r>
      <w:r>
        <w:rPr>
          <w:rFonts w:hint="eastAsia"/>
        </w:rPr>
        <w:t>和</w:t>
      </w:r>
      <w:r>
        <w:rPr>
          <w:rFonts w:hint="eastAsia"/>
        </w:rPr>
        <w:t>SS</w:t>
      </w:r>
      <w:r>
        <w:rPr>
          <w:rFonts w:hint="eastAsia"/>
        </w:rPr>
        <w:t>。因此，项目对地下水水质无影响。</w:t>
      </w:r>
    </w:p>
    <w:p w14:paraId="2FBF20C8" w14:textId="77777777" w:rsidR="00E579B9" w:rsidRDefault="006A1398">
      <w:pPr>
        <w:pStyle w:val="3"/>
        <w:ind w:firstLine="560"/>
      </w:pPr>
      <w:bookmarkStart w:id="261" w:name="_Toc531939371"/>
      <w:bookmarkStart w:id="262" w:name="_Toc531939582"/>
      <w:r>
        <w:rPr>
          <w:rFonts w:hint="eastAsia"/>
        </w:rPr>
        <w:t>5.2</w:t>
      </w:r>
      <w:r>
        <w:t>.6</w:t>
      </w:r>
      <w:r>
        <w:rPr>
          <w:rFonts w:hint="eastAsia"/>
        </w:rPr>
        <w:t>道路运输环境影响分析</w:t>
      </w:r>
      <w:bookmarkEnd w:id="261"/>
      <w:bookmarkEnd w:id="262"/>
    </w:p>
    <w:p w14:paraId="52596887" w14:textId="77777777" w:rsidR="00E579B9" w:rsidRDefault="006A1398">
      <w:pPr>
        <w:pStyle w:val="226"/>
        <w:rPr>
          <w:rFonts w:cs="Times New Roman"/>
          <w:kern w:val="0"/>
        </w:rPr>
      </w:pPr>
      <w:r>
        <w:rPr>
          <w:rFonts w:cs="Times New Roman" w:hint="eastAsia"/>
          <w:kern w:val="0"/>
        </w:rPr>
        <w:t>（</w:t>
      </w:r>
      <w:r>
        <w:rPr>
          <w:rFonts w:cs="Times New Roman" w:hint="eastAsia"/>
          <w:kern w:val="0"/>
        </w:rPr>
        <w:t>1</w:t>
      </w:r>
      <w:r>
        <w:rPr>
          <w:rFonts w:cs="Times New Roman" w:hint="eastAsia"/>
          <w:kern w:val="0"/>
        </w:rPr>
        <w:t>）运输路线</w:t>
      </w:r>
    </w:p>
    <w:p w14:paraId="4B0BF502" w14:textId="77777777" w:rsidR="00E579B9" w:rsidRDefault="006A1398">
      <w:pPr>
        <w:pStyle w:val="226"/>
        <w:rPr>
          <w:rFonts w:cs="Times New Roman"/>
          <w:kern w:val="0"/>
        </w:rPr>
      </w:pPr>
      <w:r>
        <w:rPr>
          <w:rFonts w:cs="Times New Roman" w:hint="eastAsia"/>
          <w:kern w:val="0"/>
        </w:rPr>
        <w:t>项目破碎场地位于采区南部，产品出矿区后经</w:t>
      </w:r>
      <w:r>
        <w:rPr>
          <w:rFonts w:cs="Times New Roman" w:hint="eastAsia"/>
          <w:kern w:val="0"/>
        </w:rPr>
        <w:t>0.96km</w:t>
      </w:r>
      <w:r>
        <w:rPr>
          <w:rFonts w:cs="Times New Roman" w:hint="eastAsia"/>
          <w:kern w:val="0"/>
        </w:rPr>
        <w:t>自建的水泥路与村村</w:t>
      </w:r>
      <w:r>
        <w:rPr>
          <w:rFonts w:cs="Times New Roman" w:hint="eastAsia"/>
          <w:kern w:val="0"/>
        </w:rPr>
        <w:lastRenderedPageBreak/>
        <w:t>通道路相连，向南后向东南经</w:t>
      </w:r>
      <w:r>
        <w:rPr>
          <w:rFonts w:cs="Times New Roman" w:hint="eastAsia"/>
          <w:kern w:val="0"/>
        </w:rPr>
        <w:t>1.5km</w:t>
      </w:r>
      <w:r>
        <w:rPr>
          <w:rFonts w:cs="Times New Roman" w:hint="eastAsia"/>
          <w:kern w:val="0"/>
        </w:rPr>
        <w:t>后，与</w:t>
      </w:r>
      <w:r>
        <w:rPr>
          <w:rFonts w:cs="Times New Roman" w:hint="eastAsia"/>
          <w:kern w:val="0"/>
        </w:rPr>
        <w:t>S</w:t>
      </w:r>
      <w:r>
        <w:rPr>
          <w:rFonts w:cs="Times New Roman"/>
          <w:kern w:val="0"/>
        </w:rPr>
        <w:t>220</w:t>
      </w:r>
      <w:r>
        <w:rPr>
          <w:rFonts w:cs="Times New Roman" w:hint="eastAsia"/>
          <w:kern w:val="0"/>
        </w:rPr>
        <w:t>相连。</w:t>
      </w:r>
    </w:p>
    <w:p w14:paraId="24C33222" w14:textId="77777777" w:rsidR="00E579B9" w:rsidRDefault="006A1398">
      <w:pPr>
        <w:pStyle w:val="af9"/>
        <w:spacing w:line="520" w:lineRule="exact"/>
        <w:ind w:firstLineChars="200" w:firstLine="480"/>
        <w:rPr>
          <w:sz w:val="24"/>
          <w:szCs w:val="24"/>
        </w:rPr>
      </w:pPr>
      <w:r>
        <w:rPr>
          <w:sz w:val="24"/>
          <w:szCs w:val="24"/>
        </w:rPr>
        <w:t>项目运输沿线敏感点见表</w:t>
      </w:r>
      <w:r>
        <w:rPr>
          <w:rFonts w:hint="eastAsia"/>
          <w:sz w:val="24"/>
          <w:szCs w:val="24"/>
        </w:rPr>
        <w:t>5.2-16</w:t>
      </w:r>
      <w:r>
        <w:rPr>
          <w:sz w:val="24"/>
          <w:szCs w:val="24"/>
        </w:rPr>
        <w:t>。</w:t>
      </w:r>
    </w:p>
    <w:p w14:paraId="6F67051C" w14:textId="16995545" w:rsidR="00E579B9" w:rsidRDefault="006A1398">
      <w:pPr>
        <w:pStyle w:val="a3"/>
        <w:spacing w:line="520" w:lineRule="exact"/>
        <w:ind w:firstLine="488"/>
        <w:jc w:val="both"/>
        <w:rPr>
          <w:rFonts w:eastAsia="黑体"/>
          <w:bCs/>
          <w:spacing w:val="2"/>
        </w:rPr>
      </w:pPr>
      <w:r>
        <w:rPr>
          <w:rFonts w:eastAsia="黑体"/>
          <w:bCs/>
          <w:spacing w:val="2"/>
        </w:rPr>
        <w:t>表</w:t>
      </w:r>
      <w:r>
        <w:rPr>
          <w:rFonts w:eastAsia="黑体" w:hint="eastAsia"/>
          <w:bCs/>
          <w:spacing w:val="2"/>
        </w:rPr>
        <w:t>5.2-16</w:t>
      </w:r>
      <w:r>
        <w:rPr>
          <w:rFonts w:eastAsia="黑体"/>
          <w:bCs/>
          <w:spacing w:val="2"/>
        </w:rPr>
        <w:t>运矿道路沿线敏感点及受影响人数分布情况一览表</w:t>
      </w:r>
    </w:p>
    <w:tbl>
      <w:tblPr>
        <w:tblW w:w="9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7"/>
        <w:gridCol w:w="1125"/>
        <w:gridCol w:w="1001"/>
        <w:gridCol w:w="1471"/>
        <w:gridCol w:w="1506"/>
        <w:gridCol w:w="2720"/>
      </w:tblGrid>
      <w:tr w:rsidR="00E579B9" w14:paraId="028915ED" w14:textId="77777777">
        <w:trPr>
          <w:trHeight w:val="396"/>
          <w:jc w:val="center"/>
        </w:trPr>
        <w:tc>
          <w:tcPr>
            <w:tcW w:w="1417" w:type="dxa"/>
            <w:tcBorders>
              <w:top w:val="single" w:sz="4" w:space="0" w:color="000000"/>
              <w:left w:val="single" w:sz="4" w:space="0" w:color="000000"/>
              <w:bottom w:val="single" w:sz="4" w:space="0" w:color="000000"/>
              <w:right w:val="single" w:sz="4" w:space="0" w:color="auto"/>
            </w:tcBorders>
            <w:vAlign w:val="center"/>
          </w:tcPr>
          <w:p w14:paraId="5E3BFD4E" w14:textId="77777777" w:rsidR="00E579B9" w:rsidRDefault="006A1398">
            <w:pPr>
              <w:pStyle w:val="aa"/>
            </w:pPr>
            <w:r>
              <w:rPr>
                <w:rFonts w:hint="eastAsia"/>
              </w:rPr>
              <w:t>类别</w:t>
            </w:r>
          </w:p>
        </w:tc>
        <w:tc>
          <w:tcPr>
            <w:tcW w:w="1125" w:type="dxa"/>
            <w:tcBorders>
              <w:top w:val="single" w:sz="4" w:space="0" w:color="000000"/>
              <w:left w:val="single" w:sz="4" w:space="0" w:color="auto"/>
              <w:bottom w:val="single" w:sz="4" w:space="0" w:color="000000"/>
              <w:right w:val="single" w:sz="4" w:space="0" w:color="000000"/>
            </w:tcBorders>
            <w:vAlign w:val="center"/>
          </w:tcPr>
          <w:p w14:paraId="3E71762C" w14:textId="77777777" w:rsidR="00E579B9" w:rsidRDefault="006A1398">
            <w:pPr>
              <w:pStyle w:val="aa"/>
            </w:pPr>
            <w:r>
              <w:rPr>
                <w:rFonts w:hint="eastAsia"/>
              </w:rPr>
              <w:t>敏感点</w:t>
            </w:r>
          </w:p>
        </w:tc>
        <w:tc>
          <w:tcPr>
            <w:tcW w:w="1001" w:type="dxa"/>
            <w:tcBorders>
              <w:top w:val="single" w:sz="4" w:space="0" w:color="000000"/>
              <w:left w:val="single" w:sz="4" w:space="0" w:color="000000"/>
              <w:bottom w:val="single" w:sz="4" w:space="0" w:color="000000"/>
              <w:right w:val="single" w:sz="4" w:space="0" w:color="000000"/>
            </w:tcBorders>
            <w:vAlign w:val="center"/>
          </w:tcPr>
          <w:p w14:paraId="21CF51D9" w14:textId="77777777" w:rsidR="00E579B9" w:rsidRDefault="006A1398">
            <w:pPr>
              <w:pStyle w:val="aa"/>
            </w:pPr>
            <w:r>
              <w:rPr>
                <w:rFonts w:hint="eastAsia"/>
              </w:rPr>
              <w:t>方位</w:t>
            </w:r>
          </w:p>
        </w:tc>
        <w:tc>
          <w:tcPr>
            <w:tcW w:w="1471" w:type="dxa"/>
            <w:tcBorders>
              <w:top w:val="single" w:sz="4" w:space="0" w:color="000000"/>
              <w:left w:val="single" w:sz="4" w:space="0" w:color="000000"/>
              <w:bottom w:val="single" w:sz="4" w:space="0" w:color="000000"/>
              <w:right w:val="single" w:sz="4" w:space="0" w:color="000000"/>
            </w:tcBorders>
            <w:vAlign w:val="center"/>
          </w:tcPr>
          <w:p w14:paraId="2983BFD6" w14:textId="77777777" w:rsidR="00E579B9" w:rsidRDefault="006A1398">
            <w:pPr>
              <w:pStyle w:val="aa"/>
            </w:pPr>
            <w:proofErr w:type="gramStart"/>
            <w:r>
              <w:rPr>
                <w:rFonts w:hint="eastAsia"/>
              </w:rPr>
              <w:t>距道路</w:t>
            </w:r>
            <w:proofErr w:type="gramEnd"/>
            <w:r>
              <w:rPr>
                <w:rFonts w:hint="eastAsia"/>
              </w:rPr>
              <w:t>中心线最近距离</w:t>
            </w:r>
            <w:r>
              <w:t>(m)</w:t>
            </w:r>
          </w:p>
        </w:tc>
        <w:tc>
          <w:tcPr>
            <w:tcW w:w="1506" w:type="dxa"/>
            <w:tcBorders>
              <w:top w:val="single" w:sz="4" w:space="0" w:color="000000"/>
              <w:left w:val="single" w:sz="4" w:space="0" w:color="000000"/>
              <w:bottom w:val="single" w:sz="4" w:space="0" w:color="000000"/>
              <w:right w:val="single" w:sz="4" w:space="0" w:color="000000"/>
            </w:tcBorders>
            <w:vAlign w:val="center"/>
          </w:tcPr>
          <w:p w14:paraId="3E632B97" w14:textId="77777777" w:rsidR="00E579B9" w:rsidRDefault="006A1398">
            <w:pPr>
              <w:pStyle w:val="aa"/>
            </w:pPr>
            <w:r>
              <w:rPr>
                <w:rFonts w:hint="eastAsia"/>
              </w:rPr>
              <w:t>可能受影响人口</w:t>
            </w:r>
          </w:p>
        </w:tc>
        <w:tc>
          <w:tcPr>
            <w:tcW w:w="2720" w:type="dxa"/>
            <w:tcBorders>
              <w:top w:val="single" w:sz="4" w:space="0" w:color="auto"/>
              <w:left w:val="single" w:sz="4" w:space="0" w:color="000000"/>
              <w:bottom w:val="single" w:sz="4" w:space="0" w:color="auto"/>
              <w:right w:val="single" w:sz="4" w:space="0" w:color="000000"/>
            </w:tcBorders>
            <w:vAlign w:val="center"/>
          </w:tcPr>
          <w:p w14:paraId="7D8C1831" w14:textId="77777777" w:rsidR="00E579B9" w:rsidRDefault="006A1398">
            <w:pPr>
              <w:pStyle w:val="aa"/>
            </w:pPr>
            <w:r>
              <w:rPr>
                <w:rFonts w:hint="eastAsia"/>
              </w:rPr>
              <w:t>备注</w:t>
            </w:r>
          </w:p>
        </w:tc>
      </w:tr>
      <w:tr w:rsidR="00E579B9" w14:paraId="22EFE9B7" w14:textId="77777777">
        <w:trPr>
          <w:trHeight w:val="396"/>
          <w:jc w:val="center"/>
        </w:trPr>
        <w:tc>
          <w:tcPr>
            <w:tcW w:w="1417" w:type="dxa"/>
            <w:tcBorders>
              <w:top w:val="single" w:sz="4" w:space="0" w:color="000000"/>
              <w:left w:val="single" w:sz="4" w:space="0" w:color="000000"/>
              <w:right w:val="single" w:sz="4" w:space="0" w:color="auto"/>
            </w:tcBorders>
            <w:vAlign w:val="center"/>
          </w:tcPr>
          <w:p w14:paraId="601ADDF7" w14:textId="77777777" w:rsidR="00E579B9" w:rsidRDefault="006A1398">
            <w:pPr>
              <w:pStyle w:val="aa"/>
            </w:pPr>
            <w:r>
              <w:rPr>
                <w:rFonts w:hint="eastAsia"/>
              </w:rPr>
              <w:t>采区至破碎场地</w:t>
            </w:r>
          </w:p>
        </w:tc>
        <w:tc>
          <w:tcPr>
            <w:tcW w:w="5103" w:type="dxa"/>
            <w:gridSpan w:val="4"/>
            <w:tcBorders>
              <w:top w:val="single" w:sz="4" w:space="0" w:color="000000"/>
              <w:left w:val="single" w:sz="4" w:space="0" w:color="auto"/>
              <w:bottom w:val="single" w:sz="4" w:space="0" w:color="000000"/>
              <w:right w:val="single" w:sz="4" w:space="0" w:color="000000"/>
            </w:tcBorders>
            <w:vAlign w:val="center"/>
          </w:tcPr>
          <w:p w14:paraId="01C247C5" w14:textId="77777777" w:rsidR="00E579B9" w:rsidRDefault="006A1398">
            <w:pPr>
              <w:pStyle w:val="aa"/>
            </w:pPr>
            <w:r>
              <w:rPr>
                <w:rFonts w:hint="eastAsia"/>
              </w:rPr>
              <w:t>无</w:t>
            </w:r>
          </w:p>
        </w:tc>
        <w:tc>
          <w:tcPr>
            <w:tcW w:w="2720" w:type="dxa"/>
            <w:vMerge w:val="restart"/>
            <w:tcBorders>
              <w:top w:val="single" w:sz="4" w:space="0" w:color="auto"/>
              <w:left w:val="single" w:sz="4" w:space="0" w:color="000000"/>
              <w:bottom w:val="single" w:sz="4" w:space="0" w:color="000000"/>
              <w:right w:val="single" w:sz="4" w:space="0" w:color="000000"/>
            </w:tcBorders>
            <w:vAlign w:val="center"/>
          </w:tcPr>
          <w:p w14:paraId="1547FE6D" w14:textId="77777777" w:rsidR="00E579B9" w:rsidRDefault="006A1398">
            <w:pPr>
              <w:pStyle w:val="aa"/>
            </w:pPr>
            <w:r>
              <w:rPr>
                <w:rFonts w:hint="eastAsia"/>
              </w:rPr>
              <w:t>《环境空气质量标准》</w:t>
            </w:r>
            <w:r>
              <w:t>(GB3095-2012)</w:t>
            </w:r>
            <w:r>
              <w:rPr>
                <w:rFonts w:hint="eastAsia"/>
              </w:rPr>
              <w:t>二级标准；</w:t>
            </w:r>
          </w:p>
          <w:p w14:paraId="05F85560" w14:textId="77777777" w:rsidR="00E579B9" w:rsidRDefault="006A1398">
            <w:pPr>
              <w:pStyle w:val="aa"/>
            </w:pPr>
            <w:r>
              <w:rPr>
                <w:rFonts w:hint="eastAsia"/>
              </w:rPr>
              <w:t>《声环境质量标准》（</w:t>
            </w:r>
            <w:r>
              <w:t>GB3096-2008</w:t>
            </w:r>
            <w:r>
              <w:rPr>
                <w:rFonts w:hint="eastAsia"/>
              </w:rPr>
              <w:t>）</w:t>
            </w:r>
            <w:r>
              <w:t>2</w:t>
            </w:r>
            <w:r>
              <w:rPr>
                <w:rFonts w:hint="eastAsia"/>
              </w:rPr>
              <w:t>类标准</w:t>
            </w:r>
          </w:p>
        </w:tc>
      </w:tr>
      <w:tr w:rsidR="00E579B9" w14:paraId="7ECF4DDB" w14:textId="77777777">
        <w:trPr>
          <w:trHeight w:val="396"/>
          <w:jc w:val="center"/>
        </w:trPr>
        <w:tc>
          <w:tcPr>
            <w:tcW w:w="1417" w:type="dxa"/>
            <w:vMerge w:val="restart"/>
            <w:tcBorders>
              <w:top w:val="single" w:sz="4" w:space="0" w:color="000000"/>
              <w:left w:val="single" w:sz="4" w:space="0" w:color="000000"/>
              <w:bottom w:val="single" w:sz="4" w:space="0" w:color="000000"/>
              <w:right w:val="single" w:sz="4" w:space="0" w:color="auto"/>
            </w:tcBorders>
            <w:vAlign w:val="center"/>
          </w:tcPr>
          <w:p w14:paraId="68E5E0E7" w14:textId="77777777" w:rsidR="00E579B9" w:rsidRDefault="006A1398">
            <w:pPr>
              <w:pStyle w:val="aa"/>
            </w:pPr>
            <w:r>
              <w:rPr>
                <w:rFonts w:hint="eastAsia"/>
              </w:rPr>
              <w:t>产品外运</w:t>
            </w:r>
          </w:p>
        </w:tc>
        <w:tc>
          <w:tcPr>
            <w:tcW w:w="1125" w:type="dxa"/>
            <w:tcBorders>
              <w:top w:val="single" w:sz="4" w:space="0" w:color="000000"/>
              <w:left w:val="single" w:sz="4" w:space="0" w:color="auto"/>
              <w:bottom w:val="single" w:sz="4" w:space="0" w:color="000000"/>
              <w:right w:val="single" w:sz="4" w:space="0" w:color="000000"/>
            </w:tcBorders>
            <w:vAlign w:val="center"/>
          </w:tcPr>
          <w:p w14:paraId="55F1EC70" w14:textId="77777777" w:rsidR="00E579B9" w:rsidRDefault="006A1398">
            <w:pPr>
              <w:pStyle w:val="aa"/>
            </w:pPr>
            <w:r>
              <w:rPr>
                <w:rFonts w:hint="eastAsia"/>
              </w:rPr>
              <w:t>西下庄</w:t>
            </w:r>
          </w:p>
        </w:tc>
        <w:tc>
          <w:tcPr>
            <w:tcW w:w="1001" w:type="dxa"/>
            <w:tcBorders>
              <w:top w:val="single" w:sz="4" w:space="0" w:color="000000"/>
              <w:left w:val="single" w:sz="4" w:space="0" w:color="000000"/>
              <w:bottom w:val="single" w:sz="4" w:space="0" w:color="000000"/>
              <w:right w:val="single" w:sz="4" w:space="0" w:color="000000"/>
            </w:tcBorders>
            <w:vAlign w:val="center"/>
          </w:tcPr>
          <w:p w14:paraId="3D085B74" w14:textId="77777777" w:rsidR="00E579B9" w:rsidRDefault="006A1398">
            <w:pPr>
              <w:pStyle w:val="aa"/>
            </w:pPr>
            <w:r>
              <w:t>S</w:t>
            </w:r>
          </w:p>
        </w:tc>
        <w:tc>
          <w:tcPr>
            <w:tcW w:w="1471" w:type="dxa"/>
            <w:tcBorders>
              <w:top w:val="single" w:sz="4" w:space="0" w:color="000000"/>
              <w:left w:val="single" w:sz="4" w:space="0" w:color="000000"/>
              <w:bottom w:val="single" w:sz="4" w:space="0" w:color="000000"/>
              <w:right w:val="single" w:sz="4" w:space="0" w:color="000000"/>
            </w:tcBorders>
            <w:vAlign w:val="center"/>
          </w:tcPr>
          <w:p w14:paraId="04A95805" w14:textId="77777777" w:rsidR="00E579B9" w:rsidRDefault="006A1398">
            <w:pPr>
              <w:pStyle w:val="aa"/>
            </w:pPr>
            <w:r>
              <w:t>10</w:t>
            </w:r>
          </w:p>
        </w:tc>
        <w:tc>
          <w:tcPr>
            <w:tcW w:w="1506" w:type="dxa"/>
            <w:tcBorders>
              <w:top w:val="single" w:sz="4" w:space="0" w:color="000000"/>
              <w:left w:val="single" w:sz="4" w:space="0" w:color="000000"/>
              <w:bottom w:val="single" w:sz="4" w:space="0" w:color="000000"/>
              <w:right w:val="single" w:sz="4" w:space="0" w:color="000000"/>
            </w:tcBorders>
            <w:vAlign w:val="center"/>
          </w:tcPr>
          <w:p w14:paraId="6FA27A5A" w14:textId="77777777" w:rsidR="00E579B9" w:rsidRDefault="006A1398">
            <w:pPr>
              <w:pStyle w:val="aa"/>
            </w:pPr>
            <w:r>
              <w:t>15</w:t>
            </w:r>
            <w:r>
              <w:rPr>
                <w:rFonts w:hint="eastAsia"/>
              </w:rPr>
              <w:t>户</w:t>
            </w:r>
            <w:r>
              <w:t>5</w:t>
            </w:r>
            <w:r>
              <w:rPr>
                <w:rFonts w:hint="eastAsia"/>
              </w:rPr>
              <w:t>0</w:t>
            </w:r>
            <w:r>
              <w:rPr>
                <w:rFonts w:hint="eastAsia"/>
              </w:rPr>
              <w:t>人</w:t>
            </w:r>
          </w:p>
        </w:tc>
        <w:tc>
          <w:tcPr>
            <w:tcW w:w="2720" w:type="dxa"/>
            <w:vMerge/>
            <w:tcBorders>
              <w:top w:val="single" w:sz="4" w:space="0" w:color="auto"/>
              <w:left w:val="single" w:sz="4" w:space="0" w:color="000000"/>
              <w:bottom w:val="single" w:sz="4" w:space="0" w:color="000000"/>
              <w:right w:val="single" w:sz="4" w:space="0" w:color="000000"/>
            </w:tcBorders>
            <w:vAlign w:val="center"/>
          </w:tcPr>
          <w:p w14:paraId="473CB3EC" w14:textId="77777777" w:rsidR="00E579B9" w:rsidRDefault="00E579B9">
            <w:pPr>
              <w:pStyle w:val="aa"/>
            </w:pPr>
          </w:p>
        </w:tc>
      </w:tr>
      <w:tr w:rsidR="00E579B9" w14:paraId="71AAD5F5" w14:textId="77777777">
        <w:trPr>
          <w:trHeight w:val="396"/>
          <w:jc w:val="center"/>
        </w:trPr>
        <w:tc>
          <w:tcPr>
            <w:tcW w:w="1417" w:type="dxa"/>
            <w:vMerge/>
            <w:tcBorders>
              <w:top w:val="single" w:sz="4" w:space="0" w:color="000000"/>
              <w:left w:val="single" w:sz="4" w:space="0" w:color="000000"/>
              <w:bottom w:val="single" w:sz="4" w:space="0" w:color="000000"/>
              <w:right w:val="single" w:sz="4" w:space="0" w:color="auto"/>
            </w:tcBorders>
            <w:vAlign w:val="center"/>
          </w:tcPr>
          <w:p w14:paraId="71EAC4B0" w14:textId="77777777" w:rsidR="00E579B9" w:rsidRDefault="00E579B9">
            <w:pPr>
              <w:pStyle w:val="aa"/>
            </w:pPr>
          </w:p>
        </w:tc>
        <w:tc>
          <w:tcPr>
            <w:tcW w:w="1125" w:type="dxa"/>
            <w:tcBorders>
              <w:top w:val="single" w:sz="4" w:space="0" w:color="000000"/>
              <w:left w:val="single" w:sz="4" w:space="0" w:color="auto"/>
              <w:bottom w:val="single" w:sz="4" w:space="0" w:color="000000"/>
              <w:right w:val="single" w:sz="4" w:space="0" w:color="000000"/>
            </w:tcBorders>
            <w:vAlign w:val="center"/>
          </w:tcPr>
          <w:p w14:paraId="56889723" w14:textId="77777777" w:rsidR="00E579B9" w:rsidRDefault="006A1398">
            <w:pPr>
              <w:pStyle w:val="aa"/>
            </w:pPr>
            <w:r>
              <w:rPr>
                <w:rFonts w:hint="eastAsia"/>
              </w:rPr>
              <w:t>周庄</w:t>
            </w:r>
          </w:p>
        </w:tc>
        <w:tc>
          <w:tcPr>
            <w:tcW w:w="1001" w:type="dxa"/>
            <w:tcBorders>
              <w:top w:val="single" w:sz="4" w:space="0" w:color="000000"/>
              <w:left w:val="single" w:sz="4" w:space="0" w:color="000000"/>
              <w:bottom w:val="single" w:sz="4" w:space="0" w:color="000000"/>
              <w:right w:val="single" w:sz="4" w:space="0" w:color="000000"/>
            </w:tcBorders>
            <w:vAlign w:val="center"/>
          </w:tcPr>
          <w:p w14:paraId="511AF5A7" w14:textId="77777777" w:rsidR="00E579B9" w:rsidRDefault="006A1398">
            <w:pPr>
              <w:pStyle w:val="aa"/>
            </w:pPr>
            <w:r>
              <w:rPr>
                <w:rFonts w:hint="eastAsia"/>
              </w:rPr>
              <w:t>N</w:t>
            </w:r>
          </w:p>
        </w:tc>
        <w:tc>
          <w:tcPr>
            <w:tcW w:w="1471" w:type="dxa"/>
            <w:tcBorders>
              <w:top w:val="single" w:sz="4" w:space="0" w:color="000000"/>
              <w:left w:val="single" w:sz="4" w:space="0" w:color="000000"/>
              <w:bottom w:val="single" w:sz="4" w:space="0" w:color="000000"/>
              <w:right w:val="single" w:sz="4" w:space="0" w:color="000000"/>
            </w:tcBorders>
            <w:vAlign w:val="center"/>
          </w:tcPr>
          <w:p w14:paraId="124EDCA4" w14:textId="77777777" w:rsidR="00E579B9" w:rsidRDefault="006A1398">
            <w:pPr>
              <w:pStyle w:val="aa"/>
            </w:pPr>
            <w:r>
              <w:rPr>
                <w:rFonts w:hint="eastAsia"/>
              </w:rPr>
              <w:t>10</w:t>
            </w:r>
          </w:p>
        </w:tc>
        <w:tc>
          <w:tcPr>
            <w:tcW w:w="1506" w:type="dxa"/>
            <w:tcBorders>
              <w:top w:val="single" w:sz="4" w:space="0" w:color="000000"/>
              <w:left w:val="single" w:sz="4" w:space="0" w:color="000000"/>
              <w:bottom w:val="single" w:sz="4" w:space="0" w:color="000000"/>
              <w:right w:val="single" w:sz="4" w:space="0" w:color="000000"/>
            </w:tcBorders>
            <w:vAlign w:val="center"/>
          </w:tcPr>
          <w:p w14:paraId="7673324D" w14:textId="77777777" w:rsidR="00E579B9" w:rsidRDefault="006A1398">
            <w:pPr>
              <w:pStyle w:val="aa"/>
            </w:pPr>
            <w:r>
              <w:t>10</w:t>
            </w:r>
            <w:r>
              <w:rPr>
                <w:rFonts w:hint="eastAsia"/>
              </w:rPr>
              <w:t>户</w:t>
            </w:r>
            <w:r>
              <w:t>35</w:t>
            </w:r>
            <w:r>
              <w:rPr>
                <w:rFonts w:hint="eastAsia"/>
              </w:rPr>
              <w:t>人</w:t>
            </w:r>
          </w:p>
        </w:tc>
        <w:tc>
          <w:tcPr>
            <w:tcW w:w="2720" w:type="dxa"/>
            <w:vMerge/>
            <w:tcBorders>
              <w:top w:val="single" w:sz="4" w:space="0" w:color="auto"/>
              <w:left w:val="single" w:sz="4" w:space="0" w:color="000000"/>
              <w:bottom w:val="single" w:sz="4" w:space="0" w:color="000000"/>
              <w:right w:val="single" w:sz="4" w:space="0" w:color="000000"/>
            </w:tcBorders>
            <w:vAlign w:val="center"/>
          </w:tcPr>
          <w:p w14:paraId="3C5DB30D" w14:textId="77777777" w:rsidR="00E579B9" w:rsidRDefault="00E579B9">
            <w:pPr>
              <w:pStyle w:val="aa"/>
            </w:pPr>
          </w:p>
        </w:tc>
      </w:tr>
    </w:tbl>
    <w:p w14:paraId="41DF08D9" w14:textId="77777777" w:rsidR="00E579B9" w:rsidRDefault="006A1398">
      <w:pPr>
        <w:pStyle w:val="226"/>
        <w:rPr>
          <w:rFonts w:cs="Times New Roman"/>
          <w:kern w:val="0"/>
        </w:rPr>
      </w:pPr>
      <w:r>
        <w:rPr>
          <w:rFonts w:cs="Times New Roman" w:hint="eastAsia"/>
          <w:kern w:val="0"/>
        </w:rPr>
        <w:t>（</w:t>
      </w:r>
      <w:r>
        <w:rPr>
          <w:rFonts w:cs="Times New Roman" w:hint="eastAsia"/>
          <w:kern w:val="0"/>
        </w:rPr>
        <w:t>2</w:t>
      </w:r>
      <w:r>
        <w:rPr>
          <w:rFonts w:cs="Times New Roman" w:hint="eastAsia"/>
          <w:kern w:val="0"/>
        </w:rPr>
        <w:t>）运矿道路声环境影响评价</w:t>
      </w:r>
    </w:p>
    <w:p w14:paraId="24633597" w14:textId="77777777" w:rsidR="00E579B9" w:rsidRDefault="006A1398">
      <w:pPr>
        <w:pStyle w:val="226"/>
        <w:rPr>
          <w:rFonts w:cs="Times New Roman"/>
          <w:kern w:val="0"/>
        </w:rPr>
      </w:pPr>
      <w:r>
        <w:rPr>
          <w:rFonts w:cs="Times New Roman" w:hint="eastAsia"/>
          <w:kern w:val="0"/>
        </w:rPr>
        <w:t>①预测模式</w:t>
      </w:r>
    </w:p>
    <w:p w14:paraId="0D0BA3A5" w14:textId="77777777" w:rsidR="00E579B9" w:rsidRDefault="006A1398">
      <w:pPr>
        <w:spacing w:line="520" w:lineRule="exact"/>
      </w:pPr>
      <w:r>
        <w:t>本次评价采用环保部《环境影响评价技术</w:t>
      </w:r>
      <w:r>
        <w:t>—</w:t>
      </w:r>
      <w:r>
        <w:t>声环境》（</w:t>
      </w:r>
      <w:r>
        <w:t>(HJ2.4-2009)</w:t>
      </w:r>
      <w:r>
        <w:t>）推荐的模式进行预测，预测模式如下：</w:t>
      </w:r>
    </w:p>
    <w:p w14:paraId="1291B6DA" w14:textId="77777777" w:rsidR="00E579B9" w:rsidRDefault="006A1398">
      <w:pPr>
        <w:pStyle w:val="12"/>
        <w:jc w:val="center"/>
      </w:pPr>
      <w:r>
        <w:rPr>
          <w:position w:val="-32"/>
        </w:rPr>
        <w:object w:dxaOrig="7575" w:dyaOrig="777" w14:anchorId="6F3474F0">
          <v:shape id="_x0000_i1036" type="#_x0000_t75" style="width:378.7pt;height:38.55pt" o:ole="">
            <v:imagedata r:id="rId53" o:title=""/>
          </v:shape>
          <o:OLEObject Type="Embed" ProgID="Equation.3" ShapeID="_x0000_i1036" DrawAspect="Content" ObjectID="_1644327290" r:id="rId54"/>
        </w:object>
      </w:r>
    </w:p>
    <w:p w14:paraId="51D0B1A3" w14:textId="77777777" w:rsidR="00E579B9" w:rsidRDefault="006A1398">
      <w:pPr>
        <w:pStyle w:val="af6"/>
        <w:ind w:firstLine="480"/>
      </w:pPr>
      <w:r>
        <w:t>式中：</w:t>
      </w:r>
      <w:proofErr w:type="spellStart"/>
      <w:r>
        <w:t>L</w:t>
      </w:r>
      <w:r>
        <w:rPr>
          <w:vertAlign w:val="subscript"/>
        </w:rPr>
        <w:t>eq</w:t>
      </w:r>
      <w:proofErr w:type="spellEnd"/>
      <w:r>
        <w:t>(</w:t>
      </w:r>
      <w:r>
        <w:rPr>
          <w:i/>
        </w:rPr>
        <w:t>h</w:t>
      </w:r>
      <w:r>
        <w:t>)</w:t>
      </w:r>
      <w:proofErr w:type="spellStart"/>
      <w:r>
        <w:rPr>
          <w:vertAlign w:val="subscript"/>
        </w:rPr>
        <w:t>i</w:t>
      </w:r>
      <w:proofErr w:type="spellEnd"/>
      <w:r>
        <w:t>—</w:t>
      </w:r>
      <w:r>
        <w:t>第</w:t>
      </w:r>
      <w:proofErr w:type="spellStart"/>
      <w:r>
        <w:rPr>
          <w:i/>
          <w:iCs/>
        </w:rPr>
        <w:t>i</w:t>
      </w:r>
      <w:proofErr w:type="spellEnd"/>
      <w:r>
        <w:t>类车的小时等效声级，</w:t>
      </w:r>
      <w:r>
        <w:t>dB</w:t>
      </w:r>
      <w:r>
        <w:t>（</w:t>
      </w:r>
      <w:r>
        <w:t>A</w:t>
      </w:r>
      <w:r>
        <w:t>）；</w:t>
      </w:r>
    </w:p>
    <w:p w14:paraId="4E3B88E4" w14:textId="77777777" w:rsidR="00E579B9" w:rsidRDefault="006A1398">
      <w:pPr>
        <w:pStyle w:val="af6"/>
        <w:ind w:firstLineChars="500" w:firstLine="1200"/>
      </w:pPr>
      <w:r>
        <w:t>(</w:t>
      </w:r>
      <w:r>
        <w:rPr>
          <w:position w:val="-12"/>
        </w:rPr>
        <w:object w:dxaOrig="401" w:dyaOrig="401" w14:anchorId="173D5CE9">
          <v:shape id="_x0000_i1037" type="#_x0000_t75" style="width:19.85pt;height:19.85pt" o:ole="">
            <v:imagedata r:id="rId55" o:title=""/>
          </v:shape>
          <o:OLEObject Type="Embed" ProgID="Equation.3" ShapeID="_x0000_i1037" DrawAspect="Content" ObjectID="_1644327291" r:id="rId56"/>
        </w:object>
      </w:r>
      <w:r>
        <w:t>)</w:t>
      </w:r>
      <w:proofErr w:type="spellStart"/>
      <w:r>
        <w:rPr>
          <w:vertAlign w:val="subscript"/>
        </w:rPr>
        <w:t>i</w:t>
      </w:r>
      <w:proofErr w:type="spellEnd"/>
      <w:r>
        <w:t>—</w:t>
      </w:r>
      <w:r>
        <w:t>第</w:t>
      </w:r>
      <w:proofErr w:type="spellStart"/>
      <w:r>
        <w:t>i</w:t>
      </w:r>
      <w:proofErr w:type="spellEnd"/>
      <w:r>
        <w:t>类车速度为</w:t>
      </w:r>
      <w:r>
        <w:rPr>
          <w:i/>
        </w:rPr>
        <w:t>V</w:t>
      </w:r>
      <w:r>
        <w:rPr>
          <w:i/>
          <w:iCs/>
          <w:vertAlign w:val="subscript"/>
        </w:rPr>
        <w:t>i</w:t>
      </w:r>
      <w:r>
        <w:rPr>
          <w:i/>
        </w:rPr>
        <w:t>，</w:t>
      </w:r>
      <w:r>
        <w:rPr>
          <w:i/>
        </w:rPr>
        <w:t>km/h</w:t>
      </w:r>
      <w:r>
        <w:t>；水平距离为</w:t>
      </w:r>
      <w:r>
        <w:t>7.5</w:t>
      </w:r>
      <w:r>
        <w:t>米处的能量平均</w:t>
      </w:r>
      <w:r>
        <w:t>A</w:t>
      </w:r>
      <w:r>
        <w:t>声级，</w:t>
      </w:r>
      <w:r>
        <w:t>dB(A)</w:t>
      </w:r>
      <w:r>
        <w:t>；</w:t>
      </w:r>
    </w:p>
    <w:p w14:paraId="3C66DEE2" w14:textId="77777777" w:rsidR="00E579B9" w:rsidRDefault="006A1398">
      <w:pPr>
        <w:pStyle w:val="af6"/>
        <w:ind w:firstLineChars="533" w:firstLine="1279"/>
      </w:pPr>
      <w:r>
        <w:rPr>
          <w:i/>
          <w:iCs/>
        </w:rPr>
        <w:t>N</w:t>
      </w:r>
      <w:r>
        <w:rPr>
          <w:i/>
          <w:iCs/>
          <w:vertAlign w:val="subscript"/>
        </w:rPr>
        <w:t>i</w:t>
      </w:r>
      <w:r>
        <w:t>—</w:t>
      </w:r>
      <w:r>
        <w:t>昼间，夜间通过某个预测点的第</w:t>
      </w:r>
      <w:proofErr w:type="spellStart"/>
      <w:r>
        <w:rPr>
          <w:i/>
          <w:iCs/>
        </w:rPr>
        <w:t>i</w:t>
      </w:r>
      <w:proofErr w:type="spellEnd"/>
      <w:r>
        <w:t>类车平均小时车流量，辆</w:t>
      </w:r>
      <w:r>
        <w:t>/h</w:t>
      </w:r>
      <w:r>
        <w:t>；</w:t>
      </w:r>
    </w:p>
    <w:p w14:paraId="51815B3E" w14:textId="77777777" w:rsidR="00E579B9" w:rsidRDefault="006A1398">
      <w:pPr>
        <w:pStyle w:val="af6"/>
        <w:ind w:firstLineChars="500" w:firstLine="1200"/>
      </w:pPr>
      <w:r>
        <w:rPr>
          <w:i/>
          <w:iCs/>
        </w:rPr>
        <w:t>r</w:t>
      </w:r>
      <w:r>
        <w:t>—</w:t>
      </w:r>
      <w:r>
        <w:t>从车道中心线到预测点的距离，</w:t>
      </w:r>
      <w:r>
        <w:t>m</w:t>
      </w:r>
      <w:r>
        <w:t>；适用于</w:t>
      </w:r>
      <w:r>
        <w:t>r</w:t>
      </w:r>
      <w:r>
        <w:t>＞</w:t>
      </w:r>
      <w:r>
        <w:t>7.5m</w:t>
      </w:r>
      <w:r>
        <w:t>预测点的噪声预测。</w:t>
      </w:r>
    </w:p>
    <w:p w14:paraId="6A963CE0" w14:textId="77777777" w:rsidR="00E579B9" w:rsidRDefault="006A1398">
      <w:pPr>
        <w:pStyle w:val="af6"/>
        <w:ind w:firstLineChars="500" w:firstLine="1200"/>
      </w:pPr>
      <w:r>
        <w:rPr>
          <w:i/>
          <w:iCs/>
        </w:rPr>
        <w:t>V</w:t>
      </w:r>
      <w:r>
        <w:rPr>
          <w:i/>
          <w:iCs/>
          <w:vertAlign w:val="subscript"/>
        </w:rPr>
        <w:t>i</w:t>
      </w:r>
      <w:r>
        <w:t>—</w:t>
      </w:r>
      <w:r>
        <w:t>第</w:t>
      </w:r>
      <w:proofErr w:type="spellStart"/>
      <w:r>
        <w:rPr>
          <w:i/>
          <w:iCs/>
        </w:rPr>
        <w:t>i</w:t>
      </w:r>
      <w:proofErr w:type="spellEnd"/>
      <w:r>
        <w:t>类车的平均车速，</w:t>
      </w:r>
      <w:r>
        <w:t>km/h</w:t>
      </w:r>
      <w:r>
        <w:t>；</w:t>
      </w:r>
    </w:p>
    <w:p w14:paraId="20AA5809" w14:textId="77777777" w:rsidR="00E579B9" w:rsidRDefault="006A1398">
      <w:pPr>
        <w:pStyle w:val="af6"/>
        <w:ind w:firstLineChars="500" w:firstLine="1200"/>
      </w:pPr>
      <w:r>
        <w:rPr>
          <w:i/>
          <w:iCs/>
        </w:rPr>
        <w:t>T</w:t>
      </w:r>
      <w:proofErr w:type="gramStart"/>
      <w:r>
        <w:t>—</w:t>
      </w:r>
      <w:r>
        <w:t>计算</w:t>
      </w:r>
      <w:proofErr w:type="gramEnd"/>
      <w:r>
        <w:t>等效声级的时间，</w:t>
      </w:r>
      <w:r>
        <w:t>1h</w:t>
      </w:r>
      <w:r>
        <w:t>；</w:t>
      </w:r>
    </w:p>
    <w:p w14:paraId="42001202" w14:textId="77777777" w:rsidR="00E579B9" w:rsidRDefault="006A1398">
      <w:pPr>
        <w:pStyle w:val="af6"/>
        <w:ind w:firstLineChars="500" w:firstLine="1200"/>
      </w:pPr>
      <w:r>
        <w:t>Ψ</w:t>
      </w:r>
      <w:r>
        <w:rPr>
          <w:i/>
          <w:iCs/>
          <w:vertAlign w:val="subscript"/>
        </w:rPr>
        <w:t>1</w:t>
      </w:r>
      <w:r>
        <w:t>、</w:t>
      </w:r>
      <w:r>
        <w:t>Ψ</w:t>
      </w:r>
      <w:r>
        <w:rPr>
          <w:i/>
          <w:iCs/>
          <w:vertAlign w:val="subscript"/>
        </w:rPr>
        <w:t>2</w:t>
      </w:r>
      <w:r>
        <w:t>——</w:t>
      </w:r>
      <w:r>
        <w:t>预测点到有限长路段两端的张角，弧度；</w:t>
      </w:r>
    </w:p>
    <w:p w14:paraId="17BFAE2C" w14:textId="77777777" w:rsidR="00E579B9" w:rsidRDefault="006A1398">
      <w:pPr>
        <w:pStyle w:val="af6"/>
        <w:ind w:firstLineChars="500" w:firstLine="1200"/>
      </w:pPr>
      <w:r>
        <w:rPr>
          <w:rFonts w:ascii="Cambria Math" w:hAnsi="Cambria Math"/>
        </w:rPr>
        <w:t>△</w:t>
      </w:r>
      <w:r>
        <w:t>L—</w:t>
      </w:r>
      <w:r>
        <w:t>由其他因素引起的修正量，</w:t>
      </w:r>
      <w:r>
        <w:t>dB(A)</w:t>
      </w:r>
      <w:r>
        <w:t>，可按下式计算：</w:t>
      </w:r>
    </w:p>
    <w:p w14:paraId="2F89807D" w14:textId="77777777" w:rsidR="00E579B9" w:rsidRDefault="006A1398">
      <w:pPr>
        <w:pStyle w:val="af6"/>
        <w:ind w:firstLineChars="500" w:firstLine="1200"/>
        <w:rPr>
          <w:vertAlign w:val="subscript"/>
        </w:rPr>
      </w:pPr>
      <w:r>
        <w:rPr>
          <w:rFonts w:ascii="Cambria Math" w:hAnsi="Cambria Math"/>
        </w:rPr>
        <w:t>△</w:t>
      </w:r>
      <w:r>
        <w:t>L=</w:t>
      </w:r>
      <w:r>
        <w:rPr>
          <w:rFonts w:ascii="Cambria Math" w:hAnsi="Cambria Math"/>
        </w:rPr>
        <w:t>△</w:t>
      </w:r>
      <w:r>
        <w:t>L</w:t>
      </w:r>
      <w:r>
        <w:rPr>
          <w:vertAlign w:val="subscript"/>
        </w:rPr>
        <w:t>1</w:t>
      </w:r>
      <w:r>
        <w:t>－</w:t>
      </w:r>
      <w:r>
        <w:rPr>
          <w:rFonts w:ascii="Cambria Math" w:hAnsi="Cambria Math"/>
        </w:rPr>
        <w:t>△</w:t>
      </w:r>
      <w:r>
        <w:t>L</w:t>
      </w:r>
      <w:r>
        <w:rPr>
          <w:vertAlign w:val="subscript"/>
        </w:rPr>
        <w:t>2</w:t>
      </w:r>
      <w:r>
        <w:t>+</w:t>
      </w:r>
      <w:r>
        <w:rPr>
          <w:rFonts w:ascii="Cambria Math" w:hAnsi="Cambria Math"/>
        </w:rPr>
        <w:t>△</w:t>
      </w:r>
      <w:r>
        <w:t>L</w:t>
      </w:r>
      <w:r>
        <w:rPr>
          <w:vertAlign w:val="subscript"/>
        </w:rPr>
        <w:t>3</w:t>
      </w:r>
    </w:p>
    <w:p w14:paraId="4912FF38" w14:textId="77777777" w:rsidR="00E579B9" w:rsidRDefault="006A1398">
      <w:pPr>
        <w:pStyle w:val="af6"/>
        <w:ind w:firstLineChars="500" w:firstLine="1200"/>
        <w:rPr>
          <w:vertAlign w:val="subscript"/>
        </w:rPr>
      </w:pPr>
      <w:r>
        <w:rPr>
          <w:rFonts w:ascii="Cambria Math" w:hAnsi="Cambria Math"/>
        </w:rPr>
        <w:t>△</w:t>
      </w:r>
      <w:r>
        <w:t>L</w:t>
      </w:r>
      <w:r>
        <w:rPr>
          <w:vertAlign w:val="subscript"/>
        </w:rPr>
        <w:t>1</w:t>
      </w:r>
      <w:r>
        <w:t>=</w:t>
      </w:r>
      <w:r>
        <w:rPr>
          <w:rFonts w:ascii="Cambria Math" w:hAnsi="Cambria Math"/>
        </w:rPr>
        <w:t>△</w:t>
      </w:r>
      <w:r>
        <w:t>L</w:t>
      </w:r>
      <w:r>
        <w:rPr>
          <w:vertAlign w:val="subscript"/>
        </w:rPr>
        <w:t>坡度</w:t>
      </w:r>
      <w:r>
        <w:t>+</w:t>
      </w:r>
      <w:r>
        <w:rPr>
          <w:rFonts w:ascii="Cambria Math" w:hAnsi="Cambria Math"/>
        </w:rPr>
        <w:t>△</w:t>
      </w:r>
      <w:r>
        <w:t>L</w:t>
      </w:r>
      <w:r>
        <w:rPr>
          <w:vertAlign w:val="subscript"/>
        </w:rPr>
        <w:t>路面</w:t>
      </w:r>
    </w:p>
    <w:p w14:paraId="78D5EFF1" w14:textId="77777777" w:rsidR="00E579B9" w:rsidRDefault="006A1398">
      <w:pPr>
        <w:pStyle w:val="af6"/>
        <w:ind w:firstLineChars="500" w:firstLine="1200"/>
        <w:rPr>
          <w:vertAlign w:val="subscript"/>
          <w:lang w:val="pt-BR"/>
        </w:rPr>
      </w:pPr>
      <w:r>
        <w:rPr>
          <w:rFonts w:ascii="Cambria Math" w:hAnsi="Cambria Math"/>
          <w:lang w:val="pt-BR"/>
        </w:rPr>
        <w:t>△</w:t>
      </w:r>
      <w:r>
        <w:rPr>
          <w:lang w:val="pt-BR"/>
        </w:rPr>
        <w:t>L</w:t>
      </w:r>
      <w:r>
        <w:rPr>
          <w:vertAlign w:val="subscript"/>
          <w:lang w:val="pt-BR"/>
        </w:rPr>
        <w:t>2</w:t>
      </w:r>
      <w:r>
        <w:rPr>
          <w:lang w:val="pt-BR"/>
        </w:rPr>
        <w:t>=A</w:t>
      </w:r>
      <w:r>
        <w:rPr>
          <w:vertAlign w:val="subscript"/>
          <w:lang w:val="pt-BR"/>
        </w:rPr>
        <w:t>atm</w:t>
      </w:r>
      <w:r>
        <w:rPr>
          <w:lang w:val="pt-BR"/>
        </w:rPr>
        <w:t>+A</w:t>
      </w:r>
      <w:r>
        <w:rPr>
          <w:vertAlign w:val="subscript"/>
          <w:lang w:val="pt-BR"/>
        </w:rPr>
        <w:t>gr</w:t>
      </w:r>
      <w:r>
        <w:rPr>
          <w:lang w:val="pt-BR"/>
        </w:rPr>
        <w:t>+A</w:t>
      </w:r>
      <w:r>
        <w:rPr>
          <w:vertAlign w:val="subscript"/>
          <w:lang w:val="pt-BR"/>
        </w:rPr>
        <w:t>bar</w:t>
      </w:r>
      <w:r>
        <w:rPr>
          <w:lang w:val="pt-BR"/>
        </w:rPr>
        <w:t>+A</w:t>
      </w:r>
      <w:r>
        <w:rPr>
          <w:vertAlign w:val="subscript"/>
          <w:lang w:val="pt-BR"/>
        </w:rPr>
        <w:t>misc</w:t>
      </w:r>
    </w:p>
    <w:p w14:paraId="4262E045" w14:textId="77777777" w:rsidR="00E579B9" w:rsidRDefault="006A1398">
      <w:pPr>
        <w:pStyle w:val="af6"/>
        <w:ind w:firstLine="480"/>
        <w:rPr>
          <w:kern w:val="0"/>
          <w:lang w:val="pt-BR"/>
        </w:rPr>
      </w:pPr>
      <w:r>
        <w:rPr>
          <w:kern w:val="0"/>
        </w:rPr>
        <w:lastRenderedPageBreak/>
        <w:t>式中</w:t>
      </w:r>
      <w:r>
        <w:rPr>
          <w:kern w:val="0"/>
          <w:lang w:val="pt-BR"/>
        </w:rPr>
        <w:t>：</w:t>
      </w:r>
    </w:p>
    <w:p w14:paraId="66428A4F" w14:textId="77777777" w:rsidR="00E579B9" w:rsidRDefault="006A1398">
      <w:pPr>
        <w:pStyle w:val="af6"/>
        <w:ind w:firstLineChars="500" w:firstLine="1200"/>
        <w:rPr>
          <w:kern w:val="0"/>
          <w:lang w:val="pt-BR"/>
        </w:rPr>
      </w:pPr>
      <w:r>
        <w:rPr>
          <w:kern w:val="0"/>
        </w:rPr>
        <w:t>Δ</w:t>
      </w:r>
      <w:r>
        <w:rPr>
          <w:kern w:val="0"/>
          <w:lang w:val="pt-BR"/>
        </w:rPr>
        <w:t>L</w:t>
      </w:r>
      <w:r>
        <w:rPr>
          <w:kern w:val="0"/>
          <w:vertAlign w:val="subscript"/>
          <w:lang w:val="pt-BR"/>
        </w:rPr>
        <w:t>1</w:t>
      </w:r>
      <w:r>
        <w:rPr>
          <w:kern w:val="0"/>
          <w:lang w:val="pt-BR"/>
        </w:rPr>
        <w:t>—</w:t>
      </w:r>
      <w:r>
        <w:rPr>
          <w:kern w:val="0"/>
        </w:rPr>
        <w:t>线路因素引起的修正量</w:t>
      </w:r>
      <w:r>
        <w:rPr>
          <w:kern w:val="0"/>
          <w:lang w:val="pt-BR"/>
        </w:rPr>
        <w:t>，</w:t>
      </w:r>
      <w:r>
        <w:rPr>
          <w:kern w:val="0"/>
          <w:lang w:val="pt-BR"/>
        </w:rPr>
        <w:t>dB(A)</w:t>
      </w:r>
      <w:r>
        <w:rPr>
          <w:kern w:val="0"/>
          <w:lang w:val="pt-BR"/>
        </w:rPr>
        <w:t>；</w:t>
      </w:r>
    </w:p>
    <w:p w14:paraId="21C0F156" w14:textId="77777777" w:rsidR="00E579B9" w:rsidRDefault="006A1398">
      <w:pPr>
        <w:pStyle w:val="af6"/>
        <w:ind w:firstLineChars="500" w:firstLine="1200"/>
        <w:rPr>
          <w:kern w:val="0"/>
          <w:lang w:val="pt-BR"/>
        </w:rPr>
      </w:pPr>
      <w:r>
        <w:t>Δ</w:t>
      </w:r>
      <w:r>
        <w:rPr>
          <w:lang w:val="pt-BR"/>
        </w:rPr>
        <w:t>L</w:t>
      </w:r>
      <w:r>
        <w:rPr>
          <w:vertAlign w:val="subscript"/>
        </w:rPr>
        <w:t>坡度</w:t>
      </w:r>
      <w:r>
        <w:rPr>
          <w:kern w:val="0"/>
          <w:lang w:val="pt-BR"/>
        </w:rPr>
        <w:t>—</w:t>
      </w:r>
      <w:r>
        <w:rPr>
          <w:kern w:val="0"/>
        </w:rPr>
        <w:t>公路纵坡修正量</w:t>
      </w:r>
      <w:r>
        <w:rPr>
          <w:kern w:val="0"/>
          <w:lang w:val="pt-BR"/>
        </w:rPr>
        <w:t>，</w:t>
      </w:r>
      <w:r>
        <w:rPr>
          <w:kern w:val="0"/>
          <w:lang w:val="pt-BR"/>
        </w:rPr>
        <w:t>dB(A)</w:t>
      </w:r>
      <w:r>
        <w:rPr>
          <w:kern w:val="0"/>
          <w:lang w:val="pt-BR"/>
        </w:rPr>
        <w:t>；</w:t>
      </w:r>
    </w:p>
    <w:p w14:paraId="01F734A8" w14:textId="77777777" w:rsidR="00E579B9" w:rsidRDefault="006A1398">
      <w:pPr>
        <w:pStyle w:val="af6"/>
        <w:ind w:firstLineChars="500" w:firstLine="1200"/>
        <w:rPr>
          <w:kern w:val="0"/>
          <w:lang w:val="pt-BR"/>
        </w:rPr>
      </w:pPr>
      <w:r>
        <w:t>Δ</w:t>
      </w:r>
      <w:r>
        <w:rPr>
          <w:lang w:val="pt-BR"/>
        </w:rPr>
        <w:t>L</w:t>
      </w:r>
      <w:r>
        <w:rPr>
          <w:vertAlign w:val="subscript"/>
        </w:rPr>
        <w:t>路面</w:t>
      </w:r>
      <w:r>
        <w:rPr>
          <w:kern w:val="0"/>
          <w:lang w:val="pt-BR"/>
        </w:rPr>
        <w:t>—</w:t>
      </w:r>
      <w:r>
        <w:rPr>
          <w:kern w:val="0"/>
        </w:rPr>
        <w:t>公路路面材料引起的修正量</w:t>
      </w:r>
      <w:r>
        <w:rPr>
          <w:kern w:val="0"/>
          <w:lang w:val="pt-BR"/>
        </w:rPr>
        <w:t>，</w:t>
      </w:r>
      <w:r>
        <w:rPr>
          <w:kern w:val="0"/>
          <w:lang w:val="pt-BR"/>
        </w:rPr>
        <w:t>dB(A)</w:t>
      </w:r>
      <w:r>
        <w:rPr>
          <w:kern w:val="0"/>
          <w:lang w:val="pt-BR"/>
        </w:rPr>
        <w:t>；</w:t>
      </w:r>
    </w:p>
    <w:p w14:paraId="03ABBE4B" w14:textId="77777777" w:rsidR="00E579B9" w:rsidRDefault="006A1398">
      <w:pPr>
        <w:pStyle w:val="af6"/>
        <w:ind w:firstLineChars="500" w:firstLine="1200"/>
        <w:rPr>
          <w:kern w:val="0"/>
          <w:lang w:val="pt-BR"/>
        </w:rPr>
      </w:pPr>
      <w:r>
        <w:t>Δ</w:t>
      </w:r>
      <w:r>
        <w:rPr>
          <w:lang w:val="pt-BR"/>
        </w:rPr>
        <w:t>L</w:t>
      </w:r>
      <w:r>
        <w:rPr>
          <w:vertAlign w:val="subscript"/>
          <w:lang w:val="pt-BR"/>
        </w:rPr>
        <w:t>2</w:t>
      </w:r>
      <w:r>
        <w:rPr>
          <w:lang w:val="pt-BR"/>
        </w:rPr>
        <w:t>—</w:t>
      </w:r>
      <w:r>
        <w:rPr>
          <w:kern w:val="0"/>
        </w:rPr>
        <w:t>声波传播途径中引起的衰减量</w:t>
      </w:r>
      <w:r>
        <w:rPr>
          <w:kern w:val="0"/>
          <w:lang w:val="pt-BR"/>
        </w:rPr>
        <w:t>，</w:t>
      </w:r>
      <w:r>
        <w:rPr>
          <w:kern w:val="0"/>
          <w:lang w:val="pt-BR"/>
        </w:rPr>
        <w:t>dB(A)</w:t>
      </w:r>
      <w:r>
        <w:rPr>
          <w:kern w:val="0"/>
          <w:lang w:val="pt-BR"/>
        </w:rPr>
        <w:t>；</w:t>
      </w:r>
    </w:p>
    <w:p w14:paraId="6EAFEBA2" w14:textId="77777777" w:rsidR="00E579B9" w:rsidRDefault="006A1398">
      <w:pPr>
        <w:pStyle w:val="af6"/>
        <w:ind w:firstLineChars="500" w:firstLine="1200"/>
        <w:rPr>
          <w:lang w:val="pt-BR"/>
        </w:rPr>
      </w:pPr>
      <w:r>
        <w:t>Δ</w:t>
      </w:r>
      <w:r>
        <w:rPr>
          <w:lang w:val="pt-BR"/>
        </w:rPr>
        <w:t>L</w:t>
      </w:r>
      <w:r>
        <w:rPr>
          <w:vertAlign w:val="subscript"/>
          <w:lang w:val="pt-BR"/>
        </w:rPr>
        <w:t>3</w:t>
      </w:r>
      <w:r>
        <w:rPr>
          <w:kern w:val="0"/>
          <w:lang w:val="pt-BR"/>
        </w:rPr>
        <w:t>—</w:t>
      </w:r>
      <w:r>
        <w:t>由反射等引起的修正量</w:t>
      </w:r>
      <w:r>
        <w:rPr>
          <w:lang w:val="pt-BR"/>
        </w:rPr>
        <w:t>，</w:t>
      </w:r>
      <w:r>
        <w:rPr>
          <w:lang w:val="pt-BR"/>
        </w:rPr>
        <w:t>dB(A)</w:t>
      </w:r>
      <w:r>
        <w:t>。</w:t>
      </w:r>
    </w:p>
    <w:p w14:paraId="6DEF9303" w14:textId="77777777" w:rsidR="00E579B9" w:rsidRDefault="006A1398">
      <w:pPr>
        <w:spacing w:line="520" w:lineRule="exact"/>
      </w:pPr>
      <w:proofErr w:type="gramStart"/>
      <w:r>
        <w:t>各车辆昼间或</w:t>
      </w:r>
      <w:proofErr w:type="gramEnd"/>
      <w:r>
        <w:t>夜间使预测点</w:t>
      </w:r>
      <w:r>
        <w:t>r</w:t>
      </w:r>
      <w:r>
        <w:t>接收到的交通噪声值计算式：</w:t>
      </w:r>
    </w:p>
    <w:p w14:paraId="1AE7BDAC" w14:textId="77777777" w:rsidR="00E579B9" w:rsidRDefault="006A1398">
      <w:pPr>
        <w:jc w:val="center"/>
      </w:pPr>
      <w:r>
        <w:rPr>
          <w:position w:val="-30"/>
        </w:rPr>
        <w:object w:dxaOrig="2915" w:dyaOrig="864" w14:anchorId="725321B2">
          <v:shape id="_x0000_i1038" type="#_x0000_t75" style="width:146.25pt;height:43.65pt" o:ole="">
            <v:imagedata r:id="rId57" o:title=""/>
          </v:shape>
          <o:OLEObject Type="Embed" ProgID="Equation.3" ShapeID="_x0000_i1038" DrawAspect="Content" ObjectID="_1644327292" r:id="rId58"/>
        </w:object>
      </w:r>
    </w:p>
    <w:p w14:paraId="1A12A5D1" w14:textId="77777777" w:rsidR="00E579B9" w:rsidRDefault="006A1398">
      <w:pPr>
        <w:spacing w:line="520" w:lineRule="exact"/>
      </w:pPr>
      <w:r>
        <w:t>式中：</w:t>
      </w:r>
      <w:r>
        <w:rPr>
          <w:position w:val="-12"/>
        </w:rPr>
        <w:object w:dxaOrig="707" w:dyaOrig="358" w14:anchorId="6AEEE689">
          <v:shape id="_x0000_i1039" type="#_x0000_t75" style="width:35.15pt;height:18.15pt" o:ole="">
            <v:imagedata r:id="rId59" o:title=""/>
          </v:shape>
          <o:OLEObject Type="Embed" ProgID="Equation.3" ShapeID="_x0000_i1039" DrawAspect="Content" ObjectID="_1644327293" r:id="rId60"/>
        </w:object>
      </w:r>
      <w:r>
        <w:t>──</w:t>
      </w:r>
      <w:r>
        <w:t>车流在预测点</w:t>
      </w:r>
      <w:r>
        <w:t>r</w:t>
      </w:r>
      <w:r>
        <w:t>处的交通噪声值，</w:t>
      </w:r>
      <w:r>
        <w:t>dB(A)</w:t>
      </w:r>
      <w:r>
        <w:t>；</w:t>
      </w:r>
    </w:p>
    <w:p w14:paraId="5F54E894" w14:textId="77777777" w:rsidR="00E579B9" w:rsidRDefault="006A1398">
      <w:pPr>
        <w:spacing w:line="520" w:lineRule="exact"/>
      </w:pPr>
      <w:r>
        <w:t>N──</w:t>
      </w:r>
      <w:r>
        <w:t>车辆类型，</w:t>
      </w:r>
      <w:r>
        <w:t>n=1</w:t>
      </w:r>
      <w:r>
        <w:t>，小型车；</w:t>
      </w:r>
      <w:r>
        <w:t>n=2</w:t>
      </w:r>
      <w:r>
        <w:t>，中型车；</w:t>
      </w:r>
      <w:r>
        <w:t>n=3</w:t>
      </w:r>
      <w:r>
        <w:t>，大型车；</w:t>
      </w:r>
    </w:p>
    <w:p w14:paraId="576B6C9A" w14:textId="77777777" w:rsidR="00E579B9" w:rsidRDefault="006A1398">
      <w:pPr>
        <w:spacing w:line="520" w:lineRule="exact"/>
      </w:pPr>
      <w:r>
        <w:t>各类车的平均辐射声级</w:t>
      </w:r>
      <w:r>
        <w:t>L</w:t>
      </w:r>
      <w:r>
        <w:rPr>
          <w:vertAlign w:val="subscript"/>
        </w:rPr>
        <w:t>i</w:t>
      </w:r>
      <w:r>
        <w:t>，按下式计算：</w:t>
      </w:r>
    </w:p>
    <w:p w14:paraId="4F322CEE" w14:textId="77777777" w:rsidR="00E579B9" w:rsidRDefault="006A1398">
      <w:pPr>
        <w:spacing w:line="520" w:lineRule="exact"/>
        <w:rPr>
          <w:vertAlign w:val="subscript"/>
        </w:rPr>
      </w:pPr>
      <w:r>
        <w:t xml:space="preserve">　大型车　</w:t>
      </w:r>
      <w:r>
        <w:t>L</w:t>
      </w:r>
      <w:r>
        <w:rPr>
          <w:vertAlign w:val="subscript"/>
        </w:rPr>
        <w:t>L</w:t>
      </w:r>
      <w:r>
        <w:t>＝</w:t>
      </w:r>
      <w:r>
        <w:t>72.2</w:t>
      </w:r>
      <w:r>
        <w:t>＋</w:t>
      </w:r>
      <w:r>
        <w:t>0.18V</w:t>
      </w:r>
      <w:r>
        <w:rPr>
          <w:vertAlign w:val="subscript"/>
        </w:rPr>
        <w:t>L</w:t>
      </w:r>
    </w:p>
    <w:p w14:paraId="52F29042" w14:textId="77777777" w:rsidR="00E579B9" w:rsidRDefault="006A1398">
      <w:pPr>
        <w:spacing w:line="520" w:lineRule="exact"/>
      </w:pPr>
      <w:r>
        <w:t xml:space="preserve">　中型车　</w:t>
      </w:r>
      <w:r>
        <w:t>L</w:t>
      </w:r>
      <w:r>
        <w:rPr>
          <w:vertAlign w:val="subscript"/>
        </w:rPr>
        <w:t>M</w:t>
      </w:r>
      <w:r>
        <w:t>＝</w:t>
      </w:r>
      <w:r>
        <w:t>62.6</w:t>
      </w:r>
      <w:r>
        <w:t>＋</w:t>
      </w:r>
      <w:r>
        <w:t>0.32V</w:t>
      </w:r>
      <w:r>
        <w:rPr>
          <w:vertAlign w:val="subscript"/>
        </w:rPr>
        <w:t>m</w:t>
      </w:r>
    </w:p>
    <w:p w14:paraId="3E952019" w14:textId="77777777" w:rsidR="00E579B9" w:rsidRDefault="006A1398">
      <w:pPr>
        <w:spacing w:line="520" w:lineRule="exact"/>
      </w:pPr>
      <w:r>
        <w:t xml:space="preserve">　小型车　</w:t>
      </w:r>
      <w:r>
        <w:t>L</w:t>
      </w:r>
      <w:r>
        <w:rPr>
          <w:vertAlign w:val="subscript"/>
        </w:rPr>
        <w:t>s</w:t>
      </w:r>
      <w:r>
        <w:t>＝</w:t>
      </w:r>
      <w:r>
        <w:t>59.3</w:t>
      </w:r>
      <w:r>
        <w:t>＋</w:t>
      </w:r>
      <w:r>
        <w:t>0.23V</w:t>
      </w:r>
      <w:r>
        <w:rPr>
          <w:vertAlign w:val="subscript"/>
        </w:rPr>
        <w:t>s</w:t>
      </w:r>
    </w:p>
    <w:p w14:paraId="79FD3D0A" w14:textId="77777777" w:rsidR="00E579B9" w:rsidRDefault="006A1398">
      <w:pPr>
        <w:spacing w:line="520" w:lineRule="exact"/>
      </w:pPr>
      <w:r>
        <w:t>式中：</w:t>
      </w:r>
      <w:proofErr w:type="spellStart"/>
      <w:r>
        <w:t>i</w:t>
      </w:r>
      <w:proofErr w:type="spellEnd"/>
      <w:r>
        <w:t>──</w:t>
      </w:r>
      <w:r>
        <w:t>表示大</w:t>
      </w:r>
      <w:r>
        <w:t>(L)</w:t>
      </w:r>
      <w:r>
        <w:t>、中</w:t>
      </w:r>
      <w:r>
        <w:t>(m)</w:t>
      </w:r>
      <w:r>
        <w:t>、小</w:t>
      </w:r>
      <w:r>
        <w:t>(s)</w:t>
      </w:r>
      <w:r>
        <w:t>型车；</w:t>
      </w:r>
    </w:p>
    <w:p w14:paraId="031BA04C" w14:textId="77777777" w:rsidR="00E579B9" w:rsidRDefault="006A1398">
      <w:pPr>
        <w:spacing w:line="520" w:lineRule="exact"/>
      </w:pPr>
      <w:r>
        <w:t>V</w:t>
      </w:r>
      <w:r>
        <w:rPr>
          <w:vertAlign w:val="subscript"/>
        </w:rPr>
        <w:t>i</w:t>
      </w:r>
      <w:r>
        <w:t>──</w:t>
      </w:r>
      <w:r>
        <w:t>各型车平均行驶速度，</w:t>
      </w:r>
      <w:r>
        <w:t>km/h</w:t>
      </w:r>
      <w:r>
        <w:t>。</w:t>
      </w:r>
    </w:p>
    <w:p w14:paraId="55E13A3B" w14:textId="77777777" w:rsidR="00E579B9" w:rsidRDefault="006A1398">
      <w:pPr>
        <w:pStyle w:val="226"/>
        <w:numPr>
          <w:ilvl w:val="0"/>
          <w:numId w:val="1"/>
        </w:numPr>
        <w:ind w:firstLineChars="0"/>
        <w:rPr>
          <w:rFonts w:cs="Times New Roman"/>
          <w:kern w:val="0"/>
        </w:rPr>
      </w:pPr>
      <w:r>
        <w:rPr>
          <w:rFonts w:cs="Times New Roman" w:hint="eastAsia"/>
          <w:kern w:val="0"/>
        </w:rPr>
        <w:t>运矿道路交通噪声预测评价</w:t>
      </w:r>
    </w:p>
    <w:p w14:paraId="3C83D33C" w14:textId="77777777" w:rsidR="00E579B9" w:rsidRDefault="006A1398">
      <w:pPr>
        <w:pStyle w:val="226"/>
        <w:rPr>
          <w:rFonts w:cs="Times New Roman"/>
          <w:kern w:val="0"/>
        </w:rPr>
      </w:pPr>
      <w:r>
        <w:rPr>
          <w:rFonts w:cs="Times New Roman" w:hint="eastAsia"/>
          <w:kern w:val="0"/>
        </w:rPr>
        <w:t>本项目仅白天运输，</w:t>
      </w:r>
      <w:proofErr w:type="gramStart"/>
      <w:r>
        <w:rPr>
          <w:rFonts w:cs="Times New Roman" w:hint="eastAsia"/>
          <w:kern w:val="0"/>
        </w:rPr>
        <w:t>日运输</w:t>
      </w:r>
      <w:proofErr w:type="gramEnd"/>
      <w:r>
        <w:rPr>
          <w:rFonts w:cs="Times New Roman" w:hint="eastAsia"/>
          <w:kern w:val="0"/>
        </w:rPr>
        <w:t>矿石量</w:t>
      </w:r>
      <w:r>
        <w:rPr>
          <w:rFonts w:cs="Times New Roman" w:hint="eastAsia"/>
          <w:kern w:val="0"/>
        </w:rPr>
        <w:t>8214t</w:t>
      </w:r>
      <w:r>
        <w:rPr>
          <w:rFonts w:cs="Times New Roman" w:hint="eastAsia"/>
          <w:kern w:val="0"/>
        </w:rPr>
        <w:t>，运输车辆载重</w:t>
      </w:r>
      <w:r>
        <w:rPr>
          <w:rFonts w:cs="Times New Roman" w:hint="eastAsia"/>
          <w:kern w:val="0"/>
        </w:rPr>
        <w:t>32</w:t>
      </w:r>
      <w:r>
        <w:rPr>
          <w:rFonts w:cs="Times New Roman"/>
          <w:kern w:val="0"/>
        </w:rPr>
        <w:t>t</w:t>
      </w:r>
      <w:r>
        <w:rPr>
          <w:rFonts w:cs="Times New Roman" w:hint="eastAsia"/>
          <w:kern w:val="0"/>
        </w:rPr>
        <w:t>，属中型车，车速按</w:t>
      </w:r>
      <w:r>
        <w:rPr>
          <w:rFonts w:cs="Times New Roman"/>
          <w:kern w:val="0"/>
        </w:rPr>
        <w:t>20km/h</w:t>
      </w:r>
      <w:r>
        <w:rPr>
          <w:rFonts w:cs="Times New Roman" w:hint="eastAsia"/>
          <w:kern w:val="0"/>
        </w:rPr>
        <w:t>计，车流量为</w:t>
      </w:r>
      <w:r>
        <w:rPr>
          <w:rFonts w:cs="Times New Roman" w:hint="eastAsia"/>
          <w:kern w:val="0"/>
        </w:rPr>
        <w:t>14</w:t>
      </w:r>
      <w:r>
        <w:rPr>
          <w:rFonts w:cs="Times New Roman" w:hint="eastAsia"/>
          <w:kern w:val="0"/>
        </w:rPr>
        <w:t>辆</w:t>
      </w:r>
      <w:r>
        <w:rPr>
          <w:rFonts w:cs="Times New Roman" w:hint="eastAsia"/>
          <w:kern w:val="0"/>
        </w:rPr>
        <w:t>/h</w:t>
      </w:r>
      <w:r>
        <w:rPr>
          <w:rFonts w:cs="Times New Roman" w:hint="eastAsia"/>
          <w:kern w:val="0"/>
        </w:rPr>
        <w:t>；路面性质，地形，障碍物等衰减量取</w:t>
      </w:r>
      <w:r>
        <w:rPr>
          <w:rFonts w:cs="Times New Roman"/>
          <w:kern w:val="0"/>
        </w:rPr>
        <w:t>-2dB(A)</w:t>
      </w:r>
      <w:r>
        <w:rPr>
          <w:rFonts w:cs="Times New Roman" w:hint="eastAsia"/>
          <w:kern w:val="0"/>
        </w:rPr>
        <w:t>，根据预测模式，计算出道路沿</w:t>
      </w:r>
      <w:r>
        <w:rPr>
          <w:rFonts w:ascii="宋体" w:hAnsi="Calibri" w:hint="eastAsia"/>
          <w:kern w:val="0"/>
        </w:rPr>
        <w:t>线</w:t>
      </w:r>
      <w:proofErr w:type="gramStart"/>
      <w:r>
        <w:rPr>
          <w:rFonts w:ascii="宋体" w:hAnsi="Calibri" w:hint="eastAsia"/>
          <w:kern w:val="0"/>
        </w:rPr>
        <w:t>各环境</w:t>
      </w:r>
      <w:proofErr w:type="gramEnd"/>
      <w:r>
        <w:rPr>
          <w:rFonts w:ascii="宋体" w:hAnsi="Calibri" w:hint="eastAsia"/>
          <w:kern w:val="0"/>
        </w:rPr>
        <w:t>敏感点昼间影响预测结果见表</w:t>
      </w:r>
      <w:r>
        <w:rPr>
          <w:rFonts w:eastAsia="TimesNewRomanPSMT" w:cs="Times New Roman"/>
          <w:kern w:val="0"/>
        </w:rPr>
        <w:t>5.2-17</w:t>
      </w:r>
      <w:r>
        <w:rPr>
          <w:rFonts w:cs="Times New Roman"/>
          <w:kern w:val="0"/>
        </w:rPr>
        <w:t>。</w:t>
      </w:r>
    </w:p>
    <w:p w14:paraId="284B818F" w14:textId="77777777" w:rsidR="00E579B9" w:rsidRDefault="006A1398">
      <w:pPr>
        <w:pStyle w:val="af7"/>
        <w:jc w:val="center"/>
        <w:rPr>
          <w:sz w:val="24"/>
          <w:szCs w:val="24"/>
        </w:rPr>
      </w:pPr>
      <w:r>
        <w:rPr>
          <w:sz w:val="24"/>
          <w:szCs w:val="24"/>
        </w:rPr>
        <w:t>表</w:t>
      </w:r>
      <w:r>
        <w:rPr>
          <w:rFonts w:hint="eastAsia"/>
          <w:sz w:val="24"/>
          <w:szCs w:val="24"/>
        </w:rPr>
        <w:t>5.2-1</w:t>
      </w:r>
      <w:r>
        <w:rPr>
          <w:sz w:val="24"/>
          <w:szCs w:val="24"/>
        </w:rPr>
        <w:t>7</w:t>
      </w:r>
      <w:r>
        <w:rPr>
          <w:rFonts w:hint="eastAsia"/>
          <w:sz w:val="24"/>
          <w:szCs w:val="24"/>
        </w:rPr>
        <w:t>运输道路昼间交通噪声贡献</w:t>
      </w:r>
      <w:proofErr w:type="gramStart"/>
      <w:r>
        <w:rPr>
          <w:rFonts w:hint="eastAsia"/>
          <w:sz w:val="24"/>
          <w:szCs w:val="24"/>
        </w:rPr>
        <w:t>值预测</w:t>
      </w:r>
      <w:proofErr w:type="gramEnd"/>
      <w:r>
        <w:rPr>
          <w:rFonts w:hint="eastAsia"/>
          <w:sz w:val="24"/>
          <w:szCs w:val="24"/>
        </w:rPr>
        <w:t>结果</w:t>
      </w:r>
    </w:p>
    <w:tbl>
      <w:tblPr>
        <w:tblW w:w="8715" w:type="dxa"/>
        <w:jc w:val="center"/>
        <w:tblLayout w:type="fixed"/>
        <w:tblCellMar>
          <w:left w:w="10" w:type="dxa"/>
          <w:right w:w="10" w:type="dxa"/>
        </w:tblCellMar>
        <w:tblLook w:val="04A0" w:firstRow="1" w:lastRow="0" w:firstColumn="1" w:lastColumn="0" w:noHBand="0" w:noVBand="1"/>
      </w:tblPr>
      <w:tblGrid>
        <w:gridCol w:w="2091"/>
        <w:gridCol w:w="702"/>
        <w:gridCol w:w="994"/>
        <w:gridCol w:w="992"/>
        <w:gridCol w:w="992"/>
        <w:gridCol w:w="849"/>
        <w:gridCol w:w="1135"/>
        <w:gridCol w:w="960"/>
      </w:tblGrid>
      <w:tr w:rsidR="00E579B9" w14:paraId="564B1629" w14:textId="77777777">
        <w:trPr>
          <w:trHeight w:val="397"/>
          <w:jc w:val="center"/>
        </w:trPr>
        <w:tc>
          <w:tcPr>
            <w:tcW w:w="2793" w:type="dxa"/>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73B61FD7" w14:textId="77777777" w:rsidR="00E579B9" w:rsidRDefault="006A1398">
            <w:pPr>
              <w:pStyle w:val="aa"/>
              <w:rPr>
                <w:lang w:val="zh-CN"/>
              </w:rPr>
            </w:pPr>
            <w:bookmarkStart w:id="263" w:name="_Toc181247598"/>
            <w:r>
              <w:rPr>
                <w:lang w:val="zh-CN"/>
              </w:rPr>
              <w:t>距离</w:t>
            </w:r>
            <w:bookmarkEnd w:id="263"/>
          </w:p>
          <w:p w14:paraId="2CF07397" w14:textId="77777777" w:rsidR="00E579B9" w:rsidRDefault="006A1398">
            <w:pPr>
              <w:pStyle w:val="aa"/>
              <w:rPr>
                <w:lang w:val="zh-CN"/>
              </w:rPr>
            </w:pPr>
            <w:r>
              <w:rPr>
                <w:lang w:val="zh-CN"/>
              </w:rPr>
              <w:t>噪声值</w:t>
            </w:r>
          </w:p>
        </w:tc>
        <w:tc>
          <w:tcPr>
            <w:tcW w:w="5922" w:type="dxa"/>
            <w:gridSpan w:val="6"/>
            <w:tcBorders>
              <w:top w:val="single" w:sz="4" w:space="0" w:color="auto"/>
              <w:left w:val="single" w:sz="4" w:space="0" w:color="auto"/>
              <w:bottom w:val="single" w:sz="4" w:space="0" w:color="auto"/>
              <w:right w:val="single" w:sz="4" w:space="0" w:color="auto"/>
            </w:tcBorders>
            <w:vAlign w:val="center"/>
          </w:tcPr>
          <w:p w14:paraId="1F8F44B2" w14:textId="77777777" w:rsidR="00E579B9" w:rsidRDefault="006A1398">
            <w:pPr>
              <w:pStyle w:val="aa"/>
              <w:rPr>
                <w:lang w:val="zh-CN"/>
              </w:rPr>
            </w:pPr>
            <w:bookmarkStart w:id="264" w:name="_Toc181247600"/>
            <w:r>
              <w:rPr>
                <w:lang w:val="zh-CN"/>
              </w:rPr>
              <w:t>距路面中心线距离</w:t>
            </w:r>
            <w:bookmarkEnd w:id="264"/>
          </w:p>
        </w:tc>
      </w:tr>
      <w:tr w:rsidR="00E579B9" w14:paraId="68D7757F" w14:textId="77777777">
        <w:trPr>
          <w:trHeight w:val="397"/>
          <w:jc w:val="center"/>
        </w:trPr>
        <w:tc>
          <w:tcPr>
            <w:tcW w:w="2793" w:type="dxa"/>
            <w:gridSpan w:val="2"/>
            <w:vMerge/>
            <w:tcBorders>
              <w:top w:val="single" w:sz="4" w:space="0" w:color="auto"/>
              <w:left w:val="single" w:sz="4" w:space="0" w:color="auto"/>
              <w:bottom w:val="single" w:sz="4" w:space="0" w:color="auto"/>
              <w:right w:val="single" w:sz="4" w:space="0" w:color="auto"/>
            </w:tcBorders>
            <w:vAlign w:val="center"/>
          </w:tcPr>
          <w:p w14:paraId="199E1743" w14:textId="77777777" w:rsidR="00E579B9" w:rsidRDefault="00E579B9">
            <w:pPr>
              <w:pStyle w:val="aa"/>
              <w:rPr>
                <w:lang w:val="zh-CN"/>
              </w:rPr>
            </w:pPr>
          </w:p>
        </w:tc>
        <w:tc>
          <w:tcPr>
            <w:tcW w:w="994" w:type="dxa"/>
            <w:tcBorders>
              <w:top w:val="single" w:sz="4" w:space="0" w:color="auto"/>
              <w:left w:val="single" w:sz="4" w:space="0" w:color="auto"/>
              <w:bottom w:val="single" w:sz="4" w:space="0" w:color="auto"/>
              <w:right w:val="single" w:sz="4" w:space="0" w:color="auto"/>
            </w:tcBorders>
            <w:vAlign w:val="center"/>
          </w:tcPr>
          <w:p w14:paraId="60EF1C30" w14:textId="77777777" w:rsidR="00E579B9" w:rsidRDefault="006A1398">
            <w:pPr>
              <w:pStyle w:val="aa"/>
              <w:rPr>
                <w:lang w:val="zh-CN"/>
              </w:rPr>
            </w:pPr>
            <w:r>
              <w:rPr>
                <w:lang w:val="zh-CN"/>
              </w:rPr>
              <w:t>5m</w:t>
            </w:r>
          </w:p>
        </w:tc>
        <w:tc>
          <w:tcPr>
            <w:tcW w:w="992" w:type="dxa"/>
            <w:tcBorders>
              <w:top w:val="single" w:sz="4" w:space="0" w:color="auto"/>
              <w:left w:val="single" w:sz="4" w:space="0" w:color="auto"/>
              <w:bottom w:val="single" w:sz="4" w:space="0" w:color="auto"/>
              <w:right w:val="single" w:sz="4" w:space="0" w:color="auto"/>
            </w:tcBorders>
            <w:vAlign w:val="center"/>
          </w:tcPr>
          <w:p w14:paraId="501935C7" w14:textId="77777777" w:rsidR="00E579B9" w:rsidRDefault="006A1398">
            <w:pPr>
              <w:pStyle w:val="aa"/>
              <w:rPr>
                <w:lang w:val="zh-CN"/>
              </w:rPr>
            </w:pPr>
            <w:bookmarkStart w:id="265" w:name="_Toc181247601"/>
            <w:r>
              <w:rPr>
                <w:lang w:val="zh-CN"/>
              </w:rPr>
              <w:t>10</w:t>
            </w:r>
            <w:bookmarkEnd w:id="265"/>
            <w:r>
              <w:rPr>
                <w:lang w:val="zh-CN"/>
              </w:rPr>
              <w:t>m</w:t>
            </w:r>
          </w:p>
        </w:tc>
        <w:tc>
          <w:tcPr>
            <w:tcW w:w="992" w:type="dxa"/>
            <w:tcBorders>
              <w:top w:val="single" w:sz="4" w:space="0" w:color="auto"/>
              <w:left w:val="single" w:sz="4" w:space="0" w:color="auto"/>
              <w:bottom w:val="single" w:sz="4" w:space="0" w:color="auto"/>
              <w:right w:val="single" w:sz="4" w:space="0" w:color="auto"/>
            </w:tcBorders>
            <w:vAlign w:val="center"/>
          </w:tcPr>
          <w:p w14:paraId="7230F30C" w14:textId="77777777" w:rsidR="00E579B9" w:rsidRDefault="006A1398">
            <w:pPr>
              <w:pStyle w:val="aa"/>
              <w:rPr>
                <w:lang w:val="zh-CN"/>
              </w:rPr>
            </w:pPr>
            <w:bookmarkStart w:id="266" w:name="_Toc181247602"/>
            <w:r>
              <w:rPr>
                <w:lang w:val="zh-CN"/>
              </w:rPr>
              <w:t>20</w:t>
            </w:r>
            <w:bookmarkEnd w:id="266"/>
            <w:r>
              <w:rPr>
                <w:lang w:val="zh-CN"/>
              </w:rPr>
              <w:t>m</w:t>
            </w:r>
          </w:p>
        </w:tc>
        <w:tc>
          <w:tcPr>
            <w:tcW w:w="849" w:type="dxa"/>
            <w:tcBorders>
              <w:top w:val="single" w:sz="4" w:space="0" w:color="auto"/>
              <w:left w:val="single" w:sz="4" w:space="0" w:color="auto"/>
              <w:bottom w:val="single" w:sz="4" w:space="0" w:color="auto"/>
              <w:right w:val="single" w:sz="4" w:space="0" w:color="auto"/>
            </w:tcBorders>
            <w:vAlign w:val="center"/>
          </w:tcPr>
          <w:p w14:paraId="5AE918CE" w14:textId="77777777" w:rsidR="00E579B9" w:rsidRDefault="006A1398">
            <w:pPr>
              <w:pStyle w:val="aa"/>
              <w:rPr>
                <w:lang w:val="zh-CN"/>
              </w:rPr>
            </w:pPr>
            <w:bookmarkStart w:id="267" w:name="_Toc181247603"/>
            <w:r>
              <w:rPr>
                <w:lang w:val="zh-CN"/>
              </w:rPr>
              <w:t>30</w:t>
            </w:r>
            <w:bookmarkEnd w:id="267"/>
            <w:r>
              <w:rPr>
                <w:lang w:val="zh-CN"/>
              </w:rPr>
              <w:t>m</w:t>
            </w:r>
          </w:p>
        </w:tc>
        <w:tc>
          <w:tcPr>
            <w:tcW w:w="1135" w:type="dxa"/>
            <w:tcBorders>
              <w:top w:val="single" w:sz="4" w:space="0" w:color="auto"/>
              <w:left w:val="single" w:sz="4" w:space="0" w:color="auto"/>
              <w:bottom w:val="single" w:sz="4" w:space="0" w:color="auto"/>
              <w:right w:val="single" w:sz="4" w:space="0" w:color="auto"/>
            </w:tcBorders>
            <w:vAlign w:val="center"/>
          </w:tcPr>
          <w:p w14:paraId="3B698402" w14:textId="77777777" w:rsidR="00E579B9" w:rsidRDefault="006A1398">
            <w:pPr>
              <w:pStyle w:val="aa"/>
              <w:rPr>
                <w:lang w:val="zh-CN"/>
              </w:rPr>
            </w:pPr>
            <w:bookmarkStart w:id="268" w:name="_Toc181247604"/>
            <w:r>
              <w:rPr>
                <w:lang w:val="zh-CN"/>
              </w:rPr>
              <w:t>40</w:t>
            </w:r>
            <w:bookmarkEnd w:id="268"/>
            <w:r>
              <w:rPr>
                <w:lang w:val="zh-CN"/>
              </w:rPr>
              <w:t>m</w:t>
            </w:r>
          </w:p>
        </w:tc>
        <w:tc>
          <w:tcPr>
            <w:tcW w:w="960" w:type="dxa"/>
            <w:tcBorders>
              <w:top w:val="single" w:sz="4" w:space="0" w:color="auto"/>
              <w:left w:val="single" w:sz="4" w:space="0" w:color="auto"/>
              <w:bottom w:val="single" w:sz="4" w:space="0" w:color="auto"/>
              <w:right w:val="single" w:sz="4" w:space="0" w:color="auto"/>
            </w:tcBorders>
            <w:vAlign w:val="center"/>
          </w:tcPr>
          <w:p w14:paraId="59FA0D27" w14:textId="77777777" w:rsidR="00E579B9" w:rsidRDefault="006A1398">
            <w:pPr>
              <w:pStyle w:val="aa"/>
              <w:rPr>
                <w:lang w:val="zh-CN"/>
              </w:rPr>
            </w:pPr>
            <w:bookmarkStart w:id="269" w:name="_Toc181247605"/>
            <w:r>
              <w:rPr>
                <w:lang w:val="zh-CN"/>
              </w:rPr>
              <w:t>50</w:t>
            </w:r>
            <w:bookmarkEnd w:id="269"/>
            <w:r>
              <w:rPr>
                <w:lang w:val="zh-CN"/>
              </w:rPr>
              <w:t>m</w:t>
            </w:r>
          </w:p>
        </w:tc>
      </w:tr>
      <w:tr w:rsidR="00E579B9" w14:paraId="30687B9D" w14:textId="77777777">
        <w:trPr>
          <w:trHeight w:val="397"/>
          <w:jc w:val="center"/>
        </w:trPr>
        <w:tc>
          <w:tcPr>
            <w:tcW w:w="2091" w:type="dxa"/>
            <w:tcBorders>
              <w:top w:val="single" w:sz="4" w:space="0" w:color="auto"/>
              <w:left w:val="single" w:sz="4" w:space="0" w:color="auto"/>
              <w:bottom w:val="single" w:sz="4" w:space="0" w:color="auto"/>
              <w:right w:val="single" w:sz="4" w:space="0" w:color="auto"/>
            </w:tcBorders>
            <w:vAlign w:val="center"/>
          </w:tcPr>
          <w:p w14:paraId="2CC36B4B" w14:textId="77777777" w:rsidR="00E579B9" w:rsidRDefault="006A1398">
            <w:pPr>
              <w:pStyle w:val="aa"/>
              <w:rPr>
                <w:lang w:val="zh-CN"/>
              </w:rPr>
            </w:pPr>
            <w:bookmarkStart w:id="270" w:name="_Toc181247606"/>
            <w:r>
              <w:rPr>
                <w:lang w:val="zh-CN"/>
              </w:rPr>
              <w:t>预测值</w:t>
            </w:r>
            <w:bookmarkEnd w:id="270"/>
          </w:p>
          <w:p w14:paraId="5FF7F423" w14:textId="77777777" w:rsidR="00E579B9" w:rsidRDefault="00E579B9">
            <w:pPr>
              <w:pStyle w:val="aa"/>
              <w:rPr>
                <w:lang w:val="zh-CN"/>
              </w:rPr>
            </w:pPr>
          </w:p>
        </w:tc>
        <w:tc>
          <w:tcPr>
            <w:tcW w:w="702" w:type="dxa"/>
            <w:tcBorders>
              <w:top w:val="single" w:sz="4" w:space="0" w:color="auto"/>
              <w:left w:val="single" w:sz="4" w:space="0" w:color="auto"/>
              <w:bottom w:val="single" w:sz="4" w:space="0" w:color="auto"/>
              <w:right w:val="single" w:sz="4" w:space="0" w:color="auto"/>
            </w:tcBorders>
            <w:vAlign w:val="center"/>
          </w:tcPr>
          <w:p w14:paraId="465DBF07" w14:textId="77777777" w:rsidR="00E579B9" w:rsidRDefault="006A1398">
            <w:pPr>
              <w:pStyle w:val="aa"/>
              <w:rPr>
                <w:lang w:val="zh-CN"/>
              </w:rPr>
            </w:pPr>
            <w:bookmarkStart w:id="271" w:name="_Toc181247607"/>
            <w:proofErr w:type="gramStart"/>
            <w:r>
              <w:rPr>
                <w:lang w:val="zh-CN"/>
              </w:rPr>
              <w:t>昼</w:t>
            </w:r>
            <w:bookmarkEnd w:id="271"/>
            <w:proofErr w:type="gramEnd"/>
            <w:r>
              <w:t>dB(A)</w:t>
            </w:r>
          </w:p>
        </w:tc>
        <w:tc>
          <w:tcPr>
            <w:tcW w:w="994" w:type="dxa"/>
            <w:tcBorders>
              <w:top w:val="single" w:sz="4" w:space="0" w:color="auto"/>
              <w:left w:val="single" w:sz="4" w:space="0" w:color="auto"/>
              <w:bottom w:val="single" w:sz="4" w:space="0" w:color="auto"/>
              <w:right w:val="single" w:sz="4" w:space="0" w:color="auto"/>
            </w:tcBorders>
            <w:vAlign w:val="center"/>
          </w:tcPr>
          <w:p w14:paraId="157640FE" w14:textId="77777777" w:rsidR="00E579B9" w:rsidRDefault="006A1398">
            <w:pPr>
              <w:pStyle w:val="aa"/>
            </w:pPr>
            <w:r>
              <w:t>59.08</w:t>
            </w:r>
          </w:p>
        </w:tc>
        <w:tc>
          <w:tcPr>
            <w:tcW w:w="992" w:type="dxa"/>
            <w:tcBorders>
              <w:top w:val="single" w:sz="4" w:space="0" w:color="auto"/>
              <w:left w:val="single" w:sz="4" w:space="0" w:color="auto"/>
              <w:bottom w:val="single" w:sz="4" w:space="0" w:color="auto"/>
              <w:right w:val="single" w:sz="4" w:space="0" w:color="auto"/>
            </w:tcBorders>
            <w:vAlign w:val="center"/>
          </w:tcPr>
          <w:p w14:paraId="74A814C1" w14:textId="77777777" w:rsidR="00E579B9" w:rsidRDefault="006A1398">
            <w:pPr>
              <w:pStyle w:val="aa"/>
            </w:pPr>
            <w:r>
              <w:t>56.52</w:t>
            </w:r>
          </w:p>
        </w:tc>
        <w:tc>
          <w:tcPr>
            <w:tcW w:w="992" w:type="dxa"/>
            <w:tcBorders>
              <w:top w:val="single" w:sz="4" w:space="0" w:color="auto"/>
              <w:left w:val="single" w:sz="4" w:space="0" w:color="auto"/>
              <w:bottom w:val="single" w:sz="4" w:space="0" w:color="auto"/>
              <w:right w:val="single" w:sz="4" w:space="0" w:color="auto"/>
            </w:tcBorders>
            <w:vAlign w:val="center"/>
          </w:tcPr>
          <w:p w14:paraId="6F313110" w14:textId="77777777" w:rsidR="00E579B9" w:rsidRDefault="006A1398">
            <w:pPr>
              <w:pStyle w:val="aa"/>
            </w:pPr>
            <w:r>
              <w:rPr>
                <w:lang w:val="zh-CN"/>
              </w:rPr>
              <w:t>5</w:t>
            </w:r>
            <w:r>
              <w:t>1.67</w:t>
            </w:r>
          </w:p>
        </w:tc>
        <w:tc>
          <w:tcPr>
            <w:tcW w:w="849" w:type="dxa"/>
            <w:tcBorders>
              <w:top w:val="single" w:sz="4" w:space="0" w:color="auto"/>
              <w:left w:val="single" w:sz="4" w:space="0" w:color="auto"/>
              <w:bottom w:val="single" w:sz="4" w:space="0" w:color="auto"/>
              <w:right w:val="single" w:sz="4" w:space="0" w:color="auto"/>
            </w:tcBorders>
            <w:vAlign w:val="center"/>
          </w:tcPr>
          <w:p w14:paraId="4D3423E1" w14:textId="77777777" w:rsidR="00E579B9" w:rsidRDefault="006A1398">
            <w:pPr>
              <w:pStyle w:val="aa"/>
            </w:pPr>
            <w:r>
              <w:t>47.72</w:t>
            </w:r>
          </w:p>
        </w:tc>
        <w:tc>
          <w:tcPr>
            <w:tcW w:w="1135" w:type="dxa"/>
            <w:tcBorders>
              <w:top w:val="single" w:sz="4" w:space="0" w:color="auto"/>
              <w:left w:val="single" w:sz="4" w:space="0" w:color="auto"/>
              <w:bottom w:val="single" w:sz="4" w:space="0" w:color="auto"/>
              <w:right w:val="single" w:sz="4" w:space="0" w:color="auto"/>
            </w:tcBorders>
            <w:vAlign w:val="center"/>
          </w:tcPr>
          <w:p w14:paraId="64514C52" w14:textId="77777777" w:rsidR="00E579B9" w:rsidRDefault="006A1398">
            <w:pPr>
              <w:pStyle w:val="aa"/>
            </w:pPr>
            <w:r>
              <w:t>45.48</w:t>
            </w:r>
          </w:p>
        </w:tc>
        <w:tc>
          <w:tcPr>
            <w:tcW w:w="960" w:type="dxa"/>
            <w:tcBorders>
              <w:top w:val="single" w:sz="4" w:space="0" w:color="auto"/>
              <w:left w:val="single" w:sz="4" w:space="0" w:color="auto"/>
              <w:bottom w:val="single" w:sz="4" w:space="0" w:color="auto"/>
              <w:right w:val="single" w:sz="4" w:space="0" w:color="auto"/>
            </w:tcBorders>
            <w:vAlign w:val="center"/>
          </w:tcPr>
          <w:p w14:paraId="1DE9E0F9" w14:textId="77777777" w:rsidR="00E579B9" w:rsidRDefault="006A1398">
            <w:pPr>
              <w:pStyle w:val="aa"/>
            </w:pPr>
            <w:r>
              <w:t>43.68</w:t>
            </w:r>
          </w:p>
        </w:tc>
      </w:tr>
      <w:tr w:rsidR="00E579B9" w14:paraId="7A79E757" w14:textId="77777777">
        <w:trPr>
          <w:trHeight w:val="397"/>
          <w:jc w:val="center"/>
        </w:trPr>
        <w:tc>
          <w:tcPr>
            <w:tcW w:w="2793" w:type="dxa"/>
            <w:gridSpan w:val="2"/>
            <w:tcBorders>
              <w:top w:val="single" w:sz="4" w:space="0" w:color="auto"/>
              <w:left w:val="single" w:sz="4" w:space="0" w:color="auto"/>
              <w:bottom w:val="single" w:sz="4" w:space="0" w:color="auto"/>
              <w:right w:val="single" w:sz="4" w:space="0" w:color="auto"/>
            </w:tcBorders>
            <w:vAlign w:val="center"/>
          </w:tcPr>
          <w:p w14:paraId="335AF0A1" w14:textId="77777777" w:rsidR="00E579B9" w:rsidRDefault="006A1398">
            <w:pPr>
              <w:pStyle w:val="aa"/>
              <w:rPr>
                <w:lang w:val="zh-CN"/>
              </w:rPr>
            </w:pPr>
            <w:bookmarkStart w:id="272" w:name="_Toc181247613"/>
            <w:r>
              <w:rPr>
                <w:lang w:val="zh-CN"/>
              </w:rPr>
              <w:t>标准限值</w:t>
            </w:r>
            <w:bookmarkEnd w:id="272"/>
          </w:p>
        </w:tc>
        <w:tc>
          <w:tcPr>
            <w:tcW w:w="5922" w:type="dxa"/>
            <w:gridSpan w:val="6"/>
            <w:tcBorders>
              <w:top w:val="single" w:sz="4" w:space="0" w:color="auto"/>
              <w:left w:val="single" w:sz="4" w:space="0" w:color="auto"/>
              <w:bottom w:val="single" w:sz="4" w:space="0" w:color="auto"/>
              <w:right w:val="single" w:sz="4" w:space="0" w:color="auto"/>
            </w:tcBorders>
            <w:vAlign w:val="center"/>
          </w:tcPr>
          <w:p w14:paraId="42CE2BFA" w14:textId="77777777" w:rsidR="00E579B9" w:rsidRDefault="006A1398">
            <w:pPr>
              <w:pStyle w:val="aa"/>
              <w:rPr>
                <w:lang w:val="zh-CN"/>
              </w:rPr>
            </w:pPr>
            <w:bookmarkStart w:id="273" w:name="_Toc181247616"/>
            <w:r>
              <w:rPr>
                <w:lang w:val="zh-CN"/>
              </w:rPr>
              <w:t>2</w:t>
            </w:r>
            <w:r>
              <w:rPr>
                <w:lang w:val="zh-CN"/>
              </w:rPr>
              <w:t>类</w:t>
            </w:r>
            <w:bookmarkEnd w:id="273"/>
            <w:r>
              <w:rPr>
                <w:lang w:val="zh-CN"/>
              </w:rPr>
              <w:t>，</w:t>
            </w:r>
            <w:r>
              <w:rPr>
                <w:lang w:val="zh-CN"/>
              </w:rPr>
              <w:t>60dB</w:t>
            </w:r>
            <w:r>
              <w:rPr>
                <w:lang w:val="zh-CN"/>
              </w:rPr>
              <w:t>（</w:t>
            </w:r>
            <w:r>
              <w:rPr>
                <w:lang w:val="zh-CN"/>
              </w:rPr>
              <w:t>A</w:t>
            </w:r>
            <w:r>
              <w:rPr>
                <w:lang w:val="zh-CN"/>
              </w:rPr>
              <w:t>）</w:t>
            </w:r>
          </w:p>
        </w:tc>
      </w:tr>
    </w:tbl>
    <w:p w14:paraId="31ACE66C" w14:textId="77777777" w:rsidR="00E579B9" w:rsidRDefault="006A1398">
      <w:pPr>
        <w:pStyle w:val="226"/>
      </w:pPr>
      <w:r>
        <w:t>由预测结果可以看出，运输道路中心线</w:t>
      </w:r>
      <w:r>
        <w:t>5m</w:t>
      </w:r>
      <w:r>
        <w:t>以外区域受交通噪声环境影响预</w:t>
      </w:r>
      <w:r>
        <w:lastRenderedPageBreak/>
        <w:t>测值满足《声环境质量标准》</w:t>
      </w:r>
      <w:r>
        <w:t>2</w:t>
      </w:r>
      <w:r>
        <w:t>类标准要求。考虑到产品运输道路两侧敏感点分布情况，主要是产品外运道路沿线的</w:t>
      </w:r>
      <w:r>
        <w:rPr>
          <w:rFonts w:hint="eastAsia"/>
        </w:rPr>
        <w:t>周庄</w:t>
      </w:r>
      <w:r>
        <w:t>（</w:t>
      </w:r>
      <w:r>
        <w:rPr>
          <w:rFonts w:hint="eastAsia"/>
        </w:rPr>
        <w:t>10</w:t>
      </w:r>
      <w:r>
        <w:t>m</w:t>
      </w:r>
      <w:r>
        <w:t>）、</w:t>
      </w:r>
      <w:r>
        <w:rPr>
          <w:rFonts w:hint="eastAsia"/>
        </w:rPr>
        <w:t>西下庄</w:t>
      </w:r>
      <w:r>
        <w:t>（</w:t>
      </w:r>
      <w:r>
        <w:t>10m</w:t>
      </w:r>
      <w:r>
        <w:t>）容易受交通噪声影响。结合预测结果，评价认为</w:t>
      </w:r>
      <w:r>
        <w:rPr>
          <w:bCs/>
        </w:rPr>
        <w:t>，在采取限速行驶、路过居民区禁止鸣笛、禁止夜间运输、加强车况维护等措施的前提下，</w:t>
      </w:r>
      <w:r>
        <w:t>评价认为项目产品运输对交通沿线的声环境影响是可以接受的。</w:t>
      </w:r>
    </w:p>
    <w:p w14:paraId="511093C7" w14:textId="77777777" w:rsidR="00E579B9" w:rsidRDefault="006A1398">
      <w:pPr>
        <w:pStyle w:val="226"/>
        <w:rPr>
          <w:rFonts w:cs="Times New Roman"/>
          <w:kern w:val="0"/>
        </w:rPr>
      </w:pPr>
      <w:r>
        <w:rPr>
          <w:rFonts w:cs="Times New Roman" w:hint="eastAsia"/>
          <w:kern w:val="0"/>
        </w:rPr>
        <w:t>（</w:t>
      </w:r>
      <w:r>
        <w:rPr>
          <w:rFonts w:cs="Times New Roman" w:hint="eastAsia"/>
          <w:kern w:val="0"/>
        </w:rPr>
        <w:t>3</w:t>
      </w:r>
      <w:r>
        <w:rPr>
          <w:rFonts w:cs="Times New Roman" w:hint="eastAsia"/>
          <w:kern w:val="0"/>
        </w:rPr>
        <w:t>）运矿道路与环境空气的影响</w:t>
      </w:r>
    </w:p>
    <w:p w14:paraId="04020B45" w14:textId="77777777" w:rsidR="00E579B9" w:rsidRDefault="006A1398">
      <w:pPr>
        <w:pStyle w:val="226"/>
        <w:rPr>
          <w:rFonts w:cs="Times New Roman"/>
          <w:kern w:val="0"/>
        </w:rPr>
      </w:pPr>
      <w:r>
        <w:rPr>
          <w:rFonts w:cs="Times New Roman" w:hint="eastAsia"/>
          <w:kern w:val="0"/>
        </w:rPr>
        <w:t>矿石在运输过程中不可避免会产生少量扬尘，特别是汽车运输道路产生的扬尘，其污染物主要是</w:t>
      </w:r>
      <w:r>
        <w:rPr>
          <w:rFonts w:cs="Times New Roman" w:hint="eastAsia"/>
          <w:kern w:val="0"/>
        </w:rPr>
        <w:t>TSP</w:t>
      </w:r>
      <w:r>
        <w:rPr>
          <w:rFonts w:cs="Times New Roman" w:hint="eastAsia"/>
          <w:kern w:val="0"/>
        </w:rPr>
        <w:t>。道路扬尘的起尘量与运输车辆的车速、载重量、车流量、路面含尘量等因素相关。</w:t>
      </w:r>
    </w:p>
    <w:p w14:paraId="5D76FE9A" w14:textId="77777777" w:rsidR="00E579B9" w:rsidRDefault="006A1398">
      <w:pPr>
        <w:pStyle w:val="226"/>
        <w:rPr>
          <w:rFonts w:cs="Times New Roman"/>
          <w:kern w:val="0"/>
        </w:rPr>
      </w:pPr>
      <w:r>
        <w:rPr>
          <w:rFonts w:cs="Times New Roman" w:hint="eastAsia"/>
          <w:kern w:val="0"/>
        </w:rPr>
        <w:t>对道路扬尘的估算选用如下数学模型：</w:t>
      </w:r>
    </w:p>
    <w:p w14:paraId="39123E0D" w14:textId="77777777" w:rsidR="00E579B9" w:rsidRDefault="006A1398">
      <w:pPr>
        <w:spacing w:line="240" w:lineRule="auto"/>
        <w:ind w:firstLineChars="0" w:firstLine="0"/>
        <w:jc w:val="center"/>
        <w:rPr>
          <w:rFonts w:ascii="宋体" w:hAnsi="宋体" w:cs="宋体"/>
          <w:kern w:val="0"/>
          <w:szCs w:val="24"/>
        </w:rPr>
      </w:pPr>
      <w:r>
        <w:rPr>
          <w:rFonts w:ascii="宋体" w:hAnsi="宋体" w:cs="宋体"/>
          <w:kern w:val="0"/>
          <w:szCs w:val="24"/>
        </w:rPr>
        <w:fldChar w:fldCharType="begin"/>
      </w:r>
      <w:r>
        <w:rPr>
          <w:rFonts w:ascii="宋体" w:hAnsi="宋体" w:cs="宋体"/>
          <w:kern w:val="0"/>
          <w:szCs w:val="24"/>
        </w:rPr>
        <w:instrText xml:space="preserve"> INCLUDEPICTURE "C:\\Users\\Administrator\\AppData\\Roaming\\Tencent\\Users\\307673270\\QQ\\WinTemp\\RichOle\\BTJKSNIO3L{7YLM$MNPZNTN.png"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"C:\\Users\\Administrator\\AppData\\Roaming\\Tencent\\Users\\307673270\\QQ\\WinTemp\\RichOle\\BTJKSNIO3L{7YLM$MNPZNTN.png"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"C:\\Users\\Administrator\\AppData\\Roaming\\Tencent\\Users\\307673270\\QQ\\WinTemp\\RichOle\\BTJKSNIO3L{7YLM$MNPZNTN.png"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"C:\\Users\\12230\\AppData\\Roaming\\Tencent\\Users\\307673270\\QQ\\WinTemp\\RichOle\\BTJKSNIO3L{7YLM$MNPZNTN.png"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"C:\\Users\\12230\\AppData\\Roaming\\Tencent\\Users\\307673270\\QQ\\WinTemp\\RichOle\\BTJKSNIO3L{7YLM$MNPZNTN.png"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"G:\\..\\AppData\\Roaming\\Tencent\\Users\\307673270\\QQ\\WinTemp\\RichOle\\BTJKSNIO3L{7YLM$MNPZNTN.png"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"C:\\Users\\12230\\AppData\\Roaming\\Tencent\\Users\\307673270\\QQ\\WinTemp\\RichOle\\BTJKSNIO3L{7YLM$MNPZNTN.png"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"C:\\Users\\12230\\AppData\\Roaming\\Tencent\\Users\\307673270\\QQ\\WinTemp\\RichOle\\BTJKSNIO3L{7YLM$MNPZNTN.png"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"C:\\Users\\12230\\AppData\\Roaming\\Tencent\\Users\\307673270\\QQ\\WinTemp\\RichOle\\BTJKSNIO3L{7YLM$MNPZNTN.png"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"C:\\Users\\12230\\AppData\\Roaming\\Tencent\\Users\\307673270\\QQ\\WinTemp\\RichOle\\BTJKSNIO3L{7YLM$MNPZNTN.png"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"C:\\Users\\12230\\AppData\\Roaming\\Tencent\\Users\\307673270\\QQ\\WinTemp\\RichOle\\BTJKSNIO3L{7YLM$MNPZNTN.png"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"C:\\Users\\12230\\AppData\\Roaming\\Tencent\\Users\\307673270\\QQ\\WinTemp\\RichOle\\BTJKSNIO3L{7YLM$MNPZNTN.png"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"C:\\Users\\12230\\AppData\\Roaming\\Tencent\\Users\\307673270\\QQ\\WinTemp\\RichOle\\BTJKSNIO3L{7YLM$MNPZNTN.png"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"C:\\Users\\12230\\AppData\\Roaming\\Tencent\\Users\\307673270\\QQ\\WinTemp\\RichOle\\BTJKSNIO3L{7YLM$MNPZNTN.png" \* MERGEFORMATINET </w:instrText>
      </w:r>
      <w:r>
        <w:rPr>
          <w:rFonts w:ascii="宋体" w:hAnsi="宋体" w:cs="宋体"/>
          <w:kern w:val="0"/>
          <w:szCs w:val="24"/>
        </w:rPr>
        <w:fldChar w:fldCharType="separate"/>
      </w:r>
      <w:r>
        <w:rPr>
          <w:rFonts w:ascii="宋体" w:hAnsi="宋体" w:cs="宋体"/>
          <w:kern w:val="0"/>
          <w:szCs w:val="24"/>
        </w:rPr>
        <w:fldChar w:fldCharType="begin"/>
      </w:r>
      <w:r>
        <w:rPr>
          <w:rFonts w:ascii="宋体" w:hAnsi="宋体" w:cs="宋体"/>
          <w:kern w:val="0"/>
          <w:szCs w:val="24"/>
        </w:rPr>
        <w:instrText xml:space="preserve"> INCLUDEPICTURE  "C:\\Users\\12230\\Documents\\WeChat Files\\zyj913557935\\FileStorage\\AppData\\Roaming\\Tencent\\Users\\307673270\\QQ\\WinTemp\\RichOle\\BTJKSNIO3L%257b7YLM$MNPZNTN.png" \* MERGEFORMATINET </w:instrText>
      </w:r>
      <w:r>
        <w:rPr>
          <w:rFonts w:ascii="宋体" w:hAnsi="宋体" w:cs="宋体"/>
          <w:kern w:val="0"/>
          <w:szCs w:val="24"/>
        </w:rPr>
        <w:fldChar w:fldCharType="separate"/>
      </w:r>
      <w:r w:rsidR="00EB7184">
        <w:rPr>
          <w:rFonts w:ascii="宋体" w:hAnsi="宋体" w:cs="宋体"/>
          <w:kern w:val="0"/>
          <w:szCs w:val="24"/>
        </w:rPr>
        <w:fldChar w:fldCharType="begin"/>
      </w:r>
      <w:r w:rsidR="00EB7184">
        <w:rPr>
          <w:rFonts w:ascii="宋体" w:hAnsi="宋体" w:cs="宋体"/>
          <w:kern w:val="0"/>
          <w:szCs w:val="24"/>
        </w:rPr>
        <w:instrText xml:space="preserve"> INCLUDEPICTURE  "C:\\Users\\12230\\AppData\\Roaming\\Tencent\\Users\\307673270\\QQ\\WinTemp\\RichOle\\BTJKSNIO3L%257b7YLM$MNPZNTN.png" \* MERGEFORMATINET </w:instrText>
      </w:r>
      <w:r w:rsidR="00EB7184">
        <w:rPr>
          <w:rFonts w:ascii="宋体" w:hAnsi="宋体" w:cs="宋体"/>
          <w:kern w:val="0"/>
          <w:szCs w:val="24"/>
        </w:rPr>
        <w:fldChar w:fldCharType="separate"/>
      </w:r>
      <w:r w:rsidR="00552DD6">
        <w:rPr>
          <w:rFonts w:ascii="宋体" w:hAnsi="宋体" w:cs="宋体"/>
          <w:kern w:val="0"/>
          <w:szCs w:val="24"/>
        </w:rPr>
        <w:fldChar w:fldCharType="begin"/>
      </w:r>
      <w:r w:rsidR="00552DD6">
        <w:rPr>
          <w:rFonts w:ascii="宋体" w:hAnsi="宋体" w:cs="宋体"/>
          <w:kern w:val="0"/>
          <w:szCs w:val="24"/>
        </w:rPr>
        <w:instrText xml:space="preserve"> INCLUDEPICTURE  "C:\\Users\\12230\\AppData\\Roaming\\Tencent\\Users\\307673270\\QQ\\WinTemp\\RichOle\\BTJKSNIO3L%257b7YLM$MNPZNTN.png" \* MERGEFORMATINET </w:instrText>
      </w:r>
      <w:r w:rsidR="00552DD6">
        <w:rPr>
          <w:rFonts w:ascii="宋体" w:hAnsi="宋体" w:cs="宋体"/>
          <w:kern w:val="0"/>
          <w:szCs w:val="24"/>
        </w:rPr>
        <w:fldChar w:fldCharType="separate"/>
      </w:r>
      <w:r w:rsidR="007E7C22">
        <w:rPr>
          <w:rFonts w:ascii="宋体" w:hAnsi="宋体" w:cs="宋体"/>
          <w:kern w:val="0"/>
          <w:szCs w:val="24"/>
        </w:rPr>
        <w:fldChar w:fldCharType="begin"/>
      </w:r>
      <w:r w:rsidR="007E7C22">
        <w:rPr>
          <w:rFonts w:ascii="宋体" w:hAnsi="宋体" w:cs="宋体"/>
          <w:kern w:val="0"/>
          <w:szCs w:val="24"/>
        </w:rPr>
        <w:instrText xml:space="preserve"> INCLUDEPICTURE  "C:\\Users\\12230\\AppData\\Roaming\\Tencent\\Users\\307673270\\QQ\\WinTemp\\RichOle\\BTJKSNIO3L%257b7YLM$MNPZNTN.png" \* MERGEFORMATINET </w:instrText>
      </w:r>
      <w:r w:rsidR="007E7C22">
        <w:rPr>
          <w:rFonts w:ascii="宋体" w:hAnsi="宋体" w:cs="宋体"/>
          <w:kern w:val="0"/>
          <w:szCs w:val="24"/>
        </w:rPr>
        <w:fldChar w:fldCharType="separate"/>
      </w:r>
      <w:r w:rsidR="00682975">
        <w:rPr>
          <w:rFonts w:ascii="宋体" w:hAnsi="宋体" w:cs="宋体"/>
          <w:kern w:val="0"/>
          <w:szCs w:val="24"/>
        </w:rPr>
        <w:fldChar w:fldCharType="begin"/>
      </w:r>
      <w:r w:rsidR="00682975">
        <w:rPr>
          <w:rFonts w:ascii="宋体" w:hAnsi="宋体" w:cs="宋体"/>
          <w:kern w:val="0"/>
          <w:szCs w:val="24"/>
        </w:rPr>
        <w:instrText xml:space="preserve"> INCLUDEPICTURE  "C:\\Users\\12230\\AppData\\Roaming\\Tencent\\Users\\307673270\\QQ\\WinTemp\\RichOle\\BTJKSNIO3L%257b7YLM$MNPZNTN.png" \* MERGEFORMATINET </w:instrText>
      </w:r>
      <w:r w:rsidR="00682975">
        <w:rPr>
          <w:rFonts w:ascii="宋体" w:hAnsi="宋体" w:cs="宋体"/>
          <w:kern w:val="0"/>
          <w:szCs w:val="24"/>
        </w:rPr>
        <w:fldChar w:fldCharType="separate"/>
      </w:r>
      <w:r w:rsidR="00527703">
        <w:rPr>
          <w:rFonts w:ascii="宋体" w:hAnsi="宋体" w:cs="宋体"/>
          <w:kern w:val="0"/>
          <w:szCs w:val="24"/>
        </w:rPr>
        <w:fldChar w:fldCharType="begin"/>
      </w:r>
      <w:r w:rsidR="00527703">
        <w:rPr>
          <w:rFonts w:ascii="宋体" w:hAnsi="宋体" w:cs="宋体"/>
          <w:kern w:val="0"/>
          <w:szCs w:val="24"/>
        </w:rPr>
        <w:instrText xml:space="preserve"> INCLUDEPICTURE  "C:\\Users\\12230\\AppData\\Roaming\\Tencent\\Users\\307673270\\QQ\\WinTemp\\RichOle\\BTJKSNIO3L%257b7YLM$MNPZNTN.png" \* MERGEFORMATINET </w:instrText>
      </w:r>
      <w:r w:rsidR="00527703">
        <w:rPr>
          <w:rFonts w:ascii="宋体" w:hAnsi="宋体" w:cs="宋体"/>
          <w:kern w:val="0"/>
          <w:szCs w:val="24"/>
        </w:rPr>
        <w:fldChar w:fldCharType="separate"/>
      </w:r>
      <w:r w:rsidR="00F42717">
        <w:rPr>
          <w:rFonts w:ascii="宋体" w:hAnsi="宋体" w:cs="宋体"/>
          <w:kern w:val="0"/>
          <w:szCs w:val="24"/>
        </w:rPr>
        <w:fldChar w:fldCharType="begin"/>
      </w:r>
      <w:r w:rsidR="00F42717">
        <w:rPr>
          <w:rFonts w:ascii="宋体" w:hAnsi="宋体" w:cs="宋体"/>
          <w:kern w:val="0"/>
          <w:szCs w:val="24"/>
        </w:rPr>
        <w:instrText xml:space="preserve"> INCLUDEPICTURE  "C:\\Users\\12230\\AppData\\Roaming\\Tencent\\Users\\307673270\\QQ\\WinTemp\\RichOle\\BTJKSNIO3L%257b7YLM$MNPZNTN.png" \* MERGEFORMATINET </w:instrText>
      </w:r>
      <w:r w:rsidR="00F42717">
        <w:rPr>
          <w:rFonts w:ascii="宋体" w:hAnsi="宋体" w:cs="宋体"/>
          <w:kern w:val="0"/>
          <w:szCs w:val="24"/>
        </w:rPr>
        <w:fldChar w:fldCharType="separate"/>
      </w:r>
      <w:r w:rsidR="00B70053">
        <w:rPr>
          <w:rFonts w:ascii="宋体" w:hAnsi="宋体" w:cs="宋体"/>
          <w:kern w:val="0"/>
          <w:szCs w:val="24"/>
        </w:rPr>
        <w:fldChar w:fldCharType="begin"/>
      </w:r>
      <w:r w:rsidR="00B70053">
        <w:rPr>
          <w:rFonts w:ascii="宋体" w:hAnsi="宋体" w:cs="宋体"/>
          <w:kern w:val="0"/>
          <w:szCs w:val="24"/>
        </w:rPr>
        <w:instrText xml:space="preserve"> INCLUDEPICTURE  "C:\\Users\\12230\\AppData\\Roaming\\Tencent\\Users\\307673270\\QQ\\WinTemp\\RichOle\\BTJKSNIO3L%257b7YLM$MNPZNTN.png" \* MERGEFORMATINET </w:instrText>
      </w:r>
      <w:r w:rsidR="00B70053">
        <w:rPr>
          <w:rFonts w:ascii="宋体" w:hAnsi="宋体" w:cs="宋体"/>
          <w:kern w:val="0"/>
          <w:szCs w:val="24"/>
        </w:rPr>
        <w:fldChar w:fldCharType="separate"/>
      </w:r>
      <w:r w:rsidR="00BD1C8B">
        <w:rPr>
          <w:rFonts w:ascii="宋体" w:hAnsi="宋体" w:cs="宋体"/>
          <w:kern w:val="0"/>
          <w:szCs w:val="24"/>
        </w:rPr>
        <w:fldChar w:fldCharType="begin"/>
      </w:r>
      <w:r w:rsidR="00BD1C8B">
        <w:rPr>
          <w:rFonts w:ascii="宋体" w:hAnsi="宋体" w:cs="宋体"/>
          <w:kern w:val="0"/>
          <w:szCs w:val="24"/>
        </w:rPr>
        <w:instrText xml:space="preserve"> INCLUDEPICTURE  "C:\\Users\\12230\\AppData\\Roaming\\Tencent\\Users\\307673270\\QQ\\WinTemp\\RichOle\\BTJKSNIO3L%257b7YLM$MNPZNTN.png" \* MERGEFORMATINET </w:instrText>
      </w:r>
      <w:r w:rsidR="00BD1C8B">
        <w:rPr>
          <w:rFonts w:ascii="宋体" w:hAnsi="宋体" w:cs="宋体"/>
          <w:kern w:val="0"/>
          <w:szCs w:val="24"/>
        </w:rPr>
        <w:fldChar w:fldCharType="separate"/>
      </w:r>
      <w:r w:rsidR="00F4467B">
        <w:rPr>
          <w:rFonts w:ascii="宋体" w:hAnsi="宋体" w:cs="宋体"/>
          <w:kern w:val="0"/>
          <w:szCs w:val="24"/>
        </w:rPr>
        <w:fldChar w:fldCharType="begin"/>
      </w:r>
      <w:r w:rsidR="00F4467B">
        <w:rPr>
          <w:rFonts w:ascii="宋体" w:hAnsi="宋体" w:cs="宋体"/>
          <w:kern w:val="0"/>
          <w:szCs w:val="24"/>
        </w:rPr>
        <w:instrText xml:space="preserve"> </w:instrText>
      </w:r>
      <w:r w:rsidR="00F4467B">
        <w:rPr>
          <w:rFonts w:ascii="宋体" w:hAnsi="宋体" w:cs="宋体"/>
          <w:kern w:val="0"/>
          <w:szCs w:val="24"/>
        </w:rPr>
        <w:instrText>INCLUDEPICTURE  "C:\\Users\\12230\\AppData\\Ro</w:instrText>
      </w:r>
      <w:r w:rsidR="00F4467B">
        <w:rPr>
          <w:rFonts w:ascii="宋体" w:hAnsi="宋体" w:cs="宋体"/>
          <w:kern w:val="0"/>
          <w:szCs w:val="24"/>
        </w:rPr>
        <w:instrText>aming\\Tencent\\Users\\307673270\\QQ\\WinTemp\\RichOle\\BTJKSNIO3L%257b7YLM$MNPZNTN.png" \* MERGEFORMATINET</w:instrText>
      </w:r>
      <w:r w:rsidR="00F4467B">
        <w:rPr>
          <w:rFonts w:ascii="宋体" w:hAnsi="宋体" w:cs="宋体"/>
          <w:kern w:val="0"/>
          <w:szCs w:val="24"/>
        </w:rPr>
        <w:instrText xml:space="preserve"> </w:instrText>
      </w:r>
      <w:r w:rsidR="00F4467B">
        <w:rPr>
          <w:rFonts w:ascii="宋体" w:hAnsi="宋体" w:cs="宋体"/>
          <w:kern w:val="0"/>
          <w:szCs w:val="24"/>
        </w:rPr>
        <w:fldChar w:fldCharType="separate"/>
      </w:r>
      <w:r w:rsidR="006D0FC2">
        <w:rPr>
          <w:rFonts w:ascii="宋体" w:hAnsi="宋体" w:cs="宋体"/>
          <w:kern w:val="0"/>
          <w:szCs w:val="24"/>
        </w:rPr>
        <w:pict w14:anchorId="0B955046">
          <v:shape id="_x0000_i1040" type="#_x0000_t75" style="width:201.25pt;height:44.8pt">
            <v:imagedata r:id="rId61" r:href="rId62"/>
          </v:shape>
        </w:pict>
      </w:r>
      <w:r w:rsidR="00F4467B">
        <w:rPr>
          <w:rFonts w:ascii="宋体" w:hAnsi="宋体" w:cs="宋体"/>
          <w:kern w:val="0"/>
          <w:szCs w:val="24"/>
        </w:rPr>
        <w:fldChar w:fldCharType="end"/>
      </w:r>
      <w:r w:rsidR="00BD1C8B">
        <w:rPr>
          <w:rFonts w:ascii="宋体" w:hAnsi="宋体" w:cs="宋体"/>
          <w:kern w:val="0"/>
          <w:szCs w:val="24"/>
        </w:rPr>
        <w:fldChar w:fldCharType="end"/>
      </w:r>
      <w:r w:rsidR="00B70053">
        <w:rPr>
          <w:rFonts w:ascii="宋体" w:hAnsi="宋体" w:cs="宋体"/>
          <w:kern w:val="0"/>
          <w:szCs w:val="24"/>
        </w:rPr>
        <w:fldChar w:fldCharType="end"/>
      </w:r>
      <w:r w:rsidR="00F42717">
        <w:rPr>
          <w:rFonts w:ascii="宋体" w:hAnsi="宋体" w:cs="宋体"/>
          <w:kern w:val="0"/>
          <w:szCs w:val="24"/>
        </w:rPr>
        <w:fldChar w:fldCharType="end"/>
      </w:r>
      <w:r w:rsidR="00527703">
        <w:rPr>
          <w:rFonts w:ascii="宋体" w:hAnsi="宋体" w:cs="宋体"/>
          <w:kern w:val="0"/>
          <w:szCs w:val="24"/>
        </w:rPr>
        <w:fldChar w:fldCharType="end"/>
      </w:r>
      <w:r w:rsidR="00682975">
        <w:rPr>
          <w:rFonts w:ascii="宋体" w:hAnsi="宋体" w:cs="宋体"/>
          <w:kern w:val="0"/>
          <w:szCs w:val="24"/>
        </w:rPr>
        <w:fldChar w:fldCharType="end"/>
      </w:r>
      <w:r w:rsidR="007E7C22">
        <w:rPr>
          <w:rFonts w:ascii="宋体" w:hAnsi="宋体" w:cs="宋体"/>
          <w:kern w:val="0"/>
          <w:szCs w:val="24"/>
        </w:rPr>
        <w:fldChar w:fldCharType="end"/>
      </w:r>
      <w:r w:rsidR="00552DD6">
        <w:rPr>
          <w:rFonts w:ascii="宋体" w:hAnsi="宋体" w:cs="宋体"/>
          <w:kern w:val="0"/>
          <w:szCs w:val="24"/>
        </w:rPr>
        <w:fldChar w:fldCharType="end"/>
      </w:r>
      <w:r w:rsidR="00EB7184">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r>
        <w:rPr>
          <w:rFonts w:ascii="宋体" w:hAnsi="宋体" w:cs="宋体"/>
          <w:kern w:val="0"/>
          <w:szCs w:val="24"/>
        </w:rPr>
        <w:fldChar w:fldCharType="end"/>
      </w:r>
    </w:p>
    <w:p w14:paraId="674CFE5B" w14:textId="77777777" w:rsidR="00E579B9" w:rsidRDefault="006A1398">
      <w:pPr>
        <w:pStyle w:val="226"/>
        <w:rPr>
          <w:rFonts w:cs="Times New Roman"/>
          <w:kern w:val="0"/>
        </w:rPr>
      </w:pPr>
      <w:r>
        <w:rPr>
          <w:rFonts w:cs="Times New Roman" w:hint="eastAsia"/>
          <w:kern w:val="0"/>
        </w:rPr>
        <w:t>式中：</w:t>
      </w:r>
      <w:r>
        <w:rPr>
          <w:rFonts w:cs="Times New Roman"/>
          <w:kern w:val="0"/>
        </w:rPr>
        <w:t>C----</w:t>
      </w:r>
      <w:r>
        <w:rPr>
          <w:rFonts w:cs="Times New Roman" w:hint="eastAsia"/>
          <w:kern w:val="0"/>
        </w:rPr>
        <w:t>下风向</w:t>
      </w:r>
      <w:r>
        <w:rPr>
          <w:rFonts w:cs="Times New Roman"/>
          <w:kern w:val="0"/>
        </w:rPr>
        <w:t>TSP</w:t>
      </w:r>
      <w:r>
        <w:rPr>
          <w:rFonts w:cs="Times New Roman" w:hint="eastAsia"/>
          <w:kern w:val="0"/>
        </w:rPr>
        <w:t>地面瞬时速度</w:t>
      </w:r>
      <w:r>
        <w:rPr>
          <w:rFonts w:cs="Times New Roman"/>
          <w:kern w:val="0"/>
        </w:rPr>
        <w:t>(mg/m</w:t>
      </w:r>
      <w:r>
        <w:rPr>
          <w:rFonts w:cs="Times New Roman"/>
          <w:kern w:val="0"/>
          <w:vertAlign w:val="superscript"/>
        </w:rPr>
        <w:t>2</w:t>
      </w:r>
      <w:r>
        <w:rPr>
          <w:rFonts w:cs="Times New Roman"/>
          <w:kern w:val="0"/>
        </w:rPr>
        <w:t>)</w:t>
      </w:r>
      <w:r>
        <w:rPr>
          <w:rFonts w:cs="Times New Roman" w:hint="eastAsia"/>
          <w:kern w:val="0"/>
        </w:rPr>
        <w:t>；</w:t>
      </w:r>
    </w:p>
    <w:p w14:paraId="0FC6E837" w14:textId="77777777" w:rsidR="00E579B9" w:rsidRDefault="006A1398">
      <w:pPr>
        <w:pStyle w:val="226"/>
        <w:ind w:firstLineChars="500" w:firstLine="1200"/>
        <w:rPr>
          <w:rFonts w:cs="Times New Roman"/>
          <w:kern w:val="0"/>
        </w:rPr>
      </w:pPr>
      <w:r>
        <w:rPr>
          <w:rFonts w:cs="Times New Roman"/>
          <w:kern w:val="0"/>
        </w:rPr>
        <w:t>N----</w:t>
      </w:r>
      <w:r>
        <w:rPr>
          <w:rFonts w:cs="Times New Roman" w:hint="eastAsia"/>
          <w:kern w:val="0"/>
        </w:rPr>
        <w:t>车流量</w:t>
      </w:r>
      <w:r>
        <w:rPr>
          <w:rFonts w:cs="Times New Roman"/>
          <w:kern w:val="0"/>
        </w:rPr>
        <w:t>(</w:t>
      </w:r>
      <w:r>
        <w:rPr>
          <w:rFonts w:cs="Times New Roman" w:hint="eastAsia"/>
          <w:kern w:val="0"/>
        </w:rPr>
        <w:t>辆</w:t>
      </w:r>
      <w:r>
        <w:rPr>
          <w:rFonts w:cs="Times New Roman"/>
          <w:kern w:val="0"/>
        </w:rPr>
        <w:t>/h)</w:t>
      </w:r>
      <w:r>
        <w:rPr>
          <w:rFonts w:cs="Times New Roman" w:hint="eastAsia"/>
          <w:kern w:val="0"/>
        </w:rPr>
        <w:t>；</w:t>
      </w:r>
    </w:p>
    <w:p w14:paraId="5CC742D2" w14:textId="77777777" w:rsidR="00E579B9" w:rsidRDefault="006A1398">
      <w:pPr>
        <w:pStyle w:val="226"/>
        <w:ind w:firstLineChars="500" w:firstLine="1200"/>
        <w:rPr>
          <w:rFonts w:cs="Times New Roman"/>
          <w:kern w:val="0"/>
        </w:rPr>
      </w:pPr>
      <w:r>
        <w:rPr>
          <w:rFonts w:cs="Times New Roman"/>
          <w:kern w:val="0"/>
        </w:rPr>
        <w:t>V----</w:t>
      </w:r>
      <w:r>
        <w:rPr>
          <w:rFonts w:cs="Times New Roman" w:hint="eastAsia"/>
          <w:kern w:val="0"/>
        </w:rPr>
        <w:t>平均车速</w:t>
      </w:r>
      <w:r>
        <w:rPr>
          <w:rFonts w:cs="Times New Roman"/>
          <w:kern w:val="0"/>
        </w:rPr>
        <w:t>(</w:t>
      </w:r>
      <w:r>
        <w:rPr>
          <w:rFonts w:cs="Times New Roman" w:hint="eastAsia"/>
          <w:kern w:val="0"/>
        </w:rPr>
        <w:t>k</w:t>
      </w:r>
      <w:r>
        <w:rPr>
          <w:rFonts w:cs="Times New Roman"/>
          <w:kern w:val="0"/>
        </w:rPr>
        <w:t>m/h)</w:t>
      </w:r>
      <w:r>
        <w:rPr>
          <w:rFonts w:cs="Times New Roman" w:hint="eastAsia"/>
          <w:kern w:val="0"/>
        </w:rPr>
        <w:t>；</w:t>
      </w:r>
    </w:p>
    <w:p w14:paraId="635B5F02" w14:textId="77777777" w:rsidR="00E579B9" w:rsidRDefault="006A1398">
      <w:pPr>
        <w:pStyle w:val="226"/>
        <w:ind w:firstLineChars="500" w:firstLine="1200"/>
        <w:rPr>
          <w:rFonts w:cs="Times New Roman"/>
          <w:kern w:val="0"/>
        </w:rPr>
      </w:pPr>
      <w:r>
        <w:rPr>
          <w:rFonts w:cs="Times New Roman"/>
          <w:kern w:val="0"/>
        </w:rPr>
        <w:t>b----</w:t>
      </w:r>
      <w:r>
        <w:rPr>
          <w:rFonts w:cs="Times New Roman" w:hint="eastAsia"/>
          <w:kern w:val="0"/>
        </w:rPr>
        <w:t>路宽</w:t>
      </w:r>
      <w:r>
        <w:rPr>
          <w:rFonts w:cs="Times New Roman"/>
          <w:kern w:val="0"/>
        </w:rPr>
        <w:t>(m)</w:t>
      </w:r>
      <w:r>
        <w:rPr>
          <w:rFonts w:cs="Times New Roman" w:hint="eastAsia"/>
          <w:kern w:val="0"/>
        </w:rPr>
        <w:t>；</w:t>
      </w:r>
    </w:p>
    <w:p w14:paraId="4358BF12" w14:textId="77777777" w:rsidR="00E579B9" w:rsidRDefault="006A1398">
      <w:pPr>
        <w:pStyle w:val="226"/>
        <w:ind w:firstLineChars="500" w:firstLine="1200"/>
        <w:rPr>
          <w:rFonts w:cs="Times New Roman"/>
          <w:kern w:val="0"/>
        </w:rPr>
      </w:pPr>
      <w:r>
        <w:rPr>
          <w:rFonts w:cs="Times New Roman"/>
          <w:kern w:val="0"/>
        </w:rPr>
        <w:t>Y----</w:t>
      </w:r>
      <w:r>
        <w:rPr>
          <w:rFonts w:cs="Times New Roman" w:hint="eastAsia"/>
          <w:kern w:val="0"/>
        </w:rPr>
        <w:t>降水系数；</w:t>
      </w:r>
    </w:p>
    <w:p w14:paraId="3EA6EC3B" w14:textId="77777777" w:rsidR="00E579B9" w:rsidRDefault="006A1398">
      <w:pPr>
        <w:pStyle w:val="226"/>
        <w:ind w:firstLineChars="500" w:firstLine="1200"/>
        <w:rPr>
          <w:rFonts w:cs="Times New Roman"/>
          <w:kern w:val="0"/>
        </w:rPr>
      </w:pPr>
      <w:r>
        <w:rPr>
          <w:rFonts w:cs="Times New Roman"/>
          <w:kern w:val="0"/>
        </w:rPr>
        <w:t>f----</w:t>
      </w:r>
      <w:r>
        <w:rPr>
          <w:rFonts w:cs="Times New Roman" w:hint="eastAsia"/>
          <w:kern w:val="0"/>
        </w:rPr>
        <w:t>绿化覆盖率；</w:t>
      </w:r>
    </w:p>
    <w:p w14:paraId="24C17358" w14:textId="77777777" w:rsidR="00E579B9" w:rsidRDefault="006A1398">
      <w:pPr>
        <w:pStyle w:val="226"/>
        <w:ind w:firstLineChars="500" w:firstLine="1200"/>
        <w:rPr>
          <w:rFonts w:cs="Times New Roman"/>
          <w:kern w:val="0"/>
        </w:rPr>
      </w:pPr>
      <w:r>
        <w:rPr>
          <w:rFonts w:cs="Times New Roman"/>
          <w:kern w:val="0"/>
        </w:rPr>
        <w:t>L----</w:t>
      </w:r>
      <w:r>
        <w:rPr>
          <w:rFonts w:cs="Times New Roman" w:hint="eastAsia"/>
          <w:kern w:val="0"/>
        </w:rPr>
        <w:t>下风向距离</w:t>
      </w:r>
      <w:r>
        <w:rPr>
          <w:rFonts w:cs="Times New Roman"/>
          <w:kern w:val="0"/>
        </w:rPr>
        <w:t>(m)</w:t>
      </w:r>
      <w:r>
        <w:rPr>
          <w:rFonts w:cs="Times New Roman" w:hint="eastAsia"/>
          <w:kern w:val="0"/>
        </w:rPr>
        <w:t>；</w:t>
      </w:r>
    </w:p>
    <w:p w14:paraId="2C72BDA1" w14:textId="77777777" w:rsidR="00E579B9" w:rsidRDefault="006A1398">
      <w:pPr>
        <w:pStyle w:val="226"/>
        <w:ind w:firstLineChars="500" w:firstLine="1200"/>
        <w:rPr>
          <w:rFonts w:cs="Times New Roman"/>
          <w:kern w:val="0"/>
        </w:rPr>
      </w:pPr>
      <w:r>
        <w:rPr>
          <w:rFonts w:cs="Times New Roman"/>
          <w:kern w:val="0"/>
        </w:rPr>
        <w:t>Q</w:t>
      </w:r>
      <w:r>
        <w:rPr>
          <w:rFonts w:cs="Times New Roman" w:hint="eastAsia"/>
          <w:kern w:val="0"/>
        </w:rPr>
        <w:t>——路面灰尘覆盖量，</w:t>
      </w:r>
      <w:r>
        <w:rPr>
          <w:rFonts w:cs="Times New Roman"/>
          <w:kern w:val="0"/>
        </w:rPr>
        <w:t>kg/m</w:t>
      </w:r>
      <w:r>
        <w:rPr>
          <w:rFonts w:cs="Times New Roman"/>
          <w:kern w:val="0"/>
          <w:vertAlign w:val="superscript"/>
        </w:rPr>
        <w:t>2</w:t>
      </w:r>
      <w:r>
        <w:rPr>
          <w:rFonts w:cs="Times New Roman" w:hint="eastAsia"/>
          <w:kern w:val="0"/>
        </w:rPr>
        <w:t>。</w:t>
      </w:r>
    </w:p>
    <w:p w14:paraId="48E187FA" w14:textId="77777777" w:rsidR="00E579B9" w:rsidRDefault="006A1398">
      <w:pPr>
        <w:pStyle w:val="226"/>
        <w:rPr>
          <w:rFonts w:cs="Times New Roman"/>
          <w:kern w:val="0"/>
        </w:rPr>
      </w:pPr>
      <w:r>
        <w:rPr>
          <w:rFonts w:cs="Times New Roman" w:hint="eastAsia"/>
          <w:kern w:val="0"/>
        </w:rPr>
        <w:t>计算参数的确定：根据南开大学环境科学与工程学院陈小华、薛永华等人的《中国城市道路扬尘污染研究》，于</w:t>
      </w:r>
      <w:r>
        <w:rPr>
          <w:rFonts w:cs="Times New Roman"/>
          <w:kern w:val="0"/>
        </w:rPr>
        <w:t>2003</w:t>
      </w:r>
      <w:r>
        <w:rPr>
          <w:rFonts w:cs="Times New Roman" w:hint="eastAsia"/>
          <w:kern w:val="0"/>
        </w:rPr>
        <w:t>-</w:t>
      </w:r>
      <w:r>
        <w:rPr>
          <w:rFonts w:cs="Times New Roman"/>
          <w:kern w:val="0"/>
        </w:rPr>
        <w:t>2004</w:t>
      </w:r>
      <w:r>
        <w:rPr>
          <w:rFonts w:cs="Times New Roman" w:hint="eastAsia"/>
          <w:kern w:val="0"/>
        </w:rPr>
        <w:t>年期间，测定了石家庄、济南、青岛和邯郸等城市的铺装道路的积尘量在</w:t>
      </w:r>
      <w:r>
        <w:rPr>
          <w:rFonts w:cs="Times New Roman"/>
          <w:kern w:val="0"/>
        </w:rPr>
        <w:t>0.017~0.091kg/m</w:t>
      </w:r>
      <w:r>
        <w:rPr>
          <w:rFonts w:cs="Times New Roman"/>
          <w:kern w:val="0"/>
          <w:vertAlign w:val="superscript"/>
        </w:rPr>
        <w:t>2</w:t>
      </w:r>
      <w:r>
        <w:rPr>
          <w:rFonts w:cs="Times New Roman" w:hint="eastAsia"/>
          <w:kern w:val="0"/>
        </w:rPr>
        <w:t>，本项目路面灰尘覆盖量按最大</w:t>
      </w:r>
      <w:proofErr w:type="gramStart"/>
      <w:r>
        <w:rPr>
          <w:rFonts w:cs="Times New Roman" w:hint="eastAsia"/>
          <w:kern w:val="0"/>
        </w:rPr>
        <w:t>值考虑</w:t>
      </w:r>
      <w:proofErr w:type="gramEnd"/>
      <w:r>
        <w:rPr>
          <w:rFonts w:cs="Times New Roman" w:hint="eastAsia"/>
          <w:kern w:val="0"/>
        </w:rPr>
        <w:t>取值为</w:t>
      </w:r>
      <w:r>
        <w:rPr>
          <w:rFonts w:cs="Times New Roman"/>
          <w:kern w:val="0"/>
        </w:rPr>
        <w:t>0.1kg/m</w:t>
      </w:r>
      <w:r>
        <w:rPr>
          <w:rFonts w:cs="Times New Roman"/>
          <w:kern w:val="0"/>
          <w:vertAlign w:val="superscript"/>
        </w:rPr>
        <w:t>2</w:t>
      </w:r>
      <w:r>
        <w:rPr>
          <w:rFonts w:cs="Times New Roman" w:hint="eastAsia"/>
          <w:kern w:val="0"/>
        </w:rPr>
        <w:t>。为减轻车辆扬尘污染，评价要求对道路定期清扫、洒水，以有效减轻运输扬尘的污染。在采取措施情况下，最终确定参数取值情况见表</w:t>
      </w:r>
      <w:r>
        <w:rPr>
          <w:rFonts w:cs="Times New Roman" w:hint="eastAsia"/>
          <w:kern w:val="0"/>
        </w:rPr>
        <w:t>5.2-1</w:t>
      </w:r>
      <w:r>
        <w:rPr>
          <w:rFonts w:cs="Times New Roman"/>
          <w:kern w:val="0"/>
        </w:rPr>
        <w:t>8</w:t>
      </w:r>
      <w:r>
        <w:rPr>
          <w:rFonts w:cs="Times New Roman" w:hint="eastAsia"/>
          <w:kern w:val="0"/>
        </w:rPr>
        <w:t>。</w:t>
      </w:r>
    </w:p>
    <w:p w14:paraId="0F2A6E65" w14:textId="77777777" w:rsidR="00E579B9" w:rsidRDefault="006A1398">
      <w:pPr>
        <w:pStyle w:val="226"/>
        <w:jc w:val="center"/>
        <w:rPr>
          <w:rFonts w:eastAsia="黑体" w:cs="Times New Roman"/>
        </w:rPr>
      </w:pPr>
      <w:r>
        <w:rPr>
          <w:rFonts w:eastAsia="黑体" w:cs="Times New Roman" w:hint="eastAsia"/>
        </w:rPr>
        <w:t>表</w:t>
      </w:r>
      <w:r>
        <w:rPr>
          <w:rFonts w:eastAsia="黑体" w:cs="Times New Roman" w:hint="eastAsia"/>
        </w:rPr>
        <w:t>5.2-1</w:t>
      </w:r>
      <w:r>
        <w:rPr>
          <w:rFonts w:eastAsia="黑体" w:cs="Times New Roman"/>
        </w:rPr>
        <w:t>8</w:t>
      </w:r>
      <w:r>
        <w:rPr>
          <w:rFonts w:eastAsia="黑体" w:cs="Times New Roman" w:hint="eastAsia"/>
        </w:rPr>
        <w:t>道路扬尘参数取值情况</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1397"/>
        <w:gridCol w:w="1396"/>
        <w:gridCol w:w="1396"/>
        <w:gridCol w:w="1680"/>
        <w:gridCol w:w="1680"/>
      </w:tblGrid>
      <w:tr w:rsidR="00E579B9" w14:paraId="5D81B81E" w14:textId="77777777">
        <w:trPr>
          <w:trHeight w:val="270"/>
        </w:trPr>
        <w:tc>
          <w:tcPr>
            <w:tcW w:w="1397" w:type="dxa"/>
            <w:vAlign w:val="center"/>
          </w:tcPr>
          <w:p w14:paraId="69D9D3BC"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lastRenderedPageBreak/>
              <w:t>N</w:t>
            </w:r>
          </w:p>
        </w:tc>
        <w:tc>
          <w:tcPr>
            <w:tcW w:w="1397" w:type="dxa"/>
            <w:vAlign w:val="center"/>
          </w:tcPr>
          <w:p w14:paraId="649CB23B"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V</w:t>
            </w:r>
          </w:p>
        </w:tc>
        <w:tc>
          <w:tcPr>
            <w:tcW w:w="1396" w:type="dxa"/>
            <w:vAlign w:val="center"/>
          </w:tcPr>
          <w:p w14:paraId="6A6E6097"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b</w:t>
            </w:r>
          </w:p>
        </w:tc>
        <w:tc>
          <w:tcPr>
            <w:tcW w:w="1396" w:type="dxa"/>
            <w:vAlign w:val="center"/>
          </w:tcPr>
          <w:p w14:paraId="277C74EC"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Y</w:t>
            </w:r>
          </w:p>
        </w:tc>
        <w:tc>
          <w:tcPr>
            <w:tcW w:w="1680" w:type="dxa"/>
            <w:vAlign w:val="center"/>
          </w:tcPr>
          <w:p w14:paraId="6C9E4312"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f</w:t>
            </w:r>
          </w:p>
        </w:tc>
        <w:tc>
          <w:tcPr>
            <w:tcW w:w="1680" w:type="dxa"/>
            <w:vAlign w:val="center"/>
          </w:tcPr>
          <w:p w14:paraId="0E7FF25E" w14:textId="77777777" w:rsidR="00E579B9" w:rsidRDefault="006A1398">
            <w:pPr>
              <w:spacing w:line="360" w:lineRule="exact"/>
              <w:ind w:firstLineChars="0" w:firstLine="0"/>
              <w:jc w:val="center"/>
              <w:rPr>
                <w:rFonts w:cs="Times New Roman"/>
                <w:kern w:val="0"/>
                <w:sz w:val="21"/>
                <w:szCs w:val="21"/>
              </w:rPr>
            </w:pPr>
            <w:r>
              <w:rPr>
                <w:rFonts w:cs="Times New Roman"/>
                <w:kern w:val="0"/>
                <w:sz w:val="21"/>
                <w:szCs w:val="21"/>
              </w:rPr>
              <w:t>Q</w:t>
            </w:r>
          </w:p>
        </w:tc>
      </w:tr>
      <w:tr w:rsidR="00E579B9" w14:paraId="13B490A9" w14:textId="77777777">
        <w:trPr>
          <w:trHeight w:val="270"/>
        </w:trPr>
        <w:tc>
          <w:tcPr>
            <w:tcW w:w="1397" w:type="dxa"/>
            <w:vAlign w:val="center"/>
          </w:tcPr>
          <w:p w14:paraId="54814B09"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14</w:t>
            </w:r>
            <w:r>
              <w:rPr>
                <w:rFonts w:cs="Times New Roman" w:hint="eastAsia"/>
                <w:kern w:val="0"/>
                <w:sz w:val="21"/>
                <w:szCs w:val="21"/>
              </w:rPr>
              <w:t>辆</w:t>
            </w:r>
            <w:r>
              <w:rPr>
                <w:rFonts w:cs="Times New Roman"/>
                <w:kern w:val="0"/>
                <w:sz w:val="21"/>
                <w:szCs w:val="21"/>
              </w:rPr>
              <w:t>/h</w:t>
            </w:r>
          </w:p>
        </w:tc>
        <w:tc>
          <w:tcPr>
            <w:tcW w:w="1397" w:type="dxa"/>
            <w:vAlign w:val="center"/>
          </w:tcPr>
          <w:p w14:paraId="7F2886EF"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20km/h</w:t>
            </w:r>
          </w:p>
        </w:tc>
        <w:tc>
          <w:tcPr>
            <w:tcW w:w="1396" w:type="dxa"/>
            <w:vAlign w:val="center"/>
          </w:tcPr>
          <w:p w14:paraId="50CD89E4"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6m</w:t>
            </w:r>
          </w:p>
        </w:tc>
        <w:tc>
          <w:tcPr>
            <w:tcW w:w="1396" w:type="dxa"/>
            <w:vAlign w:val="center"/>
          </w:tcPr>
          <w:p w14:paraId="782FCE76"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0.65</w:t>
            </w:r>
          </w:p>
        </w:tc>
        <w:tc>
          <w:tcPr>
            <w:tcW w:w="1680" w:type="dxa"/>
            <w:vAlign w:val="center"/>
          </w:tcPr>
          <w:p w14:paraId="5D106E84"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0.7</w:t>
            </w:r>
          </w:p>
        </w:tc>
        <w:tc>
          <w:tcPr>
            <w:tcW w:w="1680" w:type="dxa"/>
            <w:vAlign w:val="center"/>
          </w:tcPr>
          <w:p w14:paraId="5A6C9C49" w14:textId="77777777" w:rsidR="00E579B9" w:rsidRDefault="006A1398">
            <w:pPr>
              <w:spacing w:line="360" w:lineRule="exact"/>
              <w:ind w:firstLineChars="0" w:firstLine="0"/>
              <w:jc w:val="center"/>
              <w:rPr>
                <w:rFonts w:cs="Times New Roman"/>
                <w:kern w:val="0"/>
                <w:sz w:val="21"/>
                <w:szCs w:val="21"/>
              </w:rPr>
            </w:pPr>
            <w:r>
              <w:rPr>
                <w:rFonts w:cs="Times New Roman" w:hint="eastAsia"/>
                <w:kern w:val="0"/>
                <w:sz w:val="21"/>
                <w:szCs w:val="21"/>
              </w:rPr>
              <w:t>0.</w:t>
            </w:r>
            <w:r>
              <w:rPr>
                <w:rFonts w:cs="Times New Roman" w:hint="eastAsia"/>
                <w:kern w:val="0"/>
                <w:szCs w:val="24"/>
              </w:rPr>
              <w:t>1</w:t>
            </w:r>
            <w:r>
              <w:rPr>
                <w:rFonts w:cs="Times New Roman"/>
                <w:kern w:val="0"/>
                <w:sz w:val="21"/>
                <w:szCs w:val="21"/>
              </w:rPr>
              <w:t>kg/m</w:t>
            </w:r>
            <w:r>
              <w:rPr>
                <w:rFonts w:cs="Times New Roman"/>
                <w:kern w:val="0"/>
                <w:sz w:val="21"/>
                <w:szCs w:val="21"/>
                <w:vertAlign w:val="superscript"/>
              </w:rPr>
              <w:t>2</w:t>
            </w:r>
          </w:p>
        </w:tc>
      </w:tr>
    </w:tbl>
    <w:p w14:paraId="111E6BB4" w14:textId="77777777" w:rsidR="00E579B9" w:rsidRDefault="006A1398">
      <w:pPr>
        <w:pStyle w:val="226"/>
        <w:rPr>
          <w:rFonts w:cs="Times New Roman"/>
          <w:kern w:val="0"/>
        </w:rPr>
      </w:pPr>
      <w:r>
        <w:rPr>
          <w:rFonts w:cs="Times New Roman" w:hint="eastAsia"/>
          <w:kern w:val="0"/>
        </w:rPr>
        <w:t>根据上述模型及参数计算，在风速</w:t>
      </w:r>
      <w:proofErr w:type="gramStart"/>
      <w:r>
        <w:rPr>
          <w:rFonts w:cs="Times New Roman" w:hint="eastAsia"/>
          <w:kern w:val="0"/>
        </w:rPr>
        <w:t>很</w:t>
      </w:r>
      <w:proofErr w:type="gramEnd"/>
      <w:r>
        <w:rPr>
          <w:rFonts w:cs="Times New Roman" w:hint="eastAsia"/>
          <w:kern w:val="0"/>
        </w:rPr>
        <w:t>小时，路两侧环境空气中总悬浮微粒浓度估算结果见表</w:t>
      </w:r>
      <w:r>
        <w:rPr>
          <w:rFonts w:cs="Times New Roman" w:hint="eastAsia"/>
          <w:kern w:val="0"/>
        </w:rPr>
        <w:t>5.2-1</w:t>
      </w:r>
      <w:r>
        <w:rPr>
          <w:rFonts w:cs="Times New Roman"/>
          <w:kern w:val="0"/>
        </w:rPr>
        <w:t>9</w:t>
      </w:r>
      <w:r>
        <w:rPr>
          <w:rFonts w:cs="Times New Roman" w:hint="eastAsia"/>
          <w:kern w:val="0"/>
        </w:rPr>
        <w:t>。</w:t>
      </w:r>
    </w:p>
    <w:p w14:paraId="571696BB" w14:textId="77777777" w:rsidR="00E579B9" w:rsidRDefault="006A1398">
      <w:pPr>
        <w:pStyle w:val="226"/>
        <w:jc w:val="center"/>
        <w:rPr>
          <w:rFonts w:eastAsia="黑体" w:cs="Times New Roman"/>
        </w:rPr>
      </w:pPr>
      <w:r>
        <w:rPr>
          <w:rFonts w:eastAsia="黑体" w:cs="Times New Roman" w:hint="eastAsia"/>
        </w:rPr>
        <w:t>表</w:t>
      </w:r>
      <w:r>
        <w:rPr>
          <w:rFonts w:eastAsia="黑体" w:cs="Times New Roman" w:hint="eastAsia"/>
        </w:rPr>
        <w:t>5.2-1</w:t>
      </w:r>
      <w:r>
        <w:rPr>
          <w:rFonts w:eastAsia="黑体" w:cs="Times New Roman"/>
        </w:rPr>
        <w:t>9</w:t>
      </w:r>
      <w:r>
        <w:rPr>
          <w:rFonts w:eastAsia="黑体" w:cs="Times New Roman" w:hint="eastAsia"/>
        </w:rPr>
        <w:t>采取措施情况下运矿道路扬尘瞬时浓度估算表</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1"/>
        <w:gridCol w:w="854"/>
        <w:gridCol w:w="836"/>
        <w:gridCol w:w="833"/>
        <w:gridCol w:w="837"/>
        <w:gridCol w:w="835"/>
        <w:gridCol w:w="835"/>
        <w:gridCol w:w="794"/>
        <w:gridCol w:w="837"/>
        <w:gridCol w:w="794"/>
      </w:tblGrid>
      <w:tr w:rsidR="00E579B9" w14:paraId="47C21A19" w14:textId="77777777">
        <w:tc>
          <w:tcPr>
            <w:tcW w:w="1491" w:type="dxa"/>
            <w:vAlign w:val="center"/>
          </w:tcPr>
          <w:p w14:paraId="18A16292"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垂直于路面的距离（</w:t>
            </w:r>
            <w:r>
              <w:rPr>
                <w:rFonts w:cs="Times New Roman" w:hint="eastAsia"/>
                <w:kern w:val="0"/>
                <w:sz w:val="21"/>
                <w:szCs w:val="21"/>
              </w:rPr>
              <w:t>m</w:t>
            </w:r>
            <w:r>
              <w:rPr>
                <w:rFonts w:cs="Times New Roman" w:hint="eastAsia"/>
                <w:kern w:val="0"/>
                <w:sz w:val="21"/>
                <w:szCs w:val="21"/>
              </w:rPr>
              <w:t>）</w:t>
            </w:r>
          </w:p>
        </w:tc>
        <w:tc>
          <w:tcPr>
            <w:tcW w:w="854" w:type="dxa"/>
            <w:vAlign w:val="center"/>
          </w:tcPr>
          <w:p w14:paraId="024F3E54"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10</w:t>
            </w:r>
          </w:p>
        </w:tc>
        <w:tc>
          <w:tcPr>
            <w:tcW w:w="836" w:type="dxa"/>
            <w:vAlign w:val="center"/>
          </w:tcPr>
          <w:p w14:paraId="3516D457"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20</w:t>
            </w:r>
          </w:p>
        </w:tc>
        <w:tc>
          <w:tcPr>
            <w:tcW w:w="833" w:type="dxa"/>
            <w:vAlign w:val="center"/>
          </w:tcPr>
          <w:p w14:paraId="47DCCD72"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30</w:t>
            </w:r>
          </w:p>
        </w:tc>
        <w:tc>
          <w:tcPr>
            <w:tcW w:w="837" w:type="dxa"/>
            <w:vAlign w:val="center"/>
          </w:tcPr>
          <w:p w14:paraId="7CC275F6"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45</w:t>
            </w:r>
          </w:p>
        </w:tc>
        <w:tc>
          <w:tcPr>
            <w:tcW w:w="835" w:type="dxa"/>
            <w:vAlign w:val="center"/>
          </w:tcPr>
          <w:p w14:paraId="4B345F9E"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50</w:t>
            </w:r>
          </w:p>
        </w:tc>
        <w:tc>
          <w:tcPr>
            <w:tcW w:w="835" w:type="dxa"/>
            <w:vAlign w:val="center"/>
          </w:tcPr>
          <w:p w14:paraId="334516FA"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70</w:t>
            </w:r>
          </w:p>
        </w:tc>
        <w:tc>
          <w:tcPr>
            <w:tcW w:w="794" w:type="dxa"/>
            <w:vAlign w:val="center"/>
          </w:tcPr>
          <w:p w14:paraId="7C8F41D8"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112</w:t>
            </w:r>
          </w:p>
        </w:tc>
        <w:tc>
          <w:tcPr>
            <w:tcW w:w="837" w:type="dxa"/>
            <w:vAlign w:val="center"/>
          </w:tcPr>
          <w:p w14:paraId="1EDDF12F"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180</w:t>
            </w:r>
          </w:p>
        </w:tc>
        <w:tc>
          <w:tcPr>
            <w:tcW w:w="794" w:type="dxa"/>
            <w:vAlign w:val="center"/>
          </w:tcPr>
          <w:p w14:paraId="437A5956"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200</w:t>
            </w:r>
          </w:p>
        </w:tc>
      </w:tr>
      <w:tr w:rsidR="00E579B9" w14:paraId="623917A1" w14:textId="77777777">
        <w:tc>
          <w:tcPr>
            <w:tcW w:w="1491" w:type="dxa"/>
            <w:vAlign w:val="center"/>
          </w:tcPr>
          <w:p w14:paraId="7C701376"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TSP</w:t>
            </w:r>
            <w:r>
              <w:rPr>
                <w:rFonts w:cs="Times New Roman" w:hint="eastAsia"/>
                <w:kern w:val="0"/>
                <w:sz w:val="21"/>
                <w:szCs w:val="21"/>
              </w:rPr>
              <w:t>浓度</w:t>
            </w:r>
          </w:p>
          <w:p w14:paraId="72A782A9"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w:t>
            </w:r>
            <w:r>
              <w:rPr>
                <w:rFonts w:cs="Times New Roman" w:hint="eastAsia"/>
                <w:kern w:val="0"/>
                <w:sz w:val="21"/>
                <w:szCs w:val="21"/>
              </w:rPr>
              <w:t>mg/m</w:t>
            </w:r>
            <w:r>
              <w:rPr>
                <w:rFonts w:cs="Times New Roman" w:hint="eastAsia"/>
                <w:kern w:val="0"/>
                <w:sz w:val="21"/>
                <w:szCs w:val="21"/>
                <w:vertAlign w:val="superscript"/>
              </w:rPr>
              <w:t>3</w:t>
            </w:r>
            <w:r>
              <w:rPr>
                <w:rFonts w:cs="Times New Roman" w:hint="eastAsia"/>
                <w:kern w:val="0"/>
                <w:sz w:val="21"/>
                <w:szCs w:val="21"/>
              </w:rPr>
              <w:t>）</w:t>
            </w:r>
          </w:p>
        </w:tc>
        <w:tc>
          <w:tcPr>
            <w:tcW w:w="854" w:type="dxa"/>
            <w:vAlign w:val="center"/>
          </w:tcPr>
          <w:p w14:paraId="1F4C83B5"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0.0934</w:t>
            </w:r>
          </w:p>
        </w:tc>
        <w:tc>
          <w:tcPr>
            <w:tcW w:w="836" w:type="dxa"/>
            <w:vAlign w:val="center"/>
          </w:tcPr>
          <w:p w14:paraId="55658966"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0.0588</w:t>
            </w:r>
          </w:p>
        </w:tc>
        <w:tc>
          <w:tcPr>
            <w:tcW w:w="833" w:type="dxa"/>
            <w:vAlign w:val="center"/>
          </w:tcPr>
          <w:p w14:paraId="3354F54F"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0.0449</w:t>
            </w:r>
          </w:p>
        </w:tc>
        <w:tc>
          <w:tcPr>
            <w:tcW w:w="837" w:type="dxa"/>
            <w:vAlign w:val="center"/>
          </w:tcPr>
          <w:p w14:paraId="5D5396B6"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0.0343</w:t>
            </w:r>
          </w:p>
        </w:tc>
        <w:tc>
          <w:tcPr>
            <w:tcW w:w="835" w:type="dxa"/>
            <w:vAlign w:val="center"/>
          </w:tcPr>
          <w:p w14:paraId="6AC9BB1A"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0.0319</w:t>
            </w:r>
          </w:p>
        </w:tc>
        <w:tc>
          <w:tcPr>
            <w:tcW w:w="835" w:type="dxa"/>
            <w:vAlign w:val="center"/>
          </w:tcPr>
          <w:p w14:paraId="581BBF5E"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0.0255</w:t>
            </w:r>
          </w:p>
        </w:tc>
        <w:tc>
          <w:tcPr>
            <w:tcW w:w="794" w:type="dxa"/>
            <w:vAlign w:val="center"/>
          </w:tcPr>
          <w:p w14:paraId="3B895AC8"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0.0186</w:t>
            </w:r>
          </w:p>
        </w:tc>
        <w:tc>
          <w:tcPr>
            <w:tcW w:w="837" w:type="dxa"/>
            <w:vAlign w:val="center"/>
          </w:tcPr>
          <w:p w14:paraId="1F6C7822"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0.0136</w:t>
            </w:r>
          </w:p>
        </w:tc>
        <w:tc>
          <w:tcPr>
            <w:tcW w:w="794" w:type="dxa"/>
            <w:vAlign w:val="center"/>
          </w:tcPr>
          <w:p w14:paraId="1F498326" w14:textId="77777777" w:rsidR="00E579B9" w:rsidRDefault="006A1398">
            <w:pPr>
              <w:pStyle w:val="226"/>
              <w:spacing w:line="360" w:lineRule="exact"/>
              <w:ind w:firstLineChars="0" w:firstLine="0"/>
              <w:jc w:val="center"/>
              <w:rPr>
                <w:rFonts w:cs="Times New Roman"/>
                <w:kern w:val="0"/>
                <w:sz w:val="21"/>
                <w:szCs w:val="21"/>
              </w:rPr>
            </w:pPr>
            <w:r>
              <w:rPr>
                <w:rFonts w:cs="Times New Roman" w:hint="eastAsia"/>
                <w:kern w:val="0"/>
                <w:sz w:val="21"/>
                <w:szCs w:val="21"/>
              </w:rPr>
              <w:t>0.0127</w:t>
            </w:r>
          </w:p>
        </w:tc>
      </w:tr>
    </w:tbl>
    <w:p w14:paraId="434C58A0" w14:textId="77777777" w:rsidR="00E579B9" w:rsidRDefault="006A1398">
      <w:pPr>
        <w:pStyle w:val="226"/>
        <w:rPr>
          <w:rFonts w:cs="Times New Roman"/>
          <w:kern w:val="0"/>
        </w:rPr>
      </w:pPr>
      <w:r>
        <w:rPr>
          <w:rFonts w:cs="Times New Roman" w:hint="eastAsia"/>
          <w:kern w:val="0"/>
        </w:rPr>
        <w:t>由表</w:t>
      </w:r>
      <w:r>
        <w:rPr>
          <w:rFonts w:cs="Times New Roman" w:hint="eastAsia"/>
          <w:kern w:val="0"/>
        </w:rPr>
        <w:t>5.2-1</w:t>
      </w:r>
      <w:r>
        <w:rPr>
          <w:rFonts w:cs="Times New Roman"/>
          <w:kern w:val="0"/>
        </w:rPr>
        <w:t>9</w:t>
      </w:r>
      <w:r>
        <w:rPr>
          <w:rFonts w:cs="Times New Roman" w:hint="eastAsia"/>
          <w:kern w:val="0"/>
        </w:rPr>
        <w:t>可知，在运矿道路采取定期清扫、洒水等防尘措施后，道路两侧</w:t>
      </w:r>
      <w:r>
        <w:rPr>
          <w:rFonts w:cs="Times New Roman" w:hint="eastAsia"/>
          <w:kern w:val="0"/>
        </w:rPr>
        <w:t>200m</w:t>
      </w:r>
      <w:r>
        <w:rPr>
          <w:rFonts w:cs="Times New Roman" w:hint="eastAsia"/>
          <w:kern w:val="0"/>
        </w:rPr>
        <w:t>范围内的</w:t>
      </w:r>
      <w:r>
        <w:rPr>
          <w:rFonts w:cs="Times New Roman" w:hint="eastAsia"/>
          <w:kern w:val="0"/>
        </w:rPr>
        <w:t>TSP</w:t>
      </w:r>
      <w:r>
        <w:rPr>
          <w:rFonts w:cs="Times New Roman" w:hint="eastAsia"/>
          <w:kern w:val="0"/>
        </w:rPr>
        <w:t>浓度均能够满足《环境空气质量标准》（</w:t>
      </w:r>
      <w:r>
        <w:rPr>
          <w:rFonts w:cs="Times New Roman" w:hint="eastAsia"/>
          <w:kern w:val="0"/>
        </w:rPr>
        <w:t>GB3095-2012</w:t>
      </w:r>
      <w:r>
        <w:rPr>
          <w:rFonts w:cs="Times New Roman" w:hint="eastAsia"/>
          <w:kern w:val="0"/>
        </w:rPr>
        <w:t>）中二级标准限值要求，项目运矿道路扬尘对沿线居民的影响较小。</w:t>
      </w:r>
      <w:r>
        <w:t>此外</w:t>
      </w:r>
      <w:r>
        <w:rPr>
          <w:rFonts w:hint="eastAsia"/>
        </w:rPr>
        <w:t>环</w:t>
      </w:r>
      <w:proofErr w:type="gramStart"/>
      <w:r>
        <w:rPr>
          <w:rFonts w:hint="eastAsia"/>
        </w:rPr>
        <w:t>评</w:t>
      </w:r>
      <w:r>
        <w:t>要求运</w:t>
      </w:r>
      <w:proofErr w:type="gramEnd"/>
      <w:r>
        <w:t>矿车辆苫盖运输，并对</w:t>
      </w:r>
      <w:r>
        <w:rPr>
          <w:rFonts w:hint="eastAsia"/>
        </w:rPr>
        <w:t>限速行驶</w:t>
      </w:r>
      <w:r>
        <w:t>，减少矿石风化粉尘。经过采取以上措施后，道路运输扬尘对沿线环境影响不大。</w:t>
      </w:r>
    </w:p>
    <w:p w14:paraId="62F0C37F" w14:textId="77777777" w:rsidR="00E579B9" w:rsidRDefault="006A1398">
      <w:r>
        <w:rPr>
          <w:rFonts w:hint="eastAsia"/>
        </w:rPr>
        <w:t>综上所述，本项目运输距离较短，运输粉尘、噪声等污染对环境影响较小。</w:t>
      </w:r>
    </w:p>
    <w:p w14:paraId="4988C304" w14:textId="77777777" w:rsidR="00E579B9" w:rsidRDefault="006A1398">
      <w:pPr>
        <w:pStyle w:val="2"/>
        <w:ind w:firstLine="560"/>
      </w:pPr>
      <w:bookmarkStart w:id="274" w:name="_Toc531939372"/>
      <w:bookmarkStart w:id="275" w:name="_Toc531939583"/>
      <w:bookmarkStart w:id="276" w:name="_Toc33021808"/>
      <w:r>
        <w:t>5.3</w:t>
      </w:r>
      <w:r>
        <w:rPr>
          <w:rFonts w:hint="eastAsia"/>
        </w:rPr>
        <w:t>环境风险</w:t>
      </w:r>
      <w:bookmarkEnd w:id="274"/>
      <w:bookmarkEnd w:id="275"/>
      <w:r>
        <w:rPr>
          <w:rFonts w:hint="eastAsia"/>
        </w:rPr>
        <w:t>评价</w:t>
      </w:r>
      <w:bookmarkEnd w:id="276"/>
    </w:p>
    <w:p w14:paraId="1EAE4F2A" w14:textId="77777777" w:rsidR="00E579B9" w:rsidRDefault="006A1398">
      <w:pPr>
        <w:pStyle w:val="3"/>
        <w:ind w:firstLine="560"/>
      </w:pPr>
      <w:bookmarkStart w:id="277" w:name="_Toc531939373"/>
      <w:bookmarkStart w:id="278" w:name="_Toc531939584"/>
      <w:r>
        <w:t>5.3.1</w:t>
      </w:r>
      <w:r>
        <w:rPr>
          <w:rFonts w:hint="eastAsia"/>
        </w:rPr>
        <w:t>环境风险评价目的及重点</w:t>
      </w:r>
    </w:p>
    <w:p w14:paraId="201FC884" w14:textId="77777777" w:rsidR="00E579B9" w:rsidRDefault="006A1398">
      <w:r>
        <w:rPr>
          <w:rFonts w:hint="eastAsia"/>
        </w:rPr>
        <w:t>建设项目环境风险评价是对建设项目建设和运行期间发生的可预测突发性事件或事故（一般不包括人为破坏及自然灾害）引起有毒有害、易燃易爆等物质泄漏，或突发事件产生的新的有毒有害物质，造成的对人身安全与环境的影响和损害，进行评估，提出防范、应急与减缓措施。</w:t>
      </w:r>
    </w:p>
    <w:p w14:paraId="7E5C23A6" w14:textId="77777777" w:rsidR="00E579B9" w:rsidRDefault="006A1398">
      <w:pPr>
        <w:rPr>
          <w:rFonts w:eastAsia="楷体_GB2312" w:cs="Times New Roman"/>
          <w:szCs w:val="24"/>
        </w:rPr>
      </w:pPr>
      <w:r>
        <w:rPr>
          <w:rFonts w:hint="eastAsia"/>
        </w:rPr>
        <w:t>环境风险评价的目的是分析和预测建设项目存在的潜在危险、有害因素，建设项目建设和运行期间发生的可预测突发性事件或事故</w:t>
      </w:r>
      <w:r>
        <w:rPr>
          <w:rFonts w:hint="eastAsia"/>
        </w:rPr>
        <w:t>(</w:t>
      </w:r>
      <w:r>
        <w:rPr>
          <w:rFonts w:hint="eastAsia"/>
        </w:rPr>
        <w:t>一般不包括人为破坏及自然灾害</w:t>
      </w:r>
      <w:r>
        <w:rPr>
          <w:rFonts w:hint="eastAsia"/>
        </w:rPr>
        <w:t>)</w:t>
      </w:r>
      <w:r>
        <w:rPr>
          <w:rFonts w:hint="eastAsia"/>
        </w:rPr>
        <w:t>，引起有毒有害和易燃易爆等物质泄漏，或突发事件产生的新的有毒有害物质，所造成的对人身安全与环境的影响和损害，进行评估，提出防范、应急与减缓措施，以使建设项目事故率、损失和环境影响达到可接受的水平。</w:t>
      </w:r>
    </w:p>
    <w:p w14:paraId="2FD0A43F" w14:textId="77777777" w:rsidR="00E579B9" w:rsidRDefault="006A1398">
      <w:pPr>
        <w:pStyle w:val="3"/>
        <w:ind w:firstLine="560"/>
      </w:pPr>
      <w:r>
        <w:t>5.3.</w:t>
      </w:r>
      <w:r>
        <w:rPr>
          <w:rFonts w:hint="eastAsia"/>
        </w:rPr>
        <w:t>2</w:t>
      </w:r>
      <w:r>
        <w:rPr>
          <w:rFonts w:hint="eastAsia"/>
        </w:rPr>
        <w:t>风险识别</w:t>
      </w:r>
      <w:bookmarkEnd w:id="277"/>
      <w:bookmarkEnd w:id="278"/>
    </w:p>
    <w:p w14:paraId="2F39AD3B" w14:textId="5DBE9A33" w:rsidR="00E579B9" w:rsidRPr="002B5221" w:rsidRDefault="006A1398" w:rsidP="00C30FC0">
      <w:bookmarkStart w:id="279" w:name="_Toc531939585"/>
      <w:bookmarkStart w:id="280" w:name="_Toc531939374"/>
      <w:r>
        <w:rPr>
          <w:rFonts w:hint="eastAsia"/>
        </w:rPr>
        <w:lastRenderedPageBreak/>
        <w:t>风险识别范围包括生产设施风险识别和生产过程所涉及的物质风险识别。</w:t>
      </w:r>
      <w:r>
        <w:rPr>
          <w:rFonts w:hint="eastAsia"/>
          <w:spacing w:val="-2"/>
        </w:rPr>
        <w:t>本工程在进行危险、有害因素识别与分析时，以生产工艺流程为主线，并根据具体作业条件、作业方式、使用的设备设施及周边环境、水文地质等情况进行综合考虑，经实地调查和分析，确认该矿山存在的主要环境风险因素有：露天采区边坡破</w:t>
      </w:r>
      <w:r w:rsidRPr="002B5221">
        <w:rPr>
          <w:rFonts w:hint="eastAsia"/>
          <w:spacing w:val="-2"/>
        </w:rPr>
        <w:t>坏，表土临</w:t>
      </w:r>
      <w:r w:rsidRPr="002B5221">
        <w:rPr>
          <w:rFonts w:hint="eastAsia"/>
        </w:rPr>
        <w:t>时堆场滑坡、泥石流等</w:t>
      </w:r>
      <w:r w:rsidR="00C30FC0" w:rsidRPr="002B5221">
        <w:rPr>
          <w:rFonts w:hint="eastAsia"/>
        </w:rPr>
        <w:t>以及柴油储罐储罐的泄露和爆炸</w:t>
      </w:r>
      <w:r w:rsidRPr="002B5221">
        <w:rPr>
          <w:rFonts w:hint="eastAsia"/>
        </w:rPr>
        <w:t>。</w:t>
      </w:r>
    </w:p>
    <w:p w14:paraId="2AFC3FEC" w14:textId="55296581" w:rsidR="00C30FC0" w:rsidRPr="002B5221" w:rsidRDefault="00C30FC0" w:rsidP="00C30FC0">
      <w:pPr>
        <w:pStyle w:val="226"/>
        <w:rPr>
          <w:rFonts w:ascii="宋体" w:hAnsi="宋体" w:cs="Times New Roman"/>
          <w:kern w:val="0"/>
        </w:rPr>
      </w:pPr>
      <w:r w:rsidRPr="002B5221">
        <w:rPr>
          <w:rFonts w:ascii="宋体" w:hAnsi="宋体" w:cs="Times New Roman" w:hint="eastAsia"/>
          <w:kern w:val="0"/>
        </w:rPr>
        <w:t>（1）柴油储罐风险影响分析</w:t>
      </w:r>
    </w:p>
    <w:p w14:paraId="2A8ECEEA" w14:textId="2CB0A470" w:rsidR="00C30FC0" w:rsidRPr="002B5221" w:rsidRDefault="00C30FC0" w:rsidP="00C30FC0">
      <w:pPr>
        <w:pStyle w:val="226"/>
        <w:rPr>
          <w:rFonts w:cs="Times New Roman"/>
          <w:kern w:val="0"/>
        </w:rPr>
      </w:pPr>
      <w:r w:rsidRPr="002B5221">
        <w:rPr>
          <w:rStyle w:val="1CharChar"/>
        </w:rPr>
        <w:t>本项目中风险重点针对柴油贮存量、贮存位置、方式和环保措施进行分析。本项目柴油储罐设置专门的贮存间，位于</w:t>
      </w:r>
      <w:proofErr w:type="gramStart"/>
      <w:r w:rsidRPr="002B5221">
        <w:rPr>
          <w:rStyle w:val="1CharChar"/>
          <w:rFonts w:hint="eastAsia"/>
        </w:rPr>
        <w:t>表土场</w:t>
      </w:r>
      <w:proofErr w:type="gramEnd"/>
      <w:r w:rsidRPr="002B5221">
        <w:rPr>
          <w:rStyle w:val="1CharChar"/>
          <w:rFonts w:hint="eastAsia"/>
        </w:rPr>
        <w:t>西侧</w:t>
      </w:r>
      <w:r w:rsidRPr="002B5221">
        <w:rPr>
          <w:rStyle w:val="1CharChar"/>
        </w:rPr>
        <w:t>，占地约</w:t>
      </w:r>
      <w:r w:rsidRPr="002B5221">
        <w:rPr>
          <w:rStyle w:val="1CharChar"/>
        </w:rPr>
        <w:t>30m</w:t>
      </w:r>
      <w:r w:rsidRPr="002B5221">
        <w:rPr>
          <w:rStyle w:val="1CharChar"/>
          <w:vertAlign w:val="superscript"/>
        </w:rPr>
        <w:t>2</w:t>
      </w:r>
      <w:r w:rsidRPr="002B5221">
        <w:rPr>
          <w:rStyle w:val="1CharChar"/>
        </w:rPr>
        <w:t>，地面采取防渗措施，四周设置围堰，同时在贮存</w:t>
      </w:r>
      <w:proofErr w:type="gramStart"/>
      <w:r w:rsidRPr="002B5221">
        <w:rPr>
          <w:rStyle w:val="1CharChar"/>
        </w:rPr>
        <w:t>间附近</w:t>
      </w:r>
      <w:proofErr w:type="gramEnd"/>
      <w:r w:rsidRPr="002B5221">
        <w:rPr>
          <w:rStyle w:val="1CharChar"/>
        </w:rPr>
        <w:t>设置底部防渗事故池，</w:t>
      </w:r>
      <w:proofErr w:type="gramStart"/>
      <w:r w:rsidRPr="002B5221">
        <w:rPr>
          <w:rStyle w:val="1CharChar"/>
        </w:rPr>
        <w:t>本评价</w:t>
      </w:r>
      <w:proofErr w:type="gramEnd"/>
      <w:r w:rsidRPr="002B5221">
        <w:rPr>
          <w:rStyle w:val="1CharChar"/>
        </w:rPr>
        <w:t>建议安装泄露报警装置（</w:t>
      </w:r>
      <w:r w:rsidRPr="002B5221">
        <w:rPr>
          <w:rStyle w:val="1CharChar"/>
        </w:rPr>
        <w:t>LDAR</w:t>
      </w:r>
      <w:r w:rsidRPr="002B5221">
        <w:rPr>
          <w:rStyle w:val="1CharChar"/>
        </w:rPr>
        <w:t>），鉴于车间内操作设备及机械车辆的振动影响，评价还建议提高贮存间的建设等级和防渗等级；贮存</w:t>
      </w:r>
      <w:proofErr w:type="gramStart"/>
      <w:r w:rsidRPr="002B5221">
        <w:rPr>
          <w:rStyle w:val="1CharChar"/>
        </w:rPr>
        <w:t>间周围</w:t>
      </w:r>
      <w:proofErr w:type="gramEnd"/>
      <w:r w:rsidRPr="002B5221">
        <w:rPr>
          <w:rStyle w:val="1CharChar"/>
        </w:rPr>
        <w:t>禁止明火、抽烟等，设置明显标识，加强对每位职工的培训，同时配备灭火器</w:t>
      </w:r>
      <w:r w:rsidRPr="002B5221">
        <w:t>。</w:t>
      </w:r>
      <w:r w:rsidR="002E174B" w:rsidRPr="002B5221">
        <w:rPr>
          <w:rFonts w:hint="eastAsia"/>
        </w:rPr>
        <w:t>对照《建设项目环境风险评价技术导则》（</w:t>
      </w:r>
      <w:r w:rsidR="002E174B" w:rsidRPr="002B5221">
        <w:rPr>
          <w:rFonts w:hint="eastAsia"/>
        </w:rPr>
        <w:t>H</w:t>
      </w:r>
      <w:r w:rsidR="002E174B" w:rsidRPr="002B5221">
        <w:t>J169-2018</w:t>
      </w:r>
      <w:r w:rsidR="002E174B" w:rsidRPr="002B5221">
        <w:rPr>
          <w:rFonts w:hint="eastAsia"/>
        </w:rPr>
        <w:t>），</w:t>
      </w:r>
      <w:r w:rsidR="00FB6EE0" w:rsidRPr="002B5221">
        <w:rPr>
          <w:rFonts w:hint="eastAsia"/>
        </w:rPr>
        <w:t>油类物质（矿物油类，如石油、汽油、柴油等）属于危险物质。</w:t>
      </w:r>
    </w:p>
    <w:p w14:paraId="24D80692" w14:textId="009CBE7E" w:rsidR="00FB6EE0" w:rsidRPr="00FB6EE0" w:rsidRDefault="00FB6EE0" w:rsidP="00FB6EE0">
      <w:pPr>
        <w:tabs>
          <w:tab w:val="left" w:pos="4050"/>
        </w:tabs>
        <w:spacing w:before="46"/>
        <w:ind w:left="3008" w:right="194"/>
        <w:rPr>
          <w:rFonts w:eastAsia="黑体" w:cs="Times New Roman"/>
          <w:szCs w:val="24"/>
        </w:rPr>
      </w:pPr>
      <w:r w:rsidRPr="00FB6EE0">
        <w:rPr>
          <w:rFonts w:eastAsia="黑体" w:cs="Times New Roman"/>
          <w:szCs w:val="24"/>
        </w:rPr>
        <w:t>表</w:t>
      </w:r>
      <w:r w:rsidRPr="00FB6EE0">
        <w:rPr>
          <w:rFonts w:eastAsia="黑体" w:cs="Times New Roman"/>
          <w:szCs w:val="24"/>
        </w:rPr>
        <w:t>5.3-1</w:t>
      </w:r>
      <w:r w:rsidRPr="00FB6EE0">
        <w:rPr>
          <w:rFonts w:eastAsia="黑体" w:cs="Times New Roman"/>
          <w:szCs w:val="24"/>
        </w:rPr>
        <w:tab/>
      </w:r>
      <w:r w:rsidRPr="00FB6EE0">
        <w:rPr>
          <w:rFonts w:eastAsia="黑体" w:cs="Times New Roman"/>
          <w:szCs w:val="24"/>
        </w:rPr>
        <w:t>环境风险一览表</w:t>
      </w:r>
    </w:p>
    <w:tbl>
      <w:tblPr>
        <w:tblStyle w:val="TableNormal6"/>
        <w:tblW w:w="0" w:type="auto"/>
        <w:tblInd w:w="107" w:type="dxa"/>
        <w:tblLayout w:type="fixed"/>
        <w:tblLook w:val="01E0" w:firstRow="1" w:lastRow="1" w:firstColumn="1" w:lastColumn="1" w:noHBand="0" w:noVBand="0"/>
      </w:tblPr>
      <w:tblGrid>
        <w:gridCol w:w="1242"/>
        <w:gridCol w:w="5245"/>
        <w:gridCol w:w="2465"/>
      </w:tblGrid>
      <w:tr w:rsidR="00FB6EE0" w:rsidRPr="00FB6EE0" w14:paraId="253F87EC" w14:textId="77777777" w:rsidTr="00FB6EE0">
        <w:trPr>
          <w:trHeight w:hRule="exact" w:val="478"/>
        </w:trPr>
        <w:tc>
          <w:tcPr>
            <w:tcW w:w="1242" w:type="dxa"/>
            <w:tcBorders>
              <w:top w:val="single" w:sz="4" w:space="0" w:color="000000"/>
              <w:left w:val="single" w:sz="4" w:space="0" w:color="000000"/>
              <w:bottom w:val="single" w:sz="4" w:space="0" w:color="000000"/>
              <w:right w:val="single" w:sz="4" w:space="0" w:color="000000"/>
            </w:tcBorders>
          </w:tcPr>
          <w:p w14:paraId="4242AF28" w14:textId="77777777" w:rsidR="00FB6EE0" w:rsidRPr="00FB6EE0" w:rsidRDefault="00FB6EE0" w:rsidP="00FB6EE0">
            <w:pPr>
              <w:spacing w:before="63" w:line="240" w:lineRule="auto"/>
              <w:ind w:left="194" w:firstLineChars="0" w:firstLine="0"/>
              <w:rPr>
                <w:rFonts w:ascii="宋体" w:hAnsi="宋体" w:cs="宋体"/>
                <w:kern w:val="0"/>
                <w:sz w:val="21"/>
                <w:szCs w:val="21"/>
              </w:rPr>
            </w:pPr>
            <w:proofErr w:type="spellStart"/>
            <w:r w:rsidRPr="00FB6EE0">
              <w:rPr>
                <w:rFonts w:ascii="宋体" w:hAnsi="宋体" w:cs="宋体"/>
                <w:kern w:val="0"/>
                <w:sz w:val="21"/>
                <w:szCs w:val="21"/>
              </w:rPr>
              <w:t>类别名称</w:t>
            </w:r>
            <w:proofErr w:type="spellEnd"/>
          </w:p>
        </w:tc>
        <w:tc>
          <w:tcPr>
            <w:tcW w:w="5245" w:type="dxa"/>
            <w:tcBorders>
              <w:top w:val="single" w:sz="4" w:space="0" w:color="000000"/>
              <w:left w:val="single" w:sz="4" w:space="0" w:color="000000"/>
              <w:bottom w:val="single" w:sz="4" w:space="0" w:color="000000"/>
              <w:right w:val="single" w:sz="4" w:space="0" w:color="000000"/>
            </w:tcBorders>
          </w:tcPr>
          <w:p w14:paraId="1346708B" w14:textId="77777777" w:rsidR="00FB6EE0" w:rsidRPr="00FB6EE0" w:rsidRDefault="00FB6EE0" w:rsidP="00FB6EE0">
            <w:pPr>
              <w:spacing w:before="63" w:line="240" w:lineRule="auto"/>
              <w:ind w:left="423" w:firstLineChars="0" w:firstLine="0"/>
              <w:jc w:val="center"/>
              <w:rPr>
                <w:rFonts w:ascii="宋体" w:hAnsi="宋体" w:cs="宋体"/>
                <w:kern w:val="0"/>
                <w:sz w:val="21"/>
                <w:szCs w:val="21"/>
              </w:rPr>
            </w:pPr>
            <w:proofErr w:type="spellStart"/>
            <w:r w:rsidRPr="00FB6EE0">
              <w:rPr>
                <w:rFonts w:ascii="宋体" w:hAnsi="宋体" w:cs="宋体"/>
                <w:kern w:val="0"/>
                <w:sz w:val="21"/>
                <w:szCs w:val="21"/>
              </w:rPr>
              <w:t>危险特性</w:t>
            </w:r>
            <w:proofErr w:type="spellEnd"/>
          </w:p>
        </w:tc>
        <w:tc>
          <w:tcPr>
            <w:tcW w:w="2465" w:type="dxa"/>
            <w:tcBorders>
              <w:top w:val="single" w:sz="4" w:space="0" w:color="000000"/>
              <w:left w:val="single" w:sz="4" w:space="0" w:color="000000"/>
              <w:bottom w:val="single" w:sz="4" w:space="0" w:color="000000"/>
              <w:right w:val="single" w:sz="4" w:space="0" w:color="000000"/>
            </w:tcBorders>
          </w:tcPr>
          <w:p w14:paraId="10584443" w14:textId="77777777" w:rsidR="00FB6EE0" w:rsidRPr="00FB6EE0" w:rsidRDefault="00FB6EE0" w:rsidP="00FB6EE0">
            <w:pPr>
              <w:spacing w:before="63" w:line="240" w:lineRule="auto"/>
              <w:ind w:left="1016" w:firstLineChars="0" w:firstLine="0"/>
              <w:rPr>
                <w:rFonts w:ascii="宋体" w:hAnsi="宋体" w:cs="宋体"/>
                <w:kern w:val="0"/>
                <w:sz w:val="21"/>
                <w:szCs w:val="21"/>
              </w:rPr>
            </w:pPr>
            <w:proofErr w:type="spellStart"/>
            <w:r w:rsidRPr="00FB6EE0">
              <w:rPr>
                <w:rFonts w:ascii="宋体" w:hAnsi="宋体" w:cs="宋体"/>
                <w:kern w:val="0"/>
                <w:sz w:val="21"/>
                <w:szCs w:val="21"/>
              </w:rPr>
              <w:t>储存方式</w:t>
            </w:r>
            <w:proofErr w:type="spellEnd"/>
          </w:p>
        </w:tc>
      </w:tr>
      <w:tr w:rsidR="00FB6EE0" w:rsidRPr="00FB6EE0" w14:paraId="74AF8348" w14:textId="77777777" w:rsidTr="00FB6EE0">
        <w:trPr>
          <w:trHeight w:hRule="exact" w:val="2760"/>
        </w:trPr>
        <w:tc>
          <w:tcPr>
            <w:tcW w:w="1242" w:type="dxa"/>
            <w:tcBorders>
              <w:top w:val="single" w:sz="4" w:space="0" w:color="000000"/>
              <w:left w:val="single" w:sz="4" w:space="0" w:color="000000"/>
              <w:bottom w:val="single" w:sz="4" w:space="0" w:color="000000"/>
              <w:right w:val="single" w:sz="4" w:space="0" w:color="000000"/>
            </w:tcBorders>
          </w:tcPr>
          <w:p w14:paraId="114E2A73" w14:textId="77777777" w:rsidR="00FB6EE0" w:rsidRPr="00FB6EE0" w:rsidRDefault="00FB6EE0" w:rsidP="00FB6EE0">
            <w:pPr>
              <w:spacing w:line="240" w:lineRule="auto"/>
              <w:ind w:firstLineChars="0" w:firstLine="0"/>
              <w:rPr>
                <w:rFonts w:ascii="宋体" w:hAnsi="宋体" w:cs="宋体"/>
                <w:b/>
                <w:bCs/>
                <w:kern w:val="0"/>
                <w:sz w:val="20"/>
                <w:szCs w:val="20"/>
              </w:rPr>
            </w:pPr>
          </w:p>
          <w:p w14:paraId="7EBF3CB7" w14:textId="77777777" w:rsidR="00FB6EE0" w:rsidRPr="00FB6EE0" w:rsidRDefault="00FB6EE0" w:rsidP="00FB6EE0">
            <w:pPr>
              <w:spacing w:line="240" w:lineRule="auto"/>
              <w:ind w:firstLineChars="0" w:firstLine="0"/>
              <w:rPr>
                <w:rFonts w:ascii="宋体" w:hAnsi="宋体" w:cs="宋体"/>
                <w:b/>
                <w:bCs/>
                <w:kern w:val="0"/>
                <w:sz w:val="20"/>
                <w:szCs w:val="20"/>
              </w:rPr>
            </w:pPr>
          </w:p>
          <w:p w14:paraId="09892880" w14:textId="77777777" w:rsidR="00FB6EE0" w:rsidRPr="00FB6EE0" w:rsidRDefault="00FB6EE0" w:rsidP="00FB6EE0">
            <w:pPr>
              <w:spacing w:line="240" w:lineRule="auto"/>
              <w:ind w:firstLineChars="0" w:firstLine="0"/>
              <w:rPr>
                <w:rFonts w:ascii="宋体" w:hAnsi="宋体" w:cs="宋体"/>
                <w:b/>
                <w:bCs/>
                <w:kern w:val="0"/>
                <w:sz w:val="20"/>
                <w:szCs w:val="20"/>
              </w:rPr>
            </w:pPr>
          </w:p>
          <w:p w14:paraId="6DE37F41" w14:textId="77777777" w:rsidR="00FB6EE0" w:rsidRPr="00FB6EE0" w:rsidRDefault="00FB6EE0" w:rsidP="00FB6EE0">
            <w:pPr>
              <w:spacing w:before="5" w:line="240" w:lineRule="auto"/>
              <w:ind w:firstLineChars="0" w:firstLine="0"/>
              <w:rPr>
                <w:rFonts w:ascii="宋体" w:hAnsi="宋体" w:cs="宋体"/>
                <w:b/>
                <w:bCs/>
                <w:kern w:val="0"/>
                <w:sz w:val="22"/>
              </w:rPr>
            </w:pPr>
          </w:p>
          <w:p w14:paraId="4B95C8C3" w14:textId="77777777" w:rsidR="00FB6EE0" w:rsidRPr="00FB6EE0" w:rsidRDefault="00FB6EE0" w:rsidP="00FB6EE0">
            <w:pPr>
              <w:spacing w:line="240" w:lineRule="auto"/>
              <w:ind w:left="405" w:firstLineChars="0" w:firstLine="0"/>
              <w:rPr>
                <w:rFonts w:ascii="宋体" w:hAnsi="宋体" w:cs="宋体"/>
                <w:kern w:val="0"/>
                <w:sz w:val="21"/>
                <w:szCs w:val="21"/>
              </w:rPr>
            </w:pPr>
            <w:proofErr w:type="spellStart"/>
            <w:r w:rsidRPr="00FB6EE0">
              <w:rPr>
                <w:rFonts w:ascii="宋体" w:hAnsi="宋体" w:cs="宋体"/>
                <w:kern w:val="0"/>
                <w:sz w:val="21"/>
                <w:szCs w:val="21"/>
              </w:rPr>
              <w:t>柴油</w:t>
            </w:r>
            <w:proofErr w:type="spellEnd"/>
          </w:p>
        </w:tc>
        <w:tc>
          <w:tcPr>
            <w:tcW w:w="5245" w:type="dxa"/>
            <w:tcBorders>
              <w:top w:val="single" w:sz="4" w:space="0" w:color="000000"/>
              <w:left w:val="single" w:sz="4" w:space="0" w:color="000000"/>
              <w:bottom w:val="single" w:sz="4" w:space="0" w:color="000000"/>
              <w:right w:val="single" w:sz="4" w:space="0" w:color="000000"/>
            </w:tcBorders>
          </w:tcPr>
          <w:p w14:paraId="4C43CD43" w14:textId="77777777" w:rsidR="00FB6EE0" w:rsidRPr="00FB6EE0" w:rsidRDefault="00FB6EE0" w:rsidP="00FB6EE0">
            <w:pPr>
              <w:spacing w:line="261" w:lineRule="exact"/>
              <w:ind w:firstLineChars="0" w:firstLine="0"/>
              <w:jc w:val="center"/>
              <w:rPr>
                <w:rFonts w:ascii="宋体" w:hAnsi="宋体" w:cs="宋体"/>
                <w:kern w:val="0"/>
                <w:sz w:val="21"/>
                <w:szCs w:val="21"/>
                <w:lang w:eastAsia="zh-CN"/>
              </w:rPr>
            </w:pPr>
            <w:r w:rsidRPr="00FB6EE0">
              <w:rPr>
                <w:rFonts w:ascii="宋体" w:hAnsi="宋体" w:cs="宋体"/>
                <w:kern w:val="0"/>
                <w:sz w:val="21"/>
                <w:szCs w:val="21"/>
                <w:lang w:eastAsia="zh-CN"/>
              </w:rPr>
              <w:t>柴油为高沸点成份，故使用时由于蒸汽所致的毒性机会</w:t>
            </w:r>
          </w:p>
          <w:p w14:paraId="602656CF" w14:textId="24F5B2A8" w:rsidR="00FB6EE0" w:rsidRPr="00FB6EE0" w:rsidRDefault="00FB6EE0" w:rsidP="00FB6EE0">
            <w:pPr>
              <w:spacing w:before="37" w:line="271" w:lineRule="auto"/>
              <w:ind w:left="103" w:right="-3" w:firstLineChars="0" w:hanging="107"/>
              <w:jc w:val="center"/>
              <w:rPr>
                <w:rFonts w:ascii="宋体" w:hAnsi="宋体" w:cs="宋体"/>
                <w:kern w:val="0"/>
                <w:sz w:val="21"/>
                <w:szCs w:val="21"/>
                <w:lang w:eastAsia="zh-CN"/>
              </w:rPr>
            </w:pPr>
            <w:r w:rsidRPr="00FB6EE0">
              <w:rPr>
                <w:rFonts w:ascii="宋体" w:hAnsi="宋体" w:cs="宋体"/>
                <w:kern w:val="0"/>
                <w:sz w:val="21"/>
                <w:szCs w:val="21"/>
                <w:lang w:eastAsia="zh-CN"/>
              </w:rPr>
              <w:t>较小。</w:t>
            </w:r>
            <w:r w:rsidR="00527703">
              <w:fldChar w:fldCharType="begin"/>
            </w:r>
            <w:r w:rsidR="00527703">
              <w:rPr>
                <w:lang w:eastAsia="zh-CN"/>
              </w:rPr>
              <w:instrText xml:space="preserve"> HYPERLINK "https://baike.sogou.com/lemma/ShowInnerLink.htm?lemmaId=6551583&amp;amp;ss_c=ssc.citiao.link" \h </w:instrText>
            </w:r>
            <w:r w:rsidR="00527703">
              <w:fldChar w:fldCharType="separate"/>
            </w:r>
            <w:r w:rsidRPr="00FB6EE0">
              <w:rPr>
                <w:rFonts w:ascii="宋体" w:hAnsi="宋体" w:cs="宋体"/>
                <w:kern w:val="0"/>
                <w:sz w:val="21"/>
                <w:szCs w:val="21"/>
                <w:lang w:eastAsia="zh-CN"/>
              </w:rPr>
              <w:t>柴油的雾滴吸入后可致吸入性肺炎</w:t>
            </w:r>
            <w:r w:rsidR="00527703">
              <w:rPr>
                <w:rFonts w:ascii="宋体" w:hAnsi="宋体" w:cs="宋体"/>
                <w:kern w:val="0"/>
                <w:sz w:val="21"/>
                <w:szCs w:val="21"/>
              </w:rPr>
              <w:fldChar w:fldCharType="end"/>
            </w:r>
            <w:r w:rsidRPr="00FB6EE0">
              <w:rPr>
                <w:rFonts w:ascii="宋体" w:hAnsi="宋体" w:cs="宋体"/>
                <w:kern w:val="0"/>
                <w:sz w:val="21"/>
                <w:szCs w:val="21"/>
                <w:lang w:eastAsia="zh-CN"/>
              </w:rPr>
              <w:t>。皮肤接触柴油可致</w:t>
            </w:r>
            <w:hyperlink r:id="rId63">
              <w:r w:rsidRPr="00FB6EE0">
                <w:rPr>
                  <w:rFonts w:ascii="宋体" w:hAnsi="宋体" w:cs="宋体"/>
                  <w:kern w:val="0"/>
                  <w:sz w:val="21"/>
                  <w:szCs w:val="21"/>
                  <w:lang w:eastAsia="zh-CN"/>
                </w:rPr>
                <w:t>接触性皮炎</w:t>
              </w:r>
            </w:hyperlink>
            <w:r w:rsidRPr="00FB6EE0">
              <w:rPr>
                <w:rFonts w:ascii="宋体" w:hAnsi="宋体" w:cs="宋体"/>
                <w:kern w:val="0"/>
                <w:sz w:val="21"/>
                <w:szCs w:val="21"/>
                <w:lang w:eastAsia="zh-CN"/>
              </w:rPr>
              <w:t>。多见于两手、腕部与前臂。柴油废气，内燃机燃烧柴油所产生的废气常能</w:t>
            </w:r>
            <w:hyperlink r:id="rId64">
              <w:r w:rsidRPr="00FB6EE0">
                <w:rPr>
                  <w:rFonts w:ascii="宋体" w:hAnsi="宋体" w:cs="宋体"/>
                  <w:kern w:val="0"/>
                  <w:sz w:val="21"/>
                  <w:szCs w:val="21"/>
                  <w:lang w:eastAsia="zh-CN"/>
                </w:rPr>
                <w:t>严重污染环境</w:t>
              </w:r>
            </w:hyperlink>
            <w:r w:rsidRPr="00FB6EE0">
              <w:rPr>
                <w:rFonts w:ascii="宋体" w:hAnsi="宋体" w:cs="宋体"/>
                <w:kern w:val="0"/>
                <w:sz w:val="21"/>
                <w:szCs w:val="21"/>
                <w:lang w:eastAsia="zh-CN"/>
              </w:rPr>
              <w:t>。废气中含有氮氧化物、一氧化碳、二氧化碳、醛类和</w:t>
            </w:r>
            <w:hyperlink r:id="rId65">
              <w:r w:rsidRPr="00FB6EE0">
                <w:rPr>
                  <w:rFonts w:ascii="宋体" w:hAnsi="宋体" w:cs="宋体"/>
                  <w:kern w:val="0"/>
                  <w:sz w:val="21"/>
                  <w:szCs w:val="21"/>
                  <w:lang w:eastAsia="zh-CN"/>
                </w:rPr>
                <w:t>不</w:t>
              </w:r>
            </w:hyperlink>
            <w:hyperlink r:id="rId66">
              <w:r w:rsidRPr="00FB6EE0">
                <w:rPr>
                  <w:rFonts w:ascii="宋体" w:hAnsi="宋体" w:cs="宋体"/>
                  <w:kern w:val="0"/>
                  <w:sz w:val="21"/>
                  <w:szCs w:val="21"/>
                  <w:lang w:eastAsia="zh-CN"/>
                </w:rPr>
                <w:t>完全燃烧</w:t>
              </w:r>
            </w:hyperlink>
            <w:r w:rsidRPr="00FB6EE0">
              <w:rPr>
                <w:rFonts w:ascii="宋体" w:hAnsi="宋体" w:cs="宋体"/>
                <w:kern w:val="0"/>
                <w:sz w:val="21"/>
                <w:szCs w:val="21"/>
                <w:lang w:eastAsia="zh-CN"/>
              </w:rPr>
              <w:t>时的大量黑烟。黑烟中有未经燃烧的油雾、碳</w:t>
            </w:r>
            <w:r w:rsidRPr="00FB6EE0">
              <w:rPr>
                <w:rFonts w:ascii="宋体" w:hAnsi="宋体" w:cs="宋体"/>
                <w:spacing w:val="-3"/>
                <w:kern w:val="0"/>
                <w:sz w:val="21"/>
                <w:szCs w:val="21"/>
                <w:lang w:eastAsia="zh-CN"/>
              </w:rPr>
              <w:t>粒，一些高沸点的杂环和芳烃物质，并有些</w:t>
            </w:r>
            <w:hyperlink r:id="rId67">
              <w:r w:rsidRPr="00FB6EE0">
                <w:rPr>
                  <w:rFonts w:ascii="宋体" w:hAnsi="宋体" w:cs="宋体"/>
                  <w:spacing w:val="-3"/>
                  <w:kern w:val="0"/>
                  <w:sz w:val="21"/>
                  <w:szCs w:val="21"/>
                  <w:lang w:eastAsia="zh-CN"/>
                </w:rPr>
                <w:t>致癌物</w:t>
              </w:r>
            </w:hyperlink>
            <w:r w:rsidRPr="00FB6EE0">
              <w:rPr>
                <w:rFonts w:ascii="宋体" w:hAnsi="宋体" w:cs="宋体"/>
                <w:spacing w:val="-3"/>
                <w:kern w:val="0"/>
                <w:sz w:val="21"/>
                <w:szCs w:val="21"/>
                <w:lang w:eastAsia="zh-CN"/>
              </w:rPr>
              <w:t>如</w:t>
            </w:r>
            <w:r w:rsidRPr="00FB6EE0">
              <w:rPr>
                <w:rFonts w:eastAsia="Times New Roman" w:cs="Times New Roman"/>
                <w:kern w:val="0"/>
                <w:sz w:val="21"/>
                <w:szCs w:val="21"/>
                <w:lang w:eastAsia="zh-CN"/>
              </w:rPr>
              <w:t>3</w:t>
            </w:r>
            <w:r w:rsidRPr="00FB6EE0">
              <w:rPr>
                <w:rFonts w:ascii="宋体" w:hAnsi="宋体" w:cs="宋体"/>
                <w:kern w:val="0"/>
                <w:sz w:val="21"/>
                <w:szCs w:val="21"/>
                <w:lang w:eastAsia="zh-CN"/>
              </w:rPr>
              <w:t>，</w:t>
            </w:r>
            <w:r w:rsidRPr="00FB6EE0">
              <w:rPr>
                <w:rFonts w:eastAsia="Times New Roman" w:cs="Times New Roman"/>
                <w:kern w:val="0"/>
                <w:sz w:val="21"/>
                <w:szCs w:val="21"/>
                <w:lang w:eastAsia="zh-CN"/>
              </w:rPr>
              <w:t>4-</w:t>
            </w:r>
            <w:hyperlink r:id="rId68">
              <w:r w:rsidRPr="00FB6EE0">
                <w:rPr>
                  <w:rFonts w:ascii="宋体" w:hAnsi="宋体" w:cs="宋体"/>
                  <w:kern w:val="0"/>
                  <w:sz w:val="21"/>
                  <w:szCs w:val="21"/>
                  <w:lang w:eastAsia="zh-CN"/>
                </w:rPr>
                <w:t>苯并</w:t>
              </w:r>
              <w:proofErr w:type="gramStart"/>
              <w:r w:rsidRPr="00FB6EE0">
                <w:rPr>
                  <w:rFonts w:ascii="宋体" w:hAnsi="宋体" w:cs="宋体"/>
                  <w:kern w:val="0"/>
                  <w:sz w:val="21"/>
                  <w:szCs w:val="21"/>
                  <w:lang w:eastAsia="zh-CN"/>
                </w:rPr>
                <w:t>芘</w:t>
              </w:r>
              <w:proofErr w:type="gramEnd"/>
            </w:hyperlink>
            <w:r w:rsidRPr="00FB6EE0">
              <w:rPr>
                <w:rFonts w:ascii="宋体" w:hAnsi="宋体" w:cs="宋体"/>
                <w:kern w:val="0"/>
                <w:sz w:val="21"/>
                <w:szCs w:val="21"/>
                <w:lang w:eastAsia="zh-CN"/>
              </w:rPr>
              <w:t>。</w:t>
            </w:r>
          </w:p>
        </w:tc>
        <w:tc>
          <w:tcPr>
            <w:tcW w:w="2465" w:type="dxa"/>
            <w:tcBorders>
              <w:top w:val="single" w:sz="4" w:space="0" w:color="000000"/>
              <w:left w:val="single" w:sz="4" w:space="0" w:color="000000"/>
              <w:bottom w:val="single" w:sz="4" w:space="0" w:color="000000"/>
              <w:right w:val="single" w:sz="4" w:space="0" w:color="000000"/>
            </w:tcBorders>
          </w:tcPr>
          <w:p w14:paraId="39DD2A60" w14:textId="6CCAB2B7" w:rsidR="00FB6EE0" w:rsidRPr="00FB6EE0" w:rsidRDefault="00FB6EE0" w:rsidP="00FB6EE0">
            <w:pPr>
              <w:spacing w:before="142" w:line="273" w:lineRule="auto"/>
              <w:ind w:left="103" w:right="41" w:firstLineChars="0" w:hanging="62"/>
              <w:jc w:val="center"/>
              <w:rPr>
                <w:rFonts w:ascii="宋体" w:hAnsi="宋体" w:cs="宋体"/>
                <w:kern w:val="0"/>
                <w:sz w:val="21"/>
                <w:szCs w:val="21"/>
                <w:lang w:eastAsia="zh-CN"/>
              </w:rPr>
            </w:pPr>
            <w:r w:rsidRPr="00FB6EE0">
              <w:rPr>
                <w:rFonts w:ascii="宋体" w:hAnsi="宋体" w:cs="宋体"/>
                <w:kern w:val="0"/>
                <w:sz w:val="21"/>
                <w:szCs w:val="21"/>
                <w:lang w:eastAsia="zh-CN"/>
              </w:rPr>
              <w:t>防止水份、机械杂质混</w:t>
            </w:r>
            <w:r w:rsidRPr="00FB6EE0">
              <w:rPr>
                <w:rFonts w:ascii="宋体" w:hAnsi="宋体" w:cs="宋体"/>
                <w:spacing w:val="-6"/>
                <w:kern w:val="0"/>
                <w:sz w:val="21"/>
                <w:szCs w:val="21"/>
                <w:lang w:eastAsia="zh-CN"/>
              </w:rPr>
              <w:t>入；严禁与汽油混合后用</w:t>
            </w:r>
            <w:r w:rsidRPr="00FB6EE0">
              <w:rPr>
                <w:rFonts w:ascii="宋体" w:hAnsi="宋体" w:cs="宋体"/>
                <w:kern w:val="0"/>
                <w:sz w:val="21"/>
                <w:szCs w:val="21"/>
                <w:lang w:eastAsia="zh-CN"/>
              </w:rPr>
              <w:t>于照明或作煤油炉燃料；</w:t>
            </w:r>
            <w:r w:rsidRPr="00FB6EE0">
              <w:rPr>
                <w:rFonts w:ascii="宋体" w:hAnsi="宋体" w:cs="宋体"/>
                <w:spacing w:val="-6"/>
                <w:kern w:val="0"/>
                <w:sz w:val="21"/>
                <w:szCs w:val="21"/>
                <w:lang w:eastAsia="zh-CN"/>
              </w:rPr>
              <w:t>严防曝晒及明火加热，尽量在较低温度下储存。冬</w:t>
            </w:r>
            <w:r w:rsidRPr="00FB6EE0">
              <w:rPr>
                <w:rFonts w:ascii="宋体" w:hAnsi="宋体" w:cs="宋体"/>
                <w:kern w:val="0"/>
                <w:sz w:val="21"/>
                <w:szCs w:val="21"/>
                <w:lang w:eastAsia="zh-CN"/>
              </w:rPr>
              <w:t>季在使用柴油时可进行必要的预热等</w:t>
            </w:r>
          </w:p>
        </w:tc>
      </w:tr>
    </w:tbl>
    <w:p w14:paraId="5E23EDE6" w14:textId="1F22FD90" w:rsidR="00E579B9" w:rsidRDefault="006A1398">
      <w:pPr>
        <w:pStyle w:val="226"/>
        <w:rPr>
          <w:rFonts w:cs="Times New Roman"/>
          <w:kern w:val="0"/>
        </w:rPr>
      </w:pPr>
      <w:r>
        <w:rPr>
          <w:rFonts w:ascii="宋体" w:hAnsi="宋体" w:cs="Times New Roman" w:hint="eastAsia"/>
          <w:kern w:val="0"/>
        </w:rPr>
        <w:t>（</w:t>
      </w:r>
      <w:r w:rsidR="00C30FC0">
        <w:rPr>
          <w:rFonts w:cs="Times New Roman" w:hint="eastAsia"/>
          <w:kern w:val="0"/>
        </w:rPr>
        <w:t>2</w:t>
      </w:r>
      <w:r>
        <w:rPr>
          <w:rFonts w:ascii="宋体" w:hAnsi="宋体" w:cs="Times New Roman" w:hint="eastAsia"/>
          <w:kern w:val="0"/>
        </w:rPr>
        <w:t>）临时表土堆场风险分析</w:t>
      </w:r>
    </w:p>
    <w:p w14:paraId="236A8BD0" w14:textId="77777777" w:rsidR="00E579B9" w:rsidRDefault="006A1398">
      <w:pPr>
        <w:pStyle w:val="226"/>
        <w:rPr>
          <w:rFonts w:cs="Times New Roman"/>
          <w:kern w:val="0"/>
        </w:rPr>
      </w:pPr>
      <w:r>
        <w:rPr>
          <w:rFonts w:ascii="宋体" w:hAnsi="宋体" w:cs="Times New Roman" w:hint="eastAsia"/>
          <w:kern w:val="0"/>
        </w:rPr>
        <w:t>临时表土堆场环境风险因素主要是</w:t>
      </w:r>
      <w:r>
        <w:rPr>
          <w:rFonts w:ascii="宋体" w:hAnsi="宋体" w:hint="eastAsia"/>
        </w:rPr>
        <w:t>表土堆场崩塌、滑坡、泥石流风险。</w:t>
      </w:r>
    </w:p>
    <w:p w14:paraId="49827CAF" w14:textId="77777777" w:rsidR="00E579B9" w:rsidRDefault="006A1398">
      <w:pPr>
        <w:pStyle w:val="226"/>
        <w:rPr>
          <w:rFonts w:cs="Times New Roman"/>
          <w:kern w:val="0"/>
        </w:rPr>
      </w:pPr>
      <w:r>
        <w:rPr>
          <w:rFonts w:cs="Times New Roman" w:hint="eastAsia"/>
          <w:kern w:val="0"/>
        </w:rPr>
        <w:t>①</w:t>
      </w:r>
      <w:r>
        <w:rPr>
          <w:rFonts w:ascii="宋体" w:hAnsi="宋体" w:cs="Times New Roman"/>
          <w:kern w:val="0"/>
        </w:rPr>
        <w:t>崩塌</w:t>
      </w:r>
    </w:p>
    <w:p w14:paraId="2DF62269" w14:textId="77777777" w:rsidR="00E579B9" w:rsidRDefault="006A1398">
      <w:pPr>
        <w:pStyle w:val="226"/>
        <w:rPr>
          <w:rFonts w:cs="Times New Roman"/>
          <w:kern w:val="0"/>
        </w:rPr>
      </w:pPr>
      <w:r>
        <w:rPr>
          <w:rFonts w:ascii="宋体" w:hAnsi="宋体" w:cs="Times New Roman"/>
          <w:kern w:val="0"/>
        </w:rPr>
        <w:t>崩塌也叫崩落、垮塌或塌方，是较陡坡上的掩体在重力作用下突然脱离母体崩落、滚动、堆积在坡脚（或沟谷）的地质现象。崩塌一般发生在暴雨、大暴雨或较长时间连续降雨过程中或稍后；强烈地震过程中；开挖坡脚过程之中或稍后</w:t>
      </w:r>
      <w:r>
        <w:rPr>
          <w:rFonts w:ascii="宋体" w:hAnsi="宋体" w:cs="Times New Roman"/>
          <w:kern w:val="0"/>
        </w:rPr>
        <w:lastRenderedPageBreak/>
        <w:t>一段时间；强烈的机械振动之后。本项目</w:t>
      </w:r>
      <w:r>
        <w:rPr>
          <w:rFonts w:ascii="宋体" w:hAnsi="宋体" w:cs="Times New Roman" w:hint="eastAsia"/>
          <w:kern w:val="0"/>
        </w:rPr>
        <w:t>排土场</w:t>
      </w:r>
      <w:r>
        <w:rPr>
          <w:rFonts w:ascii="宋体" w:hAnsi="宋体" w:cs="Times New Roman"/>
          <w:kern w:val="0"/>
        </w:rPr>
        <w:t>修筑有浆砌石挡渣墙，且在挡渣墙中间布设排水孔并设置反滤层。采取上述措施后可大大减小崩塌事故风险几率。</w:t>
      </w:r>
    </w:p>
    <w:p w14:paraId="5692F201" w14:textId="77777777" w:rsidR="00E579B9" w:rsidRDefault="006A1398">
      <w:pPr>
        <w:pStyle w:val="226"/>
        <w:rPr>
          <w:rFonts w:cs="Times New Roman"/>
          <w:kern w:val="0"/>
        </w:rPr>
      </w:pPr>
      <w:r>
        <w:rPr>
          <w:rFonts w:ascii="宋体" w:hAnsi="宋体" w:hint="eastAsia"/>
          <w:kern w:val="0"/>
        </w:rPr>
        <w:t>②</w:t>
      </w:r>
      <w:r>
        <w:rPr>
          <w:rFonts w:ascii="宋体" w:hAnsi="宋体" w:cs="Times New Roman"/>
          <w:kern w:val="0"/>
        </w:rPr>
        <w:t>滑坡</w:t>
      </w:r>
    </w:p>
    <w:p w14:paraId="5E5B04BA" w14:textId="77777777" w:rsidR="00E579B9" w:rsidRDefault="006A1398">
      <w:pPr>
        <w:pStyle w:val="226"/>
        <w:rPr>
          <w:rFonts w:cs="Times New Roman"/>
          <w:kern w:val="0"/>
        </w:rPr>
      </w:pPr>
      <w:r>
        <w:rPr>
          <w:rFonts w:ascii="宋体" w:hAnsi="宋体" w:cs="Times New Roman"/>
          <w:kern w:val="0"/>
        </w:rPr>
        <w:t>斜坡上的掩体由于种种原因在重力作用下沿一定的软弱面（或软弱带）整体的向下滑动的现象叫滑坡。滑坡的调教：斜坡岩土只有被各种构造面凿岩分离成不连续状态时，才可能具备向下滑动的条件。滑坡的活动强度主要与滑坡的规模、滑移速度、滑移距离及其蓄积的位能和产生的动能有关。滑坡的活动时间主要与诱发滑坡的各种外界因素有关，如地震，降雨、冻融及人类活动等。</w:t>
      </w:r>
    </w:p>
    <w:p w14:paraId="64D130C7" w14:textId="77777777" w:rsidR="00E579B9" w:rsidRDefault="006A1398">
      <w:pPr>
        <w:pStyle w:val="226"/>
        <w:rPr>
          <w:rFonts w:cs="Times New Roman"/>
          <w:kern w:val="0"/>
        </w:rPr>
      </w:pPr>
      <w:r>
        <w:rPr>
          <w:rFonts w:ascii="宋体" w:hAnsi="宋体" w:hint="eastAsia"/>
          <w:kern w:val="0"/>
        </w:rPr>
        <w:t>③</w:t>
      </w:r>
      <w:r>
        <w:rPr>
          <w:rFonts w:ascii="宋体" w:hAnsi="宋体" w:cs="Times New Roman"/>
          <w:kern w:val="0"/>
        </w:rPr>
        <w:t>泥石流</w:t>
      </w:r>
    </w:p>
    <w:p w14:paraId="484940FF" w14:textId="77777777" w:rsidR="00E579B9" w:rsidRDefault="006A1398">
      <w:pPr>
        <w:pStyle w:val="226"/>
        <w:rPr>
          <w:rFonts w:cs="Times New Roman"/>
          <w:kern w:val="0"/>
        </w:rPr>
      </w:pPr>
      <w:r>
        <w:rPr>
          <w:rFonts w:ascii="宋体" w:hAnsi="宋体" w:cs="Times New Roman"/>
          <w:kern w:val="0"/>
        </w:rPr>
        <w:t>泥石流是山区沟谷中由暴雨、冰雪融水等水源激发的、含有大量泥沙石块的特殊洪流。泥石流的形成：必须同时具备以下三个条件：陡峻的便于集水、集物的地形地貌；丰富的松散物质；短时间内有大量的水源。</w:t>
      </w:r>
    </w:p>
    <w:p w14:paraId="3D4F5665" w14:textId="49E93443" w:rsidR="00E579B9" w:rsidRDefault="006A1398">
      <w:pPr>
        <w:pStyle w:val="226"/>
        <w:rPr>
          <w:rFonts w:ascii="宋体" w:hAnsi="宋体" w:cs="Times New Roman"/>
          <w:kern w:val="0"/>
        </w:rPr>
      </w:pPr>
      <w:r>
        <w:rPr>
          <w:rFonts w:ascii="宋体" w:hAnsi="宋体" w:cs="Times New Roman"/>
          <w:kern w:val="0"/>
        </w:rPr>
        <w:t>本项目</w:t>
      </w:r>
      <w:r>
        <w:rPr>
          <w:rFonts w:ascii="宋体" w:hAnsi="宋体" w:cs="Times New Roman" w:hint="eastAsia"/>
          <w:kern w:val="0"/>
        </w:rPr>
        <w:t>临时排土场</w:t>
      </w:r>
      <w:r>
        <w:rPr>
          <w:rFonts w:ascii="宋体" w:hAnsi="宋体" w:cs="Times New Roman"/>
          <w:kern w:val="0"/>
        </w:rPr>
        <w:t>修截水沟，汇水面积非常小，下游修筑浆砌石挡墙，且根据水土保持方案中设计，挡渣墙修建有专门的泄洪设施。严格按照规范进行设计施工，发生泥石流的可能性很小。</w:t>
      </w:r>
    </w:p>
    <w:p w14:paraId="56502EAD" w14:textId="56810CE7" w:rsidR="00C30FC0" w:rsidRDefault="00C30FC0" w:rsidP="00C30FC0">
      <w:pPr>
        <w:pStyle w:val="226"/>
        <w:rPr>
          <w:rFonts w:cs="Times New Roman"/>
          <w:kern w:val="0"/>
        </w:rPr>
      </w:pPr>
      <w:r>
        <w:rPr>
          <w:rFonts w:ascii="宋体" w:hAnsi="宋体" w:cs="Times New Roman" w:hint="eastAsia"/>
          <w:kern w:val="0"/>
        </w:rPr>
        <w:t>（</w:t>
      </w:r>
      <w:r w:rsidR="002E174B">
        <w:rPr>
          <w:rFonts w:cs="Times New Roman"/>
          <w:kern w:val="0"/>
        </w:rPr>
        <w:t>3</w:t>
      </w:r>
      <w:r>
        <w:rPr>
          <w:rFonts w:ascii="宋体" w:hAnsi="宋体" w:cs="Times New Roman" w:hint="eastAsia"/>
          <w:kern w:val="0"/>
        </w:rPr>
        <w:t>）露天开采环境风险分析</w:t>
      </w:r>
    </w:p>
    <w:p w14:paraId="5D1B90C4" w14:textId="77777777" w:rsidR="00C30FC0" w:rsidRDefault="00C30FC0" w:rsidP="00C30FC0">
      <w:pPr>
        <w:pStyle w:val="226"/>
        <w:rPr>
          <w:rFonts w:cs="Times New Roman"/>
          <w:kern w:val="0"/>
        </w:rPr>
      </w:pPr>
      <w:r>
        <w:rPr>
          <w:rFonts w:ascii="宋体" w:hAnsi="宋体" w:cs="Times New Roman" w:hint="eastAsia"/>
          <w:kern w:val="0"/>
        </w:rPr>
        <w:t>根据对矿区地形、矿床地质、开采技术条件、生产作业场所使用的设备及生产过程的综合分析，项目在基建期和运营期主要存在边坡破坏、爆破伤害、高处坠落、机械伤害等。</w:t>
      </w:r>
    </w:p>
    <w:p w14:paraId="058D9AF4" w14:textId="77777777" w:rsidR="00C30FC0" w:rsidRDefault="00C30FC0" w:rsidP="00C30FC0">
      <w:pPr>
        <w:pStyle w:val="226"/>
        <w:rPr>
          <w:rFonts w:cs="Times New Roman"/>
          <w:kern w:val="0"/>
        </w:rPr>
      </w:pPr>
      <w:r>
        <w:rPr>
          <w:rFonts w:ascii="宋体" w:hAnsi="宋体" w:cs="Times New Roman" w:hint="eastAsia"/>
          <w:kern w:val="0"/>
        </w:rPr>
        <w:t>边坡破坏：本项目为小型山坡露天矿，在开采过程中采场边坡过高、过陡或作业方式不合理、边坡管理不善、爆破作业不当等因素，可能导致边坡发生坍塌、滑坡、滚石等造成事故。</w:t>
      </w:r>
    </w:p>
    <w:p w14:paraId="247E3DC3" w14:textId="77777777" w:rsidR="00C30FC0" w:rsidRDefault="00C30FC0" w:rsidP="00C30FC0">
      <w:pPr>
        <w:pStyle w:val="226"/>
        <w:rPr>
          <w:rFonts w:cs="Times New Roman"/>
          <w:kern w:val="0"/>
        </w:rPr>
      </w:pPr>
      <w:r>
        <w:rPr>
          <w:rFonts w:ascii="宋体" w:hAnsi="宋体" w:cs="Times New Roman" w:hint="eastAsia"/>
          <w:kern w:val="0"/>
        </w:rPr>
        <w:t>爆破伤害：爆破器材在使用过程中存在装药错误或装药集中、爆破器材质量缺陷、盲炮处理不当、安全警戒不严、管理不善、作业安全意识差等原因发生事故。</w:t>
      </w:r>
    </w:p>
    <w:p w14:paraId="1A142162" w14:textId="77777777" w:rsidR="00C30FC0" w:rsidRDefault="00C30FC0" w:rsidP="00C30FC0">
      <w:pPr>
        <w:pStyle w:val="226"/>
        <w:rPr>
          <w:rFonts w:cs="Times New Roman"/>
          <w:kern w:val="0"/>
        </w:rPr>
      </w:pPr>
      <w:r>
        <w:rPr>
          <w:rFonts w:ascii="宋体" w:hAnsi="宋体" w:cs="Times New Roman" w:hint="eastAsia"/>
          <w:kern w:val="0"/>
        </w:rPr>
        <w:t>爆破产生的飞石、空气冲击波、地震效应是露天开采的重要危险因素。由于</w:t>
      </w:r>
      <w:r>
        <w:rPr>
          <w:rFonts w:ascii="宋体" w:hAnsi="宋体" w:cs="Times New Roman" w:hint="eastAsia"/>
          <w:kern w:val="0"/>
        </w:rPr>
        <w:lastRenderedPageBreak/>
        <w:t>矿区地形原因，存在部分浅孔爆破。</w:t>
      </w:r>
    </w:p>
    <w:p w14:paraId="11516148" w14:textId="77777777" w:rsidR="00C30FC0" w:rsidRDefault="00C30FC0" w:rsidP="00C30FC0">
      <w:pPr>
        <w:pStyle w:val="226"/>
        <w:rPr>
          <w:rFonts w:cs="Times New Roman"/>
          <w:kern w:val="0"/>
        </w:rPr>
      </w:pPr>
      <w:r>
        <w:rPr>
          <w:rFonts w:ascii="宋体" w:hAnsi="宋体" w:cs="Times New Roman" w:hint="eastAsia"/>
          <w:kern w:val="0"/>
        </w:rPr>
        <w:t>高处坠落：在进行边坡浮石清理、台阶边缘穿孔作业、铲装运输作业等高处作业时会产生坠落事故的发生。</w:t>
      </w:r>
    </w:p>
    <w:p w14:paraId="7A0DAEDD" w14:textId="77777777" w:rsidR="00C30FC0" w:rsidRDefault="00C30FC0" w:rsidP="00C30FC0">
      <w:pPr>
        <w:pStyle w:val="226"/>
        <w:rPr>
          <w:rFonts w:cs="Times New Roman"/>
          <w:kern w:val="0"/>
        </w:rPr>
      </w:pPr>
      <w:r>
        <w:rPr>
          <w:rFonts w:ascii="宋体" w:hAnsi="宋体" w:cs="Times New Roman" w:hint="eastAsia"/>
          <w:kern w:val="0"/>
        </w:rPr>
        <w:t>机械伤害：露天开采使用的穿孔、铲装、空压机等设备，在运转过程中会因环境限制或设备故障及操作失误等原因，造成碰撞、夹击、剪切、挤压等事故。</w:t>
      </w:r>
    </w:p>
    <w:p w14:paraId="79FA5ED3" w14:textId="77777777" w:rsidR="00C30FC0" w:rsidRDefault="00C30FC0" w:rsidP="00C30FC0">
      <w:pPr>
        <w:pStyle w:val="226"/>
        <w:rPr>
          <w:rFonts w:ascii="宋体" w:hAnsi="宋体" w:cs="Times New Roman"/>
          <w:kern w:val="0"/>
        </w:rPr>
      </w:pPr>
      <w:r>
        <w:rPr>
          <w:rFonts w:ascii="宋体" w:hAnsi="宋体" w:cs="Times New Roman" w:hint="eastAsia"/>
          <w:kern w:val="0"/>
        </w:rPr>
        <w:t>项目露天开采风险主要为安全生产风险，只要落实好相关措施，项目项目露天开采风险是可以接受的。</w:t>
      </w:r>
    </w:p>
    <w:p w14:paraId="1514BF50" w14:textId="37370DB1" w:rsidR="00C30FC0" w:rsidRDefault="00C30FC0" w:rsidP="00C30FC0">
      <w:pPr>
        <w:widowControl w:val="0"/>
        <w:snapToGrid w:val="0"/>
        <w:spacing w:line="520" w:lineRule="exact"/>
        <w:contextualSpacing/>
        <w:jc w:val="center"/>
        <w:rPr>
          <w:rFonts w:eastAsia="黑体" w:cs="Times New Roman"/>
          <w:szCs w:val="24"/>
        </w:rPr>
      </w:pPr>
      <w:r>
        <w:rPr>
          <w:rFonts w:ascii="黑体" w:eastAsia="黑体" w:hAnsi="黑体" w:cs="Times New Roman"/>
          <w:szCs w:val="24"/>
        </w:rPr>
        <w:t>表</w:t>
      </w:r>
      <w:r>
        <w:rPr>
          <w:rFonts w:eastAsia="黑体" w:cs="Times New Roman"/>
          <w:szCs w:val="24"/>
        </w:rPr>
        <w:t>5.3-</w:t>
      </w:r>
      <w:r w:rsidR="00FB6EE0">
        <w:rPr>
          <w:rFonts w:eastAsia="黑体" w:cs="Times New Roman" w:hint="eastAsia"/>
          <w:szCs w:val="24"/>
        </w:rPr>
        <w:t>2</w:t>
      </w:r>
      <w:r>
        <w:rPr>
          <w:rFonts w:ascii="黑体" w:eastAsia="黑体" w:hAnsi="黑体" w:cs="Times New Roman" w:hint="eastAsia"/>
          <w:szCs w:val="24"/>
        </w:rPr>
        <w:t>膨化硝铵炸药的主要成分一览表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7"/>
        <w:gridCol w:w="1571"/>
        <w:gridCol w:w="1814"/>
        <w:gridCol w:w="1098"/>
        <w:gridCol w:w="1266"/>
        <w:gridCol w:w="1070"/>
      </w:tblGrid>
      <w:tr w:rsidR="00C30FC0" w14:paraId="7578C19B" w14:textId="77777777" w:rsidTr="00FB6EE0">
        <w:trPr>
          <w:trHeight w:val="270"/>
        </w:trPr>
        <w:tc>
          <w:tcPr>
            <w:tcW w:w="1477" w:type="dxa"/>
            <w:tcBorders>
              <w:top w:val="single" w:sz="4" w:space="0" w:color="auto"/>
              <w:left w:val="single" w:sz="4" w:space="0" w:color="auto"/>
              <w:bottom w:val="single" w:sz="4" w:space="0" w:color="auto"/>
              <w:right w:val="single" w:sz="4" w:space="0" w:color="auto"/>
            </w:tcBorders>
            <w:vAlign w:val="center"/>
          </w:tcPr>
          <w:p w14:paraId="57FC20E0" w14:textId="77777777" w:rsidR="00C30FC0" w:rsidRDefault="00C30FC0" w:rsidP="00FB6EE0">
            <w:pPr>
              <w:spacing w:line="360" w:lineRule="exact"/>
              <w:ind w:firstLineChars="0" w:firstLine="0"/>
              <w:jc w:val="center"/>
              <w:rPr>
                <w:rFonts w:cs="Times New Roman"/>
                <w:kern w:val="0"/>
                <w:sz w:val="21"/>
                <w:szCs w:val="21"/>
              </w:rPr>
            </w:pPr>
            <w:r>
              <w:rPr>
                <w:rFonts w:cs="Times New Roman"/>
                <w:kern w:val="0"/>
                <w:sz w:val="21"/>
                <w:szCs w:val="21"/>
              </w:rPr>
              <w:t>成分</w:t>
            </w:r>
          </w:p>
          <w:p w14:paraId="7E860FC8" w14:textId="77777777" w:rsidR="00C30FC0" w:rsidRDefault="00C30FC0" w:rsidP="00FB6EE0">
            <w:pPr>
              <w:spacing w:line="360" w:lineRule="exact"/>
              <w:ind w:firstLineChars="0" w:firstLine="0"/>
              <w:jc w:val="both"/>
              <w:rPr>
                <w:rFonts w:cs="Times New Roman"/>
                <w:kern w:val="0"/>
                <w:sz w:val="21"/>
                <w:szCs w:val="21"/>
              </w:rPr>
            </w:pPr>
            <w:r>
              <w:rPr>
                <w:rFonts w:cs="Times New Roman"/>
                <w:kern w:val="0"/>
                <w:sz w:val="21"/>
                <w:szCs w:val="21"/>
              </w:rPr>
              <w:t>含量</w:t>
            </w:r>
          </w:p>
        </w:tc>
        <w:tc>
          <w:tcPr>
            <w:tcW w:w="1571" w:type="dxa"/>
            <w:tcBorders>
              <w:top w:val="single" w:sz="4" w:space="0" w:color="auto"/>
              <w:left w:val="nil"/>
              <w:bottom w:val="single" w:sz="4" w:space="0" w:color="auto"/>
              <w:right w:val="single" w:sz="4" w:space="0" w:color="auto"/>
            </w:tcBorders>
            <w:vAlign w:val="center"/>
          </w:tcPr>
          <w:p w14:paraId="781866C3" w14:textId="77777777" w:rsidR="00C30FC0" w:rsidRDefault="00C30FC0" w:rsidP="00FB6EE0">
            <w:pPr>
              <w:spacing w:line="360" w:lineRule="exact"/>
              <w:ind w:firstLineChars="0" w:firstLine="0"/>
              <w:jc w:val="center"/>
              <w:rPr>
                <w:rFonts w:cs="Times New Roman"/>
                <w:kern w:val="0"/>
                <w:sz w:val="21"/>
                <w:szCs w:val="21"/>
              </w:rPr>
            </w:pPr>
            <w:r>
              <w:rPr>
                <w:rFonts w:cs="Times New Roman"/>
                <w:kern w:val="0"/>
                <w:sz w:val="21"/>
                <w:szCs w:val="21"/>
              </w:rPr>
              <w:t>硝酸铵</w:t>
            </w:r>
          </w:p>
        </w:tc>
        <w:tc>
          <w:tcPr>
            <w:tcW w:w="1814" w:type="dxa"/>
            <w:tcBorders>
              <w:top w:val="single" w:sz="4" w:space="0" w:color="auto"/>
              <w:left w:val="nil"/>
              <w:bottom w:val="single" w:sz="4" w:space="0" w:color="auto"/>
              <w:right w:val="single" w:sz="4" w:space="0" w:color="auto"/>
            </w:tcBorders>
            <w:vAlign w:val="center"/>
          </w:tcPr>
          <w:p w14:paraId="5B2B3176" w14:textId="77777777" w:rsidR="00C30FC0" w:rsidRDefault="00C30FC0" w:rsidP="00FB6EE0">
            <w:pPr>
              <w:spacing w:line="360" w:lineRule="exact"/>
              <w:ind w:firstLineChars="0" w:firstLine="0"/>
              <w:jc w:val="center"/>
              <w:rPr>
                <w:rFonts w:cs="Times New Roman"/>
                <w:kern w:val="0"/>
                <w:sz w:val="21"/>
                <w:szCs w:val="21"/>
              </w:rPr>
            </w:pPr>
            <w:r>
              <w:rPr>
                <w:rFonts w:cs="Times New Roman"/>
                <w:kern w:val="0"/>
                <w:sz w:val="21"/>
                <w:szCs w:val="21"/>
              </w:rPr>
              <w:t>二硝基甲苯油</w:t>
            </w:r>
          </w:p>
        </w:tc>
        <w:tc>
          <w:tcPr>
            <w:tcW w:w="1098" w:type="dxa"/>
            <w:tcBorders>
              <w:top w:val="single" w:sz="4" w:space="0" w:color="auto"/>
              <w:left w:val="nil"/>
              <w:bottom w:val="single" w:sz="4" w:space="0" w:color="auto"/>
              <w:right w:val="single" w:sz="4" w:space="0" w:color="auto"/>
            </w:tcBorders>
            <w:vAlign w:val="center"/>
          </w:tcPr>
          <w:p w14:paraId="231567FE" w14:textId="77777777" w:rsidR="00C30FC0" w:rsidRDefault="00C30FC0" w:rsidP="00FB6EE0">
            <w:pPr>
              <w:spacing w:line="360" w:lineRule="exact"/>
              <w:ind w:firstLineChars="0" w:firstLine="0"/>
              <w:jc w:val="center"/>
              <w:rPr>
                <w:rFonts w:cs="Times New Roman"/>
                <w:kern w:val="0"/>
                <w:sz w:val="21"/>
                <w:szCs w:val="21"/>
              </w:rPr>
            </w:pPr>
            <w:r>
              <w:rPr>
                <w:rFonts w:cs="Times New Roman"/>
                <w:kern w:val="0"/>
                <w:sz w:val="21"/>
                <w:szCs w:val="21"/>
              </w:rPr>
              <w:t>木粉</w:t>
            </w:r>
          </w:p>
        </w:tc>
        <w:tc>
          <w:tcPr>
            <w:tcW w:w="1266" w:type="dxa"/>
            <w:tcBorders>
              <w:top w:val="single" w:sz="4" w:space="0" w:color="auto"/>
              <w:left w:val="nil"/>
              <w:bottom w:val="single" w:sz="4" w:space="0" w:color="auto"/>
              <w:right w:val="single" w:sz="4" w:space="0" w:color="auto"/>
            </w:tcBorders>
            <w:vAlign w:val="center"/>
          </w:tcPr>
          <w:p w14:paraId="074332E0" w14:textId="77777777" w:rsidR="00C30FC0" w:rsidRDefault="00C30FC0" w:rsidP="00FB6EE0">
            <w:pPr>
              <w:spacing w:line="360" w:lineRule="exact"/>
              <w:ind w:firstLineChars="0" w:firstLine="0"/>
              <w:jc w:val="center"/>
              <w:rPr>
                <w:rFonts w:cs="Times New Roman"/>
                <w:kern w:val="0"/>
                <w:sz w:val="21"/>
                <w:szCs w:val="21"/>
              </w:rPr>
            </w:pPr>
            <w:r>
              <w:rPr>
                <w:rFonts w:cs="Times New Roman"/>
                <w:kern w:val="0"/>
                <w:sz w:val="21"/>
                <w:szCs w:val="21"/>
              </w:rPr>
              <w:t>表面活性剂</w:t>
            </w:r>
          </w:p>
        </w:tc>
        <w:tc>
          <w:tcPr>
            <w:tcW w:w="1070" w:type="dxa"/>
            <w:tcBorders>
              <w:top w:val="single" w:sz="4" w:space="0" w:color="auto"/>
              <w:left w:val="nil"/>
              <w:bottom w:val="single" w:sz="4" w:space="0" w:color="auto"/>
              <w:right w:val="single" w:sz="4" w:space="0" w:color="auto"/>
            </w:tcBorders>
            <w:vAlign w:val="center"/>
          </w:tcPr>
          <w:p w14:paraId="3803664F" w14:textId="77777777" w:rsidR="00C30FC0" w:rsidRDefault="00C30FC0" w:rsidP="00FB6EE0">
            <w:pPr>
              <w:spacing w:line="360" w:lineRule="exact"/>
              <w:ind w:firstLineChars="0" w:firstLine="0"/>
              <w:jc w:val="center"/>
              <w:rPr>
                <w:rFonts w:cs="Times New Roman"/>
                <w:kern w:val="0"/>
                <w:sz w:val="21"/>
                <w:szCs w:val="21"/>
              </w:rPr>
            </w:pPr>
            <w:r>
              <w:rPr>
                <w:rFonts w:cs="Times New Roman" w:hint="eastAsia"/>
                <w:kern w:val="0"/>
                <w:sz w:val="21"/>
                <w:szCs w:val="21"/>
              </w:rPr>
              <w:t>合计</w:t>
            </w:r>
          </w:p>
        </w:tc>
      </w:tr>
      <w:tr w:rsidR="00C30FC0" w14:paraId="6E4695BD" w14:textId="77777777" w:rsidTr="00FB6EE0">
        <w:trPr>
          <w:trHeight w:val="270"/>
        </w:trPr>
        <w:tc>
          <w:tcPr>
            <w:tcW w:w="1477" w:type="dxa"/>
            <w:tcBorders>
              <w:top w:val="single" w:sz="4" w:space="0" w:color="auto"/>
              <w:left w:val="single" w:sz="4" w:space="0" w:color="auto"/>
              <w:bottom w:val="single" w:sz="4" w:space="0" w:color="auto"/>
              <w:right w:val="single" w:sz="4" w:space="0" w:color="auto"/>
            </w:tcBorders>
            <w:vAlign w:val="center"/>
          </w:tcPr>
          <w:p w14:paraId="34A86081" w14:textId="77777777" w:rsidR="00C30FC0" w:rsidRDefault="00C30FC0" w:rsidP="00FB6EE0">
            <w:pPr>
              <w:spacing w:line="360" w:lineRule="exact"/>
              <w:ind w:firstLineChars="0" w:firstLine="0"/>
              <w:jc w:val="center"/>
              <w:rPr>
                <w:rFonts w:cs="Times New Roman"/>
                <w:kern w:val="0"/>
                <w:sz w:val="21"/>
                <w:szCs w:val="21"/>
              </w:rPr>
            </w:pPr>
            <w:r>
              <w:rPr>
                <w:rFonts w:cs="Times New Roman"/>
                <w:kern w:val="0"/>
                <w:sz w:val="21"/>
                <w:szCs w:val="21"/>
              </w:rPr>
              <w:t>膨化硝铵炸药</w:t>
            </w:r>
          </w:p>
        </w:tc>
        <w:tc>
          <w:tcPr>
            <w:tcW w:w="1571" w:type="dxa"/>
            <w:tcBorders>
              <w:top w:val="single" w:sz="4" w:space="0" w:color="auto"/>
              <w:left w:val="nil"/>
              <w:bottom w:val="single" w:sz="4" w:space="0" w:color="auto"/>
              <w:right w:val="single" w:sz="4" w:space="0" w:color="auto"/>
            </w:tcBorders>
            <w:vAlign w:val="center"/>
          </w:tcPr>
          <w:p w14:paraId="3A8AFED1" w14:textId="77777777" w:rsidR="00C30FC0" w:rsidRDefault="00C30FC0" w:rsidP="00FB6EE0">
            <w:pPr>
              <w:spacing w:line="360" w:lineRule="exact"/>
              <w:ind w:firstLineChars="0" w:firstLine="0"/>
              <w:jc w:val="center"/>
              <w:rPr>
                <w:rFonts w:cs="Times New Roman"/>
                <w:kern w:val="0"/>
                <w:sz w:val="21"/>
                <w:szCs w:val="21"/>
              </w:rPr>
            </w:pPr>
            <w:r>
              <w:rPr>
                <w:rFonts w:cs="Times New Roman"/>
                <w:kern w:val="0"/>
                <w:sz w:val="21"/>
                <w:szCs w:val="21"/>
              </w:rPr>
              <w:t>92%</w:t>
            </w:r>
          </w:p>
        </w:tc>
        <w:tc>
          <w:tcPr>
            <w:tcW w:w="1814" w:type="dxa"/>
            <w:tcBorders>
              <w:top w:val="single" w:sz="4" w:space="0" w:color="auto"/>
              <w:left w:val="nil"/>
              <w:bottom w:val="single" w:sz="4" w:space="0" w:color="auto"/>
              <w:right w:val="single" w:sz="4" w:space="0" w:color="auto"/>
            </w:tcBorders>
            <w:vAlign w:val="center"/>
          </w:tcPr>
          <w:p w14:paraId="015E7C7C" w14:textId="77777777" w:rsidR="00C30FC0" w:rsidRDefault="00C30FC0" w:rsidP="00FB6EE0">
            <w:pPr>
              <w:spacing w:line="360" w:lineRule="exact"/>
              <w:ind w:firstLineChars="0" w:firstLine="0"/>
              <w:jc w:val="center"/>
              <w:rPr>
                <w:rFonts w:cs="Times New Roman"/>
                <w:kern w:val="0"/>
                <w:sz w:val="21"/>
                <w:szCs w:val="21"/>
              </w:rPr>
            </w:pPr>
            <w:r>
              <w:rPr>
                <w:rFonts w:cs="Times New Roman" w:hint="eastAsia"/>
                <w:kern w:val="0"/>
                <w:sz w:val="21"/>
                <w:szCs w:val="21"/>
              </w:rPr>
              <w:t>4%</w:t>
            </w:r>
          </w:p>
        </w:tc>
        <w:tc>
          <w:tcPr>
            <w:tcW w:w="1098" w:type="dxa"/>
            <w:tcBorders>
              <w:top w:val="single" w:sz="4" w:space="0" w:color="auto"/>
              <w:left w:val="nil"/>
              <w:bottom w:val="single" w:sz="4" w:space="0" w:color="auto"/>
              <w:right w:val="single" w:sz="4" w:space="0" w:color="auto"/>
            </w:tcBorders>
            <w:vAlign w:val="center"/>
          </w:tcPr>
          <w:p w14:paraId="20DA4B62" w14:textId="77777777" w:rsidR="00C30FC0" w:rsidRDefault="00C30FC0" w:rsidP="00FB6EE0">
            <w:pPr>
              <w:spacing w:line="360" w:lineRule="exact"/>
              <w:ind w:firstLineChars="0" w:firstLine="0"/>
              <w:jc w:val="center"/>
              <w:rPr>
                <w:rFonts w:cs="Times New Roman"/>
                <w:kern w:val="0"/>
                <w:sz w:val="21"/>
                <w:szCs w:val="21"/>
              </w:rPr>
            </w:pPr>
            <w:r>
              <w:rPr>
                <w:rFonts w:cs="Times New Roman" w:hint="eastAsia"/>
                <w:kern w:val="0"/>
                <w:sz w:val="21"/>
                <w:szCs w:val="21"/>
              </w:rPr>
              <w:t>3.85%</w:t>
            </w:r>
          </w:p>
        </w:tc>
        <w:tc>
          <w:tcPr>
            <w:tcW w:w="1266" w:type="dxa"/>
            <w:tcBorders>
              <w:top w:val="single" w:sz="4" w:space="0" w:color="auto"/>
              <w:left w:val="nil"/>
              <w:bottom w:val="single" w:sz="4" w:space="0" w:color="auto"/>
              <w:right w:val="single" w:sz="4" w:space="0" w:color="auto"/>
            </w:tcBorders>
            <w:vAlign w:val="center"/>
          </w:tcPr>
          <w:p w14:paraId="718ABA21" w14:textId="77777777" w:rsidR="00C30FC0" w:rsidRDefault="00C30FC0" w:rsidP="00FB6EE0">
            <w:pPr>
              <w:spacing w:line="360" w:lineRule="exact"/>
              <w:ind w:firstLineChars="0" w:firstLine="0"/>
              <w:jc w:val="center"/>
              <w:rPr>
                <w:rFonts w:cs="Times New Roman"/>
                <w:kern w:val="0"/>
                <w:sz w:val="21"/>
                <w:szCs w:val="21"/>
              </w:rPr>
            </w:pPr>
            <w:r>
              <w:rPr>
                <w:rFonts w:cs="Times New Roman" w:hint="eastAsia"/>
                <w:kern w:val="0"/>
                <w:sz w:val="21"/>
                <w:szCs w:val="21"/>
              </w:rPr>
              <w:t>0.15%</w:t>
            </w:r>
          </w:p>
        </w:tc>
        <w:tc>
          <w:tcPr>
            <w:tcW w:w="1070" w:type="dxa"/>
            <w:tcBorders>
              <w:top w:val="single" w:sz="4" w:space="0" w:color="auto"/>
              <w:left w:val="nil"/>
              <w:bottom w:val="single" w:sz="4" w:space="0" w:color="auto"/>
              <w:right w:val="single" w:sz="4" w:space="0" w:color="auto"/>
            </w:tcBorders>
            <w:vAlign w:val="center"/>
          </w:tcPr>
          <w:p w14:paraId="72136CEC" w14:textId="77777777" w:rsidR="00C30FC0" w:rsidRDefault="00C30FC0" w:rsidP="00FB6EE0">
            <w:pPr>
              <w:spacing w:line="360" w:lineRule="exact"/>
              <w:ind w:firstLineChars="0" w:firstLine="0"/>
              <w:jc w:val="center"/>
              <w:rPr>
                <w:rFonts w:cs="Times New Roman"/>
                <w:kern w:val="0"/>
                <w:sz w:val="21"/>
                <w:szCs w:val="21"/>
              </w:rPr>
            </w:pPr>
            <w:r>
              <w:rPr>
                <w:rFonts w:cs="Times New Roman" w:hint="eastAsia"/>
                <w:kern w:val="0"/>
                <w:sz w:val="21"/>
                <w:szCs w:val="21"/>
              </w:rPr>
              <w:t>100%</w:t>
            </w:r>
          </w:p>
        </w:tc>
      </w:tr>
    </w:tbl>
    <w:p w14:paraId="24EB652E" w14:textId="3CB73694" w:rsidR="00C30FC0" w:rsidRDefault="00C30FC0" w:rsidP="00C30FC0">
      <w:pPr>
        <w:widowControl w:val="0"/>
        <w:adjustRightInd w:val="0"/>
        <w:snapToGrid w:val="0"/>
        <w:spacing w:line="520" w:lineRule="exact"/>
        <w:jc w:val="center"/>
        <w:rPr>
          <w:rFonts w:eastAsia="黑体" w:cs="Times New Roman"/>
          <w:szCs w:val="24"/>
        </w:rPr>
      </w:pPr>
      <w:r>
        <w:rPr>
          <w:rFonts w:ascii="黑体" w:eastAsia="黑体" w:hAnsi="黑体" w:cs="Times New Roman" w:hint="eastAsia"/>
          <w:szCs w:val="24"/>
        </w:rPr>
        <w:t>表</w:t>
      </w:r>
      <w:r>
        <w:rPr>
          <w:rFonts w:eastAsia="黑体" w:cs="Times New Roman" w:hint="eastAsia"/>
          <w:szCs w:val="24"/>
        </w:rPr>
        <w:t>5</w:t>
      </w:r>
      <w:r>
        <w:rPr>
          <w:rFonts w:eastAsia="黑体" w:cs="Times New Roman"/>
          <w:szCs w:val="24"/>
        </w:rPr>
        <w:t>.3-</w:t>
      </w:r>
      <w:r w:rsidR="00FB6EE0">
        <w:rPr>
          <w:rFonts w:eastAsia="黑体" w:cs="Times New Roman" w:hint="eastAsia"/>
          <w:szCs w:val="24"/>
        </w:rPr>
        <w:t>3</w:t>
      </w:r>
      <w:r>
        <w:rPr>
          <w:rFonts w:ascii="黑体" w:eastAsia="黑体" w:hAnsi="黑体" w:cs="Times New Roman" w:hint="eastAsia"/>
          <w:szCs w:val="24"/>
        </w:rPr>
        <w:t>硝酸铵的理化特性一览表</w:t>
      </w:r>
    </w:p>
    <w:tbl>
      <w:tblPr>
        <w:tblW w:w="8290"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91"/>
        <w:gridCol w:w="1500"/>
        <w:gridCol w:w="567"/>
        <w:gridCol w:w="667"/>
        <w:gridCol w:w="211"/>
        <w:gridCol w:w="1489"/>
        <w:gridCol w:w="119"/>
        <w:gridCol w:w="536"/>
        <w:gridCol w:w="10"/>
        <w:gridCol w:w="1956"/>
        <w:gridCol w:w="444"/>
      </w:tblGrid>
      <w:tr w:rsidR="00C30FC0" w14:paraId="1278FCD3" w14:textId="77777777" w:rsidTr="00FB6EE0">
        <w:trPr>
          <w:jc w:val="center"/>
        </w:trPr>
        <w:tc>
          <w:tcPr>
            <w:tcW w:w="791" w:type="dxa"/>
            <w:vMerge w:val="restart"/>
            <w:tcBorders>
              <w:top w:val="single" w:sz="6" w:space="0" w:color="auto"/>
              <w:left w:val="single" w:sz="6" w:space="0" w:color="auto"/>
              <w:bottom w:val="single" w:sz="6" w:space="0" w:color="auto"/>
              <w:right w:val="single" w:sz="6" w:space="0" w:color="auto"/>
            </w:tcBorders>
            <w:vAlign w:val="center"/>
          </w:tcPr>
          <w:p w14:paraId="75955060"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标识</w:t>
            </w:r>
          </w:p>
        </w:tc>
        <w:tc>
          <w:tcPr>
            <w:tcW w:w="5089" w:type="dxa"/>
            <w:gridSpan w:val="7"/>
            <w:tcBorders>
              <w:top w:val="single" w:sz="6" w:space="0" w:color="auto"/>
              <w:left w:val="nil"/>
              <w:bottom w:val="single" w:sz="6" w:space="0" w:color="auto"/>
              <w:right w:val="single" w:sz="6" w:space="0" w:color="auto"/>
            </w:tcBorders>
            <w:vAlign w:val="center"/>
          </w:tcPr>
          <w:p w14:paraId="7C397BB1"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中文名：</w:t>
            </w:r>
            <w:r>
              <w:rPr>
                <w:rFonts w:cs="Times New Roman" w:hint="eastAsia"/>
                <w:spacing w:val="10"/>
                <w:sz w:val="21"/>
                <w:szCs w:val="21"/>
              </w:rPr>
              <w:t>硝酸铵</w:t>
            </w:r>
          </w:p>
        </w:tc>
        <w:tc>
          <w:tcPr>
            <w:tcW w:w="2410" w:type="dxa"/>
            <w:gridSpan w:val="3"/>
            <w:tcBorders>
              <w:top w:val="single" w:sz="6" w:space="0" w:color="auto"/>
              <w:left w:val="nil"/>
              <w:bottom w:val="single" w:sz="6" w:space="0" w:color="auto"/>
              <w:right w:val="single" w:sz="6" w:space="0" w:color="auto"/>
            </w:tcBorders>
            <w:vAlign w:val="center"/>
          </w:tcPr>
          <w:p w14:paraId="444B2937"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危险货物编号：</w:t>
            </w:r>
          </w:p>
        </w:tc>
      </w:tr>
      <w:tr w:rsidR="00C30FC0" w14:paraId="16133425" w14:textId="77777777" w:rsidTr="00FB6EE0">
        <w:trPr>
          <w:jc w:val="center"/>
        </w:trPr>
        <w:tc>
          <w:tcPr>
            <w:tcW w:w="791" w:type="dxa"/>
            <w:vMerge/>
            <w:tcBorders>
              <w:top w:val="single" w:sz="6" w:space="0" w:color="auto"/>
              <w:left w:val="single" w:sz="6" w:space="0" w:color="auto"/>
              <w:bottom w:val="single" w:sz="6" w:space="0" w:color="auto"/>
              <w:right w:val="single" w:sz="6" w:space="0" w:color="auto"/>
            </w:tcBorders>
            <w:vAlign w:val="center"/>
          </w:tcPr>
          <w:p w14:paraId="4687D5F6" w14:textId="77777777" w:rsidR="00C30FC0" w:rsidRDefault="00C30FC0" w:rsidP="00FB6EE0">
            <w:pPr>
              <w:spacing w:line="240" w:lineRule="auto"/>
              <w:ind w:firstLineChars="0" w:firstLine="0"/>
              <w:rPr>
                <w:rFonts w:cs="Times New Roman"/>
                <w:spacing w:val="10"/>
                <w:sz w:val="21"/>
                <w:szCs w:val="21"/>
              </w:rPr>
            </w:pPr>
          </w:p>
        </w:tc>
        <w:tc>
          <w:tcPr>
            <w:tcW w:w="5089" w:type="dxa"/>
            <w:gridSpan w:val="7"/>
            <w:tcBorders>
              <w:top w:val="single" w:sz="6" w:space="0" w:color="auto"/>
              <w:left w:val="nil"/>
              <w:bottom w:val="single" w:sz="6" w:space="0" w:color="auto"/>
              <w:right w:val="single" w:sz="6" w:space="0" w:color="auto"/>
            </w:tcBorders>
            <w:vAlign w:val="center"/>
          </w:tcPr>
          <w:p w14:paraId="642817C1"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英文名：</w:t>
            </w:r>
            <w:r>
              <w:rPr>
                <w:rFonts w:cs="Times New Roman"/>
                <w:spacing w:val="10"/>
                <w:sz w:val="21"/>
                <w:szCs w:val="21"/>
              </w:rPr>
              <w:t>Ammoniumnitrate</w:t>
            </w:r>
          </w:p>
        </w:tc>
        <w:tc>
          <w:tcPr>
            <w:tcW w:w="2410" w:type="dxa"/>
            <w:gridSpan w:val="3"/>
            <w:tcBorders>
              <w:top w:val="single" w:sz="6" w:space="0" w:color="auto"/>
              <w:left w:val="nil"/>
              <w:bottom w:val="single" w:sz="6" w:space="0" w:color="auto"/>
              <w:right w:val="single" w:sz="6" w:space="0" w:color="auto"/>
            </w:tcBorders>
            <w:vAlign w:val="center"/>
          </w:tcPr>
          <w:p w14:paraId="71243BB3"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UN</w:t>
            </w:r>
            <w:r>
              <w:rPr>
                <w:rFonts w:ascii="宋体" w:hAnsi="宋体" w:cs="Times New Roman"/>
                <w:spacing w:val="10"/>
                <w:sz w:val="21"/>
                <w:szCs w:val="21"/>
              </w:rPr>
              <w:t>编号：</w:t>
            </w:r>
            <w:r>
              <w:rPr>
                <w:rFonts w:cs="Times New Roman" w:hint="eastAsia"/>
                <w:spacing w:val="10"/>
                <w:sz w:val="21"/>
                <w:szCs w:val="21"/>
              </w:rPr>
              <w:t>1942.5.1/PG3</w:t>
            </w:r>
          </w:p>
        </w:tc>
      </w:tr>
      <w:tr w:rsidR="00C30FC0" w14:paraId="2905023D" w14:textId="77777777" w:rsidTr="00FB6EE0">
        <w:trPr>
          <w:jc w:val="center"/>
        </w:trPr>
        <w:tc>
          <w:tcPr>
            <w:tcW w:w="791" w:type="dxa"/>
            <w:vMerge/>
            <w:tcBorders>
              <w:top w:val="single" w:sz="6" w:space="0" w:color="auto"/>
              <w:left w:val="single" w:sz="6" w:space="0" w:color="auto"/>
              <w:bottom w:val="single" w:sz="6" w:space="0" w:color="auto"/>
              <w:right w:val="single" w:sz="6" w:space="0" w:color="auto"/>
            </w:tcBorders>
            <w:vAlign w:val="center"/>
          </w:tcPr>
          <w:p w14:paraId="79C43B7E" w14:textId="77777777" w:rsidR="00C30FC0" w:rsidRDefault="00C30FC0" w:rsidP="00FB6EE0">
            <w:pPr>
              <w:spacing w:line="240" w:lineRule="auto"/>
              <w:ind w:firstLineChars="0" w:firstLine="0"/>
              <w:rPr>
                <w:rFonts w:cs="Times New Roman"/>
                <w:spacing w:val="10"/>
                <w:sz w:val="21"/>
                <w:szCs w:val="21"/>
              </w:rPr>
            </w:pPr>
          </w:p>
        </w:tc>
        <w:tc>
          <w:tcPr>
            <w:tcW w:w="2067" w:type="dxa"/>
            <w:gridSpan w:val="2"/>
            <w:tcBorders>
              <w:top w:val="single" w:sz="6" w:space="0" w:color="auto"/>
              <w:left w:val="nil"/>
              <w:bottom w:val="single" w:sz="6" w:space="0" w:color="auto"/>
              <w:right w:val="single" w:sz="6" w:space="0" w:color="auto"/>
            </w:tcBorders>
            <w:vAlign w:val="center"/>
          </w:tcPr>
          <w:p w14:paraId="782B389F"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分子式：</w:t>
            </w:r>
            <w:r>
              <w:rPr>
                <w:rFonts w:cs="Times New Roman"/>
                <w:spacing w:val="10"/>
                <w:sz w:val="21"/>
                <w:szCs w:val="21"/>
              </w:rPr>
              <w:t>NH</w:t>
            </w:r>
            <w:r>
              <w:rPr>
                <w:rFonts w:cs="Times New Roman"/>
                <w:spacing w:val="10"/>
                <w:sz w:val="21"/>
                <w:szCs w:val="21"/>
                <w:vertAlign w:val="subscript"/>
              </w:rPr>
              <w:t>4</w:t>
            </w:r>
            <w:r>
              <w:rPr>
                <w:rFonts w:cs="Times New Roman"/>
                <w:spacing w:val="10"/>
                <w:sz w:val="21"/>
                <w:szCs w:val="21"/>
              </w:rPr>
              <w:t>NO</w:t>
            </w:r>
            <w:r>
              <w:rPr>
                <w:rFonts w:cs="Times New Roman"/>
                <w:spacing w:val="10"/>
                <w:sz w:val="21"/>
                <w:szCs w:val="21"/>
                <w:vertAlign w:val="subscript"/>
              </w:rPr>
              <w:t>3</w:t>
            </w:r>
          </w:p>
        </w:tc>
        <w:tc>
          <w:tcPr>
            <w:tcW w:w="3022" w:type="dxa"/>
            <w:gridSpan w:val="5"/>
            <w:tcBorders>
              <w:top w:val="single" w:sz="6" w:space="0" w:color="auto"/>
              <w:left w:val="nil"/>
              <w:bottom w:val="single" w:sz="6" w:space="0" w:color="auto"/>
              <w:right w:val="single" w:sz="6" w:space="0" w:color="auto"/>
            </w:tcBorders>
            <w:vAlign w:val="center"/>
          </w:tcPr>
          <w:p w14:paraId="2D2822AD"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分子量：</w:t>
            </w:r>
            <w:r>
              <w:rPr>
                <w:rFonts w:cs="Times New Roman"/>
                <w:spacing w:val="10"/>
                <w:sz w:val="21"/>
                <w:szCs w:val="21"/>
              </w:rPr>
              <w:t>80.0434</w:t>
            </w:r>
          </w:p>
        </w:tc>
        <w:tc>
          <w:tcPr>
            <w:tcW w:w="2410" w:type="dxa"/>
            <w:gridSpan w:val="3"/>
            <w:tcBorders>
              <w:top w:val="single" w:sz="6" w:space="0" w:color="auto"/>
              <w:left w:val="nil"/>
              <w:bottom w:val="single" w:sz="6" w:space="0" w:color="auto"/>
              <w:right w:val="single" w:sz="6" w:space="0" w:color="auto"/>
            </w:tcBorders>
            <w:vAlign w:val="center"/>
          </w:tcPr>
          <w:p w14:paraId="77C70483"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CAS</w:t>
            </w:r>
            <w:r>
              <w:rPr>
                <w:rFonts w:ascii="宋体" w:hAnsi="宋体" w:cs="Times New Roman"/>
                <w:spacing w:val="10"/>
                <w:sz w:val="21"/>
                <w:szCs w:val="21"/>
              </w:rPr>
              <w:t>号：</w:t>
            </w:r>
            <w:r>
              <w:rPr>
                <w:rFonts w:cs="Times New Roman" w:hint="eastAsia"/>
                <w:sz w:val="21"/>
                <w:szCs w:val="21"/>
              </w:rPr>
              <w:t>6484-52-2</w:t>
            </w:r>
          </w:p>
        </w:tc>
      </w:tr>
      <w:tr w:rsidR="00C30FC0" w14:paraId="14BCD387" w14:textId="77777777" w:rsidTr="00FB6EE0">
        <w:trPr>
          <w:jc w:val="center"/>
        </w:trPr>
        <w:tc>
          <w:tcPr>
            <w:tcW w:w="791" w:type="dxa"/>
            <w:vMerge w:val="restart"/>
            <w:tcBorders>
              <w:top w:val="nil"/>
              <w:left w:val="single" w:sz="6" w:space="0" w:color="auto"/>
              <w:bottom w:val="single" w:sz="6" w:space="0" w:color="auto"/>
              <w:right w:val="single" w:sz="6" w:space="0" w:color="auto"/>
            </w:tcBorders>
            <w:vAlign w:val="center"/>
          </w:tcPr>
          <w:p w14:paraId="4033A052"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理性质</w:t>
            </w:r>
          </w:p>
        </w:tc>
        <w:tc>
          <w:tcPr>
            <w:tcW w:w="1500" w:type="dxa"/>
            <w:tcBorders>
              <w:top w:val="single" w:sz="6" w:space="0" w:color="auto"/>
              <w:left w:val="nil"/>
              <w:bottom w:val="single" w:sz="6" w:space="0" w:color="auto"/>
              <w:right w:val="single" w:sz="6" w:space="0" w:color="auto"/>
            </w:tcBorders>
            <w:vAlign w:val="center"/>
          </w:tcPr>
          <w:p w14:paraId="179A528B"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外观与性状</w:t>
            </w:r>
          </w:p>
        </w:tc>
        <w:tc>
          <w:tcPr>
            <w:tcW w:w="5999" w:type="dxa"/>
            <w:gridSpan w:val="9"/>
            <w:tcBorders>
              <w:top w:val="single" w:sz="6" w:space="0" w:color="auto"/>
              <w:left w:val="nil"/>
              <w:bottom w:val="single" w:sz="6" w:space="0" w:color="auto"/>
              <w:right w:val="single" w:sz="6" w:space="0" w:color="auto"/>
            </w:tcBorders>
            <w:vAlign w:val="center"/>
          </w:tcPr>
          <w:p w14:paraId="165D4F6D"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无色无臭</w:t>
            </w:r>
            <w:r>
              <w:rPr>
                <w:rFonts w:cs="Times New Roman" w:hint="eastAsia"/>
                <w:spacing w:val="10"/>
                <w:sz w:val="21"/>
                <w:szCs w:val="21"/>
              </w:rPr>
              <w:t>的透明结晶或呈白色的小颗粒，有潮解性</w:t>
            </w:r>
          </w:p>
        </w:tc>
      </w:tr>
      <w:tr w:rsidR="00C30FC0" w14:paraId="373DE277" w14:textId="77777777" w:rsidTr="00FB6EE0">
        <w:trPr>
          <w:jc w:val="center"/>
        </w:trPr>
        <w:tc>
          <w:tcPr>
            <w:tcW w:w="791" w:type="dxa"/>
            <w:vMerge/>
            <w:tcBorders>
              <w:top w:val="nil"/>
              <w:left w:val="single" w:sz="6" w:space="0" w:color="auto"/>
              <w:bottom w:val="single" w:sz="6" w:space="0" w:color="auto"/>
              <w:right w:val="single" w:sz="6" w:space="0" w:color="auto"/>
            </w:tcBorders>
            <w:vAlign w:val="center"/>
          </w:tcPr>
          <w:p w14:paraId="2B0BAE19"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7A22B691"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熔点（</w:t>
            </w:r>
            <w:r>
              <w:rPr>
                <w:rFonts w:ascii="宋体" w:hAnsi="宋体" w:cs="Times New Roman" w:hint="eastAsia"/>
                <w:spacing w:val="10"/>
                <w:sz w:val="21"/>
                <w:szCs w:val="21"/>
              </w:rPr>
              <w:t>℃</w:t>
            </w:r>
            <w:r>
              <w:rPr>
                <w:rFonts w:cs="Times New Roman"/>
                <w:spacing w:val="10"/>
                <w:sz w:val="21"/>
                <w:szCs w:val="21"/>
              </w:rPr>
              <w:t>）</w:t>
            </w:r>
          </w:p>
        </w:tc>
        <w:tc>
          <w:tcPr>
            <w:tcW w:w="1234" w:type="dxa"/>
            <w:gridSpan w:val="2"/>
            <w:tcBorders>
              <w:top w:val="single" w:sz="6" w:space="0" w:color="auto"/>
              <w:left w:val="nil"/>
              <w:bottom w:val="single" w:sz="6" w:space="0" w:color="auto"/>
              <w:right w:val="single" w:sz="6" w:space="0" w:color="auto"/>
            </w:tcBorders>
            <w:vAlign w:val="center"/>
          </w:tcPr>
          <w:p w14:paraId="20C2CF70"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z w:val="21"/>
                <w:szCs w:val="21"/>
              </w:rPr>
              <w:t>169.6</w:t>
            </w:r>
          </w:p>
        </w:tc>
        <w:tc>
          <w:tcPr>
            <w:tcW w:w="1700" w:type="dxa"/>
            <w:gridSpan w:val="2"/>
            <w:tcBorders>
              <w:top w:val="single" w:sz="6" w:space="0" w:color="auto"/>
              <w:left w:val="nil"/>
              <w:bottom w:val="single" w:sz="6" w:space="0" w:color="auto"/>
              <w:right w:val="single" w:sz="6" w:space="0" w:color="auto"/>
            </w:tcBorders>
            <w:vAlign w:val="center"/>
          </w:tcPr>
          <w:p w14:paraId="6C9CD1C7"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相对密度</w:t>
            </w:r>
            <w:r>
              <w:rPr>
                <w:rFonts w:cs="Times New Roman"/>
                <w:spacing w:val="10"/>
                <w:sz w:val="21"/>
                <w:szCs w:val="21"/>
              </w:rPr>
              <w:t>(</w:t>
            </w:r>
            <w:r>
              <w:rPr>
                <w:rFonts w:ascii="宋体" w:hAnsi="宋体" w:cs="Times New Roman"/>
                <w:spacing w:val="10"/>
                <w:sz w:val="21"/>
                <w:szCs w:val="21"/>
              </w:rPr>
              <w:t>水</w:t>
            </w:r>
            <w:r>
              <w:rPr>
                <w:rFonts w:cs="Times New Roman"/>
                <w:spacing w:val="10"/>
                <w:sz w:val="21"/>
                <w:szCs w:val="21"/>
              </w:rPr>
              <w:t>=1)</w:t>
            </w:r>
          </w:p>
        </w:tc>
        <w:tc>
          <w:tcPr>
            <w:tcW w:w="665" w:type="dxa"/>
            <w:gridSpan w:val="3"/>
            <w:tcBorders>
              <w:top w:val="single" w:sz="6" w:space="0" w:color="auto"/>
              <w:left w:val="nil"/>
              <w:bottom w:val="single" w:sz="6" w:space="0" w:color="auto"/>
              <w:right w:val="single" w:sz="6" w:space="0" w:color="auto"/>
            </w:tcBorders>
            <w:vAlign w:val="center"/>
          </w:tcPr>
          <w:p w14:paraId="5728B42E"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z w:val="21"/>
                <w:szCs w:val="21"/>
              </w:rPr>
              <w:t>1.72</w:t>
            </w:r>
          </w:p>
        </w:tc>
        <w:tc>
          <w:tcPr>
            <w:tcW w:w="1956" w:type="dxa"/>
            <w:tcBorders>
              <w:top w:val="single" w:sz="6" w:space="0" w:color="auto"/>
              <w:left w:val="nil"/>
              <w:bottom w:val="single" w:sz="6" w:space="0" w:color="auto"/>
              <w:right w:val="single" w:sz="6" w:space="0" w:color="auto"/>
            </w:tcBorders>
            <w:vAlign w:val="center"/>
          </w:tcPr>
          <w:p w14:paraId="4F953056"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相对密度</w:t>
            </w:r>
            <w:r>
              <w:rPr>
                <w:rFonts w:cs="Times New Roman"/>
                <w:spacing w:val="10"/>
                <w:sz w:val="21"/>
                <w:szCs w:val="21"/>
              </w:rPr>
              <w:t>(</w:t>
            </w:r>
            <w:r>
              <w:rPr>
                <w:rFonts w:ascii="宋体" w:hAnsi="宋体" w:cs="Times New Roman"/>
                <w:spacing w:val="10"/>
                <w:sz w:val="21"/>
                <w:szCs w:val="21"/>
              </w:rPr>
              <w:t>空气</w:t>
            </w:r>
            <w:r>
              <w:rPr>
                <w:rFonts w:cs="Times New Roman"/>
                <w:spacing w:val="10"/>
                <w:sz w:val="21"/>
                <w:szCs w:val="21"/>
              </w:rPr>
              <w:t>=1)</w:t>
            </w:r>
          </w:p>
        </w:tc>
        <w:tc>
          <w:tcPr>
            <w:tcW w:w="444" w:type="dxa"/>
            <w:tcBorders>
              <w:top w:val="single" w:sz="6" w:space="0" w:color="auto"/>
              <w:left w:val="nil"/>
              <w:bottom w:val="single" w:sz="6" w:space="0" w:color="auto"/>
              <w:right w:val="single" w:sz="6" w:space="0" w:color="auto"/>
            </w:tcBorders>
            <w:vAlign w:val="center"/>
          </w:tcPr>
          <w:p w14:paraId="296C351A"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w:t>
            </w:r>
          </w:p>
        </w:tc>
      </w:tr>
      <w:tr w:rsidR="00C30FC0" w14:paraId="68C6A1E6" w14:textId="77777777" w:rsidTr="00FB6EE0">
        <w:trPr>
          <w:jc w:val="center"/>
        </w:trPr>
        <w:tc>
          <w:tcPr>
            <w:tcW w:w="791" w:type="dxa"/>
            <w:vMerge/>
            <w:tcBorders>
              <w:top w:val="nil"/>
              <w:left w:val="single" w:sz="6" w:space="0" w:color="auto"/>
              <w:bottom w:val="single" w:sz="6" w:space="0" w:color="auto"/>
              <w:right w:val="single" w:sz="6" w:space="0" w:color="auto"/>
            </w:tcBorders>
            <w:vAlign w:val="center"/>
          </w:tcPr>
          <w:p w14:paraId="5C25B5A9"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2DB70AB5"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沸点（</w:t>
            </w:r>
            <w:r>
              <w:rPr>
                <w:rFonts w:ascii="宋体" w:hAnsi="宋体" w:cs="Times New Roman" w:hint="eastAsia"/>
                <w:spacing w:val="10"/>
                <w:sz w:val="21"/>
                <w:szCs w:val="21"/>
              </w:rPr>
              <w:t>℃</w:t>
            </w:r>
            <w:r>
              <w:rPr>
                <w:rFonts w:cs="Times New Roman"/>
                <w:spacing w:val="10"/>
                <w:sz w:val="21"/>
                <w:szCs w:val="21"/>
              </w:rPr>
              <w:t>）</w:t>
            </w:r>
          </w:p>
        </w:tc>
        <w:tc>
          <w:tcPr>
            <w:tcW w:w="1234" w:type="dxa"/>
            <w:gridSpan w:val="2"/>
            <w:tcBorders>
              <w:top w:val="single" w:sz="6" w:space="0" w:color="auto"/>
              <w:left w:val="nil"/>
              <w:bottom w:val="single" w:sz="6" w:space="0" w:color="auto"/>
              <w:right w:val="single" w:sz="6" w:space="0" w:color="auto"/>
            </w:tcBorders>
            <w:vAlign w:val="center"/>
          </w:tcPr>
          <w:p w14:paraId="62229453"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pacing w:val="10"/>
                <w:sz w:val="21"/>
                <w:szCs w:val="21"/>
              </w:rPr>
              <w:t>210</w:t>
            </w:r>
          </w:p>
        </w:tc>
        <w:tc>
          <w:tcPr>
            <w:tcW w:w="2365" w:type="dxa"/>
            <w:gridSpan w:val="5"/>
            <w:tcBorders>
              <w:top w:val="single" w:sz="6" w:space="0" w:color="auto"/>
              <w:left w:val="nil"/>
              <w:bottom w:val="single" w:sz="6" w:space="0" w:color="auto"/>
              <w:right w:val="single" w:sz="6" w:space="0" w:color="auto"/>
            </w:tcBorders>
            <w:vAlign w:val="center"/>
          </w:tcPr>
          <w:p w14:paraId="63A1146F"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饱和蒸气压（</w:t>
            </w:r>
            <w:r>
              <w:rPr>
                <w:rFonts w:cs="Times New Roman"/>
                <w:spacing w:val="10"/>
                <w:sz w:val="21"/>
                <w:szCs w:val="21"/>
              </w:rPr>
              <w:t>kPa</w:t>
            </w:r>
            <w:r>
              <w:rPr>
                <w:rFonts w:ascii="宋体" w:hAnsi="宋体" w:cs="Times New Roman"/>
                <w:spacing w:val="10"/>
                <w:sz w:val="21"/>
                <w:szCs w:val="21"/>
              </w:rPr>
              <w:t>）</w:t>
            </w:r>
          </w:p>
        </w:tc>
        <w:tc>
          <w:tcPr>
            <w:tcW w:w="2400" w:type="dxa"/>
            <w:gridSpan w:val="2"/>
            <w:tcBorders>
              <w:top w:val="single" w:sz="6" w:space="0" w:color="auto"/>
              <w:left w:val="nil"/>
              <w:bottom w:val="single" w:sz="6" w:space="0" w:color="auto"/>
              <w:right w:val="single" w:sz="6" w:space="0" w:color="auto"/>
            </w:tcBorders>
            <w:vAlign w:val="center"/>
          </w:tcPr>
          <w:p w14:paraId="3599CFD3"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w:t>
            </w:r>
          </w:p>
        </w:tc>
      </w:tr>
      <w:tr w:rsidR="00C30FC0" w14:paraId="47DA5355" w14:textId="77777777" w:rsidTr="00FB6EE0">
        <w:trPr>
          <w:jc w:val="center"/>
        </w:trPr>
        <w:tc>
          <w:tcPr>
            <w:tcW w:w="791" w:type="dxa"/>
            <w:vMerge/>
            <w:tcBorders>
              <w:top w:val="nil"/>
              <w:left w:val="single" w:sz="6" w:space="0" w:color="auto"/>
              <w:bottom w:val="single" w:sz="6" w:space="0" w:color="auto"/>
              <w:right w:val="single" w:sz="6" w:space="0" w:color="auto"/>
            </w:tcBorders>
            <w:vAlign w:val="center"/>
          </w:tcPr>
          <w:p w14:paraId="273DE300"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0C3A46CD"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溶解性</w:t>
            </w:r>
          </w:p>
        </w:tc>
        <w:tc>
          <w:tcPr>
            <w:tcW w:w="5999" w:type="dxa"/>
            <w:gridSpan w:val="9"/>
            <w:tcBorders>
              <w:top w:val="single" w:sz="6" w:space="0" w:color="auto"/>
              <w:left w:val="nil"/>
              <w:bottom w:val="single" w:sz="6" w:space="0" w:color="auto"/>
              <w:right w:val="single" w:sz="6" w:space="0" w:color="auto"/>
            </w:tcBorders>
            <w:vAlign w:val="center"/>
          </w:tcPr>
          <w:p w14:paraId="32BAEB1C"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hint="eastAsia"/>
                <w:sz w:val="21"/>
                <w:szCs w:val="21"/>
              </w:rPr>
              <w:t>易溶于水、丙酮、氨水，微溶于乙醇，不溶于乙醚。</w:t>
            </w:r>
          </w:p>
        </w:tc>
      </w:tr>
      <w:tr w:rsidR="00C30FC0" w14:paraId="260A088C" w14:textId="77777777" w:rsidTr="00FB6EE0">
        <w:trPr>
          <w:jc w:val="center"/>
        </w:trPr>
        <w:tc>
          <w:tcPr>
            <w:tcW w:w="791" w:type="dxa"/>
            <w:vMerge w:val="restart"/>
            <w:tcBorders>
              <w:top w:val="nil"/>
              <w:left w:val="single" w:sz="6" w:space="0" w:color="auto"/>
              <w:bottom w:val="single" w:sz="6" w:space="0" w:color="auto"/>
              <w:right w:val="single" w:sz="6" w:space="0" w:color="auto"/>
            </w:tcBorders>
            <w:vAlign w:val="center"/>
          </w:tcPr>
          <w:p w14:paraId="1DBBCCA2"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毒性及健康危害</w:t>
            </w:r>
          </w:p>
        </w:tc>
        <w:tc>
          <w:tcPr>
            <w:tcW w:w="1500" w:type="dxa"/>
            <w:tcBorders>
              <w:top w:val="single" w:sz="6" w:space="0" w:color="auto"/>
              <w:left w:val="nil"/>
              <w:bottom w:val="nil"/>
              <w:right w:val="single" w:sz="6" w:space="0" w:color="auto"/>
            </w:tcBorders>
            <w:vAlign w:val="center"/>
          </w:tcPr>
          <w:p w14:paraId="48A613C8"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侵入途径</w:t>
            </w:r>
          </w:p>
        </w:tc>
        <w:tc>
          <w:tcPr>
            <w:tcW w:w="5999" w:type="dxa"/>
            <w:gridSpan w:val="9"/>
            <w:tcBorders>
              <w:top w:val="single" w:sz="6" w:space="0" w:color="auto"/>
              <w:left w:val="nil"/>
              <w:bottom w:val="nil"/>
              <w:right w:val="single" w:sz="4" w:space="0" w:color="auto"/>
            </w:tcBorders>
            <w:vAlign w:val="center"/>
          </w:tcPr>
          <w:p w14:paraId="2651AA96"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w:t>
            </w:r>
          </w:p>
        </w:tc>
      </w:tr>
      <w:tr w:rsidR="00C30FC0" w14:paraId="365EF6FD" w14:textId="77777777" w:rsidTr="00FB6EE0">
        <w:trPr>
          <w:jc w:val="center"/>
        </w:trPr>
        <w:tc>
          <w:tcPr>
            <w:tcW w:w="791" w:type="dxa"/>
            <w:vMerge/>
            <w:tcBorders>
              <w:top w:val="nil"/>
              <w:left w:val="single" w:sz="6" w:space="0" w:color="auto"/>
              <w:bottom w:val="single" w:sz="6" w:space="0" w:color="auto"/>
              <w:right w:val="single" w:sz="6" w:space="0" w:color="auto"/>
            </w:tcBorders>
            <w:vAlign w:val="center"/>
          </w:tcPr>
          <w:p w14:paraId="69F6A458"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360BBABB"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毒性</w:t>
            </w:r>
          </w:p>
        </w:tc>
        <w:tc>
          <w:tcPr>
            <w:tcW w:w="5999" w:type="dxa"/>
            <w:gridSpan w:val="9"/>
            <w:tcBorders>
              <w:top w:val="single" w:sz="6" w:space="0" w:color="auto"/>
              <w:left w:val="nil"/>
              <w:bottom w:val="single" w:sz="6" w:space="0" w:color="auto"/>
              <w:right w:val="single" w:sz="6" w:space="0" w:color="auto"/>
            </w:tcBorders>
            <w:vAlign w:val="center"/>
          </w:tcPr>
          <w:p w14:paraId="7B076DF3" w14:textId="77777777" w:rsidR="00C30FC0" w:rsidRDefault="00C30FC0" w:rsidP="00FB6EE0">
            <w:pPr>
              <w:widowControl w:val="0"/>
              <w:spacing w:line="360" w:lineRule="exact"/>
              <w:ind w:firstLineChars="0" w:firstLine="0"/>
              <w:contextualSpacing/>
              <w:jc w:val="both"/>
              <w:rPr>
                <w:rFonts w:cs="Times New Roman"/>
                <w:sz w:val="21"/>
                <w:szCs w:val="21"/>
              </w:rPr>
            </w:pPr>
            <w:r>
              <w:rPr>
                <w:rFonts w:cs="Times New Roman"/>
                <w:spacing w:val="10"/>
                <w:sz w:val="21"/>
                <w:szCs w:val="21"/>
              </w:rPr>
              <w:t>LD</w:t>
            </w:r>
            <w:r>
              <w:rPr>
                <w:rFonts w:cs="Times New Roman"/>
                <w:spacing w:val="10"/>
                <w:sz w:val="21"/>
                <w:szCs w:val="21"/>
                <w:vertAlign w:val="subscript"/>
              </w:rPr>
              <w:t>50</w:t>
            </w:r>
            <w:r>
              <w:rPr>
                <w:rFonts w:cs="Times New Roman"/>
                <w:spacing w:val="10"/>
                <w:sz w:val="21"/>
                <w:szCs w:val="21"/>
              </w:rPr>
              <w:t>：</w:t>
            </w:r>
            <w:r>
              <w:rPr>
                <w:rFonts w:cs="Times New Roman" w:hint="eastAsia"/>
                <w:spacing w:val="10"/>
                <w:sz w:val="21"/>
                <w:szCs w:val="21"/>
              </w:rPr>
              <w:t>4820mg/kg</w:t>
            </w:r>
            <w:r>
              <w:rPr>
                <w:rFonts w:ascii="宋体" w:hAnsi="宋体" w:cs="Times New Roman" w:hint="eastAsia"/>
                <w:spacing w:val="10"/>
                <w:sz w:val="21"/>
                <w:szCs w:val="21"/>
              </w:rPr>
              <w:t>（小鼠经口）</w:t>
            </w:r>
          </w:p>
          <w:p w14:paraId="6711F132"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LC</w:t>
            </w:r>
            <w:r>
              <w:rPr>
                <w:rFonts w:cs="Times New Roman"/>
                <w:spacing w:val="10"/>
                <w:sz w:val="21"/>
                <w:szCs w:val="21"/>
                <w:vertAlign w:val="subscript"/>
              </w:rPr>
              <w:t>50</w:t>
            </w:r>
            <w:r>
              <w:rPr>
                <w:rFonts w:cs="Times New Roman"/>
                <w:spacing w:val="10"/>
                <w:sz w:val="21"/>
                <w:szCs w:val="21"/>
              </w:rPr>
              <w:t>：</w:t>
            </w:r>
            <w:r>
              <w:rPr>
                <w:rFonts w:cs="Times New Roman"/>
                <w:spacing w:val="10"/>
                <w:sz w:val="21"/>
                <w:szCs w:val="21"/>
              </w:rPr>
              <w:t>/</w:t>
            </w:r>
          </w:p>
        </w:tc>
      </w:tr>
      <w:tr w:rsidR="00C30FC0" w14:paraId="215D73F2" w14:textId="77777777" w:rsidTr="00FB6EE0">
        <w:trPr>
          <w:jc w:val="center"/>
        </w:trPr>
        <w:tc>
          <w:tcPr>
            <w:tcW w:w="791" w:type="dxa"/>
            <w:vMerge/>
            <w:tcBorders>
              <w:top w:val="nil"/>
              <w:left w:val="single" w:sz="6" w:space="0" w:color="auto"/>
              <w:bottom w:val="single" w:sz="6" w:space="0" w:color="auto"/>
              <w:right w:val="single" w:sz="6" w:space="0" w:color="auto"/>
            </w:tcBorders>
            <w:vAlign w:val="center"/>
          </w:tcPr>
          <w:p w14:paraId="743609FE"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4" w:space="0" w:color="auto"/>
              <w:right w:val="single" w:sz="6" w:space="0" w:color="auto"/>
            </w:tcBorders>
            <w:vAlign w:val="center"/>
          </w:tcPr>
          <w:p w14:paraId="582A5D6B"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健康危害</w:t>
            </w:r>
          </w:p>
        </w:tc>
        <w:tc>
          <w:tcPr>
            <w:tcW w:w="5999" w:type="dxa"/>
            <w:gridSpan w:val="9"/>
            <w:tcBorders>
              <w:top w:val="single" w:sz="6" w:space="0" w:color="auto"/>
              <w:left w:val="nil"/>
              <w:bottom w:val="single" w:sz="4" w:space="0" w:color="auto"/>
              <w:right w:val="single" w:sz="6" w:space="0" w:color="auto"/>
            </w:tcBorders>
            <w:vAlign w:val="center"/>
          </w:tcPr>
          <w:p w14:paraId="6C4EAD5B"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hint="eastAsia"/>
                <w:spacing w:val="10"/>
                <w:sz w:val="21"/>
                <w:szCs w:val="21"/>
              </w:rPr>
              <w:t>对呼吸道、</w:t>
            </w:r>
            <w:r>
              <w:rPr>
                <w:rFonts w:cs="Times New Roman"/>
                <w:spacing w:val="10"/>
                <w:sz w:val="21"/>
                <w:szCs w:val="21"/>
              </w:rPr>
              <w:t>眼及皮肤有刺激性</w:t>
            </w:r>
            <w:r>
              <w:rPr>
                <w:rFonts w:cs="Times New Roman" w:hint="eastAsia"/>
                <w:spacing w:val="10"/>
                <w:sz w:val="21"/>
                <w:szCs w:val="21"/>
              </w:rPr>
              <w:t>。</w:t>
            </w:r>
            <w:r>
              <w:rPr>
                <w:rFonts w:cs="Times New Roman"/>
                <w:spacing w:val="10"/>
                <w:sz w:val="21"/>
                <w:szCs w:val="21"/>
              </w:rPr>
              <w:t>接触后可引起恶心</w:t>
            </w:r>
            <w:r>
              <w:rPr>
                <w:rFonts w:cs="Times New Roman" w:hint="eastAsia"/>
                <w:spacing w:val="10"/>
                <w:sz w:val="21"/>
                <w:szCs w:val="21"/>
              </w:rPr>
              <w:t>、</w:t>
            </w:r>
            <w:r>
              <w:rPr>
                <w:rFonts w:cs="Times New Roman"/>
                <w:spacing w:val="10"/>
                <w:sz w:val="21"/>
                <w:szCs w:val="21"/>
              </w:rPr>
              <w:t>呕吐</w:t>
            </w:r>
            <w:r>
              <w:rPr>
                <w:rFonts w:cs="Times New Roman" w:hint="eastAsia"/>
                <w:spacing w:val="10"/>
                <w:sz w:val="21"/>
                <w:szCs w:val="21"/>
              </w:rPr>
              <w:t>、</w:t>
            </w:r>
            <w:r>
              <w:rPr>
                <w:rFonts w:cs="Times New Roman"/>
                <w:spacing w:val="10"/>
                <w:sz w:val="21"/>
                <w:szCs w:val="21"/>
              </w:rPr>
              <w:t>头痛</w:t>
            </w:r>
            <w:r>
              <w:rPr>
                <w:rFonts w:cs="Times New Roman" w:hint="eastAsia"/>
                <w:spacing w:val="10"/>
                <w:sz w:val="21"/>
                <w:szCs w:val="21"/>
              </w:rPr>
              <w:t>、</w:t>
            </w:r>
            <w:r>
              <w:rPr>
                <w:rFonts w:cs="Times New Roman"/>
                <w:spacing w:val="10"/>
                <w:sz w:val="21"/>
                <w:szCs w:val="21"/>
              </w:rPr>
              <w:t>虚弱</w:t>
            </w:r>
            <w:r>
              <w:rPr>
                <w:rFonts w:cs="Times New Roman" w:hint="eastAsia"/>
                <w:spacing w:val="10"/>
                <w:sz w:val="21"/>
                <w:szCs w:val="21"/>
              </w:rPr>
              <w:t>、</w:t>
            </w:r>
            <w:r>
              <w:rPr>
                <w:rFonts w:cs="Times New Roman"/>
                <w:spacing w:val="10"/>
                <w:sz w:val="21"/>
                <w:szCs w:val="21"/>
              </w:rPr>
              <w:t>无力和虚脱等</w:t>
            </w:r>
            <w:r>
              <w:rPr>
                <w:rFonts w:cs="Times New Roman" w:hint="eastAsia"/>
                <w:spacing w:val="10"/>
                <w:sz w:val="21"/>
                <w:szCs w:val="21"/>
              </w:rPr>
              <w:t>。</w:t>
            </w:r>
            <w:r>
              <w:rPr>
                <w:rFonts w:cs="Times New Roman"/>
                <w:spacing w:val="10"/>
                <w:sz w:val="21"/>
                <w:szCs w:val="21"/>
              </w:rPr>
              <w:t>大量接触可引起高铁血红蛋白白血症</w:t>
            </w:r>
            <w:r>
              <w:rPr>
                <w:rFonts w:cs="Times New Roman" w:hint="eastAsia"/>
                <w:spacing w:val="10"/>
                <w:sz w:val="21"/>
                <w:szCs w:val="21"/>
              </w:rPr>
              <w:t>，</w:t>
            </w:r>
            <w:r>
              <w:rPr>
                <w:rFonts w:cs="Times New Roman"/>
                <w:spacing w:val="10"/>
                <w:sz w:val="21"/>
                <w:szCs w:val="21"/>
              </w:rPr>
              <w:t>影响血液的携氧能力</w:t>
            </w:r>
            <w:r>
              <w:rPr>
                <w:rFonts w:cs="Times New Roman" w:hint="eastAsia"/>
                <w:spacing w:val="10"/>
                <w:sz w:val="21"/>
                <w:szCs w:val="21"/>
              </w:rPr>
              <w:t>，</w:t>
            </w:r>
            <w:r>
              <w:rPr>
                <w:rFonts w:cs="Times New Roman"/>
                <w:spacing w:val="10"/>
                <w:sz w:val="21"/>
                <w:szCs w:val="21"/>
              </w:rPr>
              <w:t>出现紫绀</w:t>
            </w:r>
            <w:r>
              <w:rPr>
                <w:rFonts w:cs="Times New Roman" w:hint="eastAsia"/>
                <w:spacing w:val="10"/>
                <w:sz w:val="21"/>
                <w:szCs w:val="21"/>
              </w:rPr>
              <w:t>、</w:t>
            </w:r>
            <w:r>
              <w:rPr>
                <w:rFonts w:cs="Times New Roman"/>
                <w:spacing w:val="10"/>
                <w:sz w:val="21"/>
                <w:szCs w:val="21"/>
              </w:rPr>
              <w:t>头痛</w:t>
            </w:r>
            <w:r>
              <w:rPr>
                <w:rFonts w:cs="Times New Roman" w:hint="eastAsia"/>
                <w:spacing w:val="10"/>
                <w:sz w:val="21"/>
                <w:szCs w:val="21"/>
              </w:rPr>
              <w:t>、</w:t>
            </w:r>
            <w:r>
              <w:rPr>
                <w:rFonts w:cs="Times New Roman"/>
                <w:spacing w:val="10"/>
                <w:sz w:val="21"/>
                <w:szCs w:val="21"/>
              </w:rPr>
              <w:t>头晕</w:t>
            </w:r>
            <w:r>
              <w:rPr>
                <w:rFonts w:cs="Times New Roman" w:hint="eastAsia"/>
                <w:spacing w:val="10"/>
                <w:sz w:val="21"/>
                <w:szCs w:val="21"/>
              </w:rPr>
              <w:t>、</w:t>
            </w:r>
            <w:r>
              <w:rPr>
                <w:rFonts w:cs="Times New Roman"/>
                <w:spacing w:val="10"/>
                <w:sz w:val="21"/>
                <w:szCs w:val="21"/>
              </w:rPr>
              <w:t>虚脱</w:t>
            </w:r>
            <w:r>
              <w:rPr>
                <w:rFonts w:cs="Times New Roman" w:hint="eastAsia"/>
                <w:spacing w:val="10"/>
                <w:sz w:val="21"/>
                <w:szCs w:val="21"/>
              </w:rPr>
              <w:t>，</w:t>
            </w:r>
            <w:r>
              <w:rPr>
                <w:rFonts w:cs="Times New Roman"/>
                <w:spacing w:val="10"/>
                <w:sz w:val="21"/>
                <w:szCs w:val="21"/>
              </w:rPr>
              <w:t>甚至死亡</w:t>
            </w:r>
            <w:r>
              <w:rPr>
                <w:rFonts w:cs="Times New Roman" w:hint="eastAsia"/>
                <w:spacing w:val="10"/>
                <w:sz w:val="21"/>
                <w:szCs w:val="21"/>
              </w:rPr>
              <w:t>。</w:t>
            </w:r>
            <w:r>
              <w:rPr>
                <w:rFonts w:cs="Times New Roman"/>
                <w:spacing w:val="10"/>
                <w:sz w:val="21"/>
                <w:szCs w:val="21"/>
              </w:rPr>
              <w:t>口服引起剧烈腹痛</w:t>
            </w:r>
            <w:r>
              <w:rPr>
                <w:rFonts w:cs="Times New Roman" w:hint="eastAsia"/>
                <w:spacing w:val="10"/>
                <w:sz w:val="21"/>
                <w:szCs w:val="21"/>
              </w:rPr>
              <w:t>、</w:t>
            </w:r>
            <w:r>
              <w:rPr>
                <w:rFonts w:cs="Times New Roman"/>
                <w:spacing w:val="10"/>
                <w:sz w:val="21"/>
                <w:szCs w:val="21"/>
              </w:rPr>
              <w:t>呕吐</w:t>
            </w:r>
            <w:r>
              <w:rPr>
                <w:rFonts w:cs="Times New Roman" w:hint="eastAsia"/>
                <w:spacing w:val="10"/>
                <w:sz w:val="21"/>
                <w:szCs w:val="21"/>
              </w:rPr>
              <w:t>、</w:t>
            </w:r>
            <w:r>
              <w:rPr>
                <w:rFonts w:cs="Times New Roman"/>
                <w:spacing w:val="10"/>
                <w:sz w:val="21"/>
                <w:szCs w:val="21"/>
              </w:rPr>
              <w:t>血便</w:t>
            </w:r>
            <w:r>
              <w:rPr>
                <w:rFonts w:cs="Times New Roman" w:hint="eastAsia"/>
                <w:spacing w:val="10"/>
                <w:sz w:val="21"/>
                <w:szCs w:val="21"/>
              </w:rPr>
              <w:t>、</w:t>
            </w:r>
            <w:r>
              <w:rPr>
                <w:rFonts w:cs="Times New Roman"/>
                <w:spacing w:val="10"/>
                <w:sz w:val="21"/>
                <w:szCs w:val="21"/>
              </w:rPr>
              <w:t>休克</w:t>
            </w:r>
            <w:r>
              <w:rPr>
                <w:rFonts w:cs="Times New Roman" w:hint="eastAsia"/>
                <w:spacing w:val="10"/>
                <w:sz w:val="21"/>
                <w:szCs w:val="21"/>
              </w:rPr>
              <w:t>、</w:t>
            </w:r>
            <w:r>
              <w:rPr>
                <w:rFonts w:cs="Times New Roman"/>
                <w:spacing w:val="10"/>
                <w:sz w:val="21"/>
                <w:szCs w:val="21"/>
              </w:rPr>
              <w:t>全身抽搐</w:t>
            </w:r>
            <w:r>
              <w:rPr>
                <w:rFonts w:cs="Times New Roman" w:hint="eastAsia"/>
                <w:spacing w:val="10"/>
                <w:sz w:val="21"/>
                <w:szCs w:val="21"/>
              </w:rPr>
              <w:t>、</w:t>
            </w:r>
            <w:r>
              <w:rPr>
                <w:rFonts w:cs="Times New Roman"/>
                <w:spacing w:val="10"/>
                <w:sz w:val="21"/>
                <w:szCs w:val="21"/>
              </w:rPr>
              <w:t>昏迷</w:t>
            </w:r>
            <w:r>
              <w:rPr>
                <w:rFonts w:cs="Times New Roman" w:hint="eastAsia"/>
                <w:spacing w:val="10"/>
                <w:sz w:val="21"/>
                <w:szCs w:val="21"/>
              </w:rPr>
              <w:t>，</w:t>
            </w:r>
            <w:r>
              <w:rPr>
                <w:rFonts w:cs="Times New Roman"/>
                <w:spacing w:val="10"/>
                <w:sz w:val="21"/>
                <w:szCs w:val="21"/>
              </w:rPr>
              <w:t>甚至死亡</w:t>
            </w:r>
          </w:p>
        </w:tc>
      </w:tr>
      <w:tr w:rsidR="00C30FC0" w14:paraId="0CC85471" w14:textId="77777777" w:rsidTr="00FB6EE0">
        <w:trPr>
          <w:jc w:val="center"/>
        </w:trPr>
        <w:tc>
          <w:tcPr>
            <w:tcW w:w="791" w:type="dxa"/>
            <w:vMerge/>
            <w:tcBorders>
              <w:top w:val="nil"/>
              <w:left w:val="single" w:sz="6" w:space="0" w:color="auto"/>
              <w:bottom w:val="single" w:sz="6" w:space="0" w:color="auto"/>
              <w:right w:val="single" w:sz="6" w:space="0" w:color="auto"/>
            </w:tcBorders>
            <w:vAlign w:val="center"/>
          </w:tcPr>
          <w:p w14:paraId="1935D65F"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4" w:space="0" w:color="auto"/>
              <w:left w:val="nil"/>
              <w:bottom w:val="single" w:sz="6" w:space="0" w:color="auto"/>
              <w:right w:val="single" w:sz="6" w:space="0" w:color="auto"/>
            </w:tcBorders>
            <w:vAlign w:val="center"/>
          </w:tcPr>
          <w:p w14:paraId="416DAA9E"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急救方法</w:t>
            </w:r>
          </w:p>
        </w:tc>
        <w:tc>
          <w:tcPr>
            <w:tcW w:w="5999" w:type="dxa"/>
            <w:gridSpan w:val="9"/>
            <w:tcBorders>
              <w:top w:val="single" w:sz="4" w:space="0" w:color="auto"/>
              <w:left w:val="nil"/>
              <w:bottom w:val="single" w:sz="6" w:space="0" w:color="auto"/>
              <w:right w:val="single" w:sz="6" w:space="0" w:color="auto"/>
            </w:tcBorders>
            <w:vAlign w:val="center"/>
          </w:tcPr>
          <w:p w14:paraId="27373A67"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hint="eastAsia"/>
                <w:sz w:val="21"/>
                <w:szCs w:val="21"/>
              </w:rPr>
              <w:t>皮肤</w:t>
            </w:r>
            <w:r>
              <w:rPr>
                <w:rFonts w:cs="Times New Roman"/>
                <w:sz w:val="21"/>
                <w:szCs w:val="21"/>
              </w:rPr>
              <w:t>接触</w:t>
            </w:r>
            <w:r>
              <w:rPr>
                <w:rFonts w:cs="Times New Roman" w:hint="eastAsia"/>
                <w:sz w:val="21"/>
                <w:szCs w:val="21"/>
              </w:rPr>
              <w:t>：脱去被污染的衣着，用大量流动清水冲洗。眼睛接触：提起眼睑，用流动清水或生理盐水冲洗。就医。吸入：迅速脱离现场至空气新鲜处。保持呼吸道畅通。如呼吸困难，给输氧。如呼吸停止，立即进行人工呼吸。就医。食入：用水漱口，给饮牛奶或蛋清。就医。</w:t>
            </w:r>
          </w:p>
        </w:tc>
      </w:tr>
      <w:tr w:rsidR="00C30FC0" w14:paraId="6B524DEE" w14:textId="77777777" w:rsidTr="00FB6EE0">
        <w:trPr>
          <w:jc w:val="center"/>
        </w:trPr>
        <w:tc>
          <w:tcPr>
            <w:tcW w:w="791" w:type="dxa"/>
            <w:vMerge w:val="restart"/>
            <w:tcBorders>
              <w:top w:val="nil"/>
              <w:left w:val="single" w:sz="6" w:space="0" w:color="auto"/>
              <w:bottom w:val="single" w:sz="6" w:space="0" w:color="auto"/>
              <w:right w:val="single" w:sz="6" w:space="0" w:color="auto"/>
            </w:tcBorders>
            <w:vAlign w:val="center"/>
          </w:tcPr>
          <w:p w14:paraId="7C5C306A"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lastRenderedPageBreak/>
              <w:t>燃烧爆炸危险性</w:t>
            </w:r>
          </w:p>
        </w:tc>
        <w:tc>
          <w:tcPr>
            <w:tcW w:w="1500" w:type="dxa"/>
            <w:tcBorders>
              <w:top w:val="single" w:sz="6" w:space="0" w:color="auto"/>
              <w:left w:val="nil"/>
              <w:bottom w:val="single" w:sz="6" w:space="0" w:color="auto"/>
              <w:right w:val="single" w:sz="6" w:space="0" w:color="auto"/>
            </w:tcBorders>
            <w:vAlign w:val="center"/>
          </w:tcPr>
          <w:p w14:paraId="77BA49A4"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燃烧性</w:t>
            </w:r>
          </w:p>
        </w:tc>
        <w:tc>
          <w:tcPr>
            <w:tcW w:w="1445" w:type="dxa"/>
            <w:gridSpan w:val="3"/>
            <w:tcBorders>
              <w:top w:val="single" w:sz="6" w:space="0" w:color="auto"/>
              <w:left w:val="nil"/>
              <w:bottom w:val="single" w:sz="6" w:space="0" w:color="auto"/>
              <w:right w:val="single" w:sz="6" w:space="0" w:color="auto"/>
            </w:tcBorders>
            <w:vAlign w:val="center"/>
          </w:tcPr>
          <w:p w14:paraId="40A81196"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助燃</w:t>
            </w:r>
          </w:p>
        </w:tc>
        <w:tc>
          <w:tcPr>
            <w:tcW w:w="1608" w:type="dxa"/>
            <w:gridSpan w:val="2"/>
            <w:tcBorders>
              <w:top w:val="single" w:sz="6" w:space="0" w:color="auto"/>
              <w:left w:val="nil"/>
              <w:bottom w:val="single" w:sz="6" w:space="0" w:color="auto"/>
              <w:right w:val="single" w:sz="6" w:space="0" w:color="auto"/>
            </w:tcBorders>
            <w:vAlign w:val="center"/>
          </w:tcPr>
          <w:p w14:paraId="0AB78ED2"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燃烧分解物</w:t>
            </w:r>
          </w:p>
        </w:tc>
        <w:tc>
          <w:tcPr>
            <w:tcW w:w="2946" w:type="dxa"/>
            <w:gridSpan w:val="4"/>
            <w:tcBorders>
              <w:top w:val="single" w:sz="6" w:space="0" w:color="auto"/>
              <w:left w:val="nil"/>
              <w:bottom w:val="single" w:sz="6" w:space="0" w:color="auto"/>
              <w:right w:val="single" w:sz="6" w:space="0" w:color="auto"/>
            </w:tcBorders>
            <w:vAlign w:val="center"/>
          </w:tcPr>
          <w:p w14:paraId="3EEED446"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pacing w:val="10"/>
                <w:sz w:val="21"/>
                <w:szCs w:val="21"/>
              </w:rPr>
              <w:t>氮氧化物</w:t>
            </w:r>
          </w:p>
        </w:tc>
      </w:tr>
      <w:tr w:rsidR="00C30FC0" w14:paraId="6374465C" w14:textId="77777777" w:rsidTr="00FB6EE0">
        <w:trPr>
          <w:jc w:val="center"/>
        </w:trPr>
        <w:tc>
          <w:tcPr>
            <w:tcW w:w="791" w:type="dxa"/>
            <w:vMerge/>
            <w:tcBorders>
              <w:top w:val="nil"/>
              <w:left w:val="single" w:sz="6" w:space="0" w:color="auto"/>
              <w:bottom w:val="single" w:sz="6" w:space="0" w:color="auto"/>
              <w:right w:val="single" w:sz="6" w:space="0" w:color="auto"/>
            </w:tcBorders>
            <w:vAlign w:val="center"/>
          </w:tcPr>
          <w:p w14:paraId="4F848EC2"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2B658683"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闪点</w:t>
            </w:r>
            <w:r>
              <w:rPr>
                <w:rFonts w:cs="Times New Roman"/>
                <w:spacing w:val="10"/>
                <w:sz w:val="21"/>
                <w:szCs w:val="21"/>
              </w:rPr>
              <w:t>(</w:t>
            </w:r>
            <w:r>
              <w:rPr>
                <w:rFonts w:ascii="宋体" w:hAnsi="宋体" w:cs="Times New Roman" w:hint="eastAsia"/>
                <w:spacing w:val="10"/>
                <w:sz w:val="21"/>
                <w:szCs w:val="21"/>
              </w:rPr>
              <w:t>℃</w:t>
            </w:r>
            <w:r>
              <w:rPr>
                <w:rFonts w:cs="Times New Roman"/>
                <w:spacing w:val="10"/>
                <w:sz w:val="21"/>
                <w:szCs w:val="21"/>
              </w:rPr>
              <w:t>)</w:t>
            </w:r>
          </w:p>
        </w:tc>
        <w:tc>
          <w:tcPr>
            <w:tcW w:w="1445" w:type="dxa"/>
            <w:gridSpan w:val="3"/>
            <w:tcBorders>
              <w:top w:val="single" w:sz="6" w:space="0" w:color="auto"/>
              <w:left w:val="nil"/>
              <w:bottom w:val="single" w:sz="6" w:space="0" w:color="auto"/>
              <w:right w:val="single" w:sz="6" w:space="0" w:color="auto"/>
            </w:tcBorders>
            <w:vAlign w:val="center"/>
          </w:tcPr>
          <w:p w14:paraId="70E627DA"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w:t>
            </w:r>
          </w:p>
        </w:tc>
        <w:tc>
          <w:tcPr>
            <w:tcW w:w="1608" w:type="dxa"/>
            <w:gridSpan w:val="2"/>
            <w:tcBorders>
              <w:top w:val="single" w:sz="6" w:space="0" w:color="auto"/>
              <w:left w:val="nil"/>
              <w:bottom w:val="single" w:sz="6" w:space="0" w:color="auto"/>
              <w:right w:val="single" w:sz="6" w:space="0" w:color="auto"/>
            </w:tcBorders>
            <w:vAlign w:val="center"/>
          </w:tcPr>
          <w:p w14:paraId="4893D559"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爆炸上限（</w:t>
            </w:r>
            <w:r>
              <w:rPr>
                <w:rFonts w:cs="Times New Roman"/>
                <w:spacing w:val="10"/>
                <w:sz w:val="21"/>
                <w:szCs w:val="21"/>
              </w:rPr>
              <w:t>v%</w:t>
            </w:r>
            <w:r>
              <w:rPr>
                <w:rFonts w:ascii="宋体" w:hAnsi="宋体" w:cs="Times New Roman"/>
                <w:spacing w:val="10"/>
                <w:sz w:val="21"/>
                <w:szCs w:val="21"/>
              </w:rPr>
              <w:t>）</w:t>
            </w:r>
          </w:p>
        </w:tc>
        <w:tc>
          <w:tcPr>
            <w:tcW w:w="2946" w:type="dxa"/>
            <w:gridSpan w:val="4"/>
            <w:tcBorders>
              <w:top w:val="single" w:sz="6" w:space="0" w:color="auto"/>
              <w:left w:val="nil"/>
              <w:bottom w:val="single" w:sz="6" w:space="0" w:color="auto"/>
              <w:right w:val="single" w:sz="6" w:space="0" w:color="auto"/>
            </w:tcBorders>
            <w:vAlign w:val="center"/>
          </w:tcPr>
          <w:p w14:paraId="6A6C9A9C"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pacing w:val="10"/>
                <w:sz w:val="21"/>
                <w:szCs w:val="21"/>
              </w:rPr>
              <w:t>/</w:t>
            </w:r>
          </w:p>
        </w:tc>
      </w:tr>
      <w:tr w:rsidR="00C30FC0" w14:paraId="2FF466BC" w14:textId="77777777" w:rsidTr="00FB6EE0">
        <w:trPr>
          <w:jc w:val="center"/>
        </w:trPr>
        <w:tc>
          <w:tcPr>
            <w:tcW w:w="791" w:type="dxa"/>
            <w:vMerge/>
            <w:tcBorders>
              <w:top w:val="nil"/>
              <w:left w:val="single" w:sz="6" w:space="0" w:color="auto"/>
              <w:bottom w:val="single" w:sz="6" w:space="0" w:color="auto"/>
              <w:right w:val="single" w:sz="6" w:space="0" w:color="auto"/>
            </w:tcBorders>
            <w:vAlign w:val="center"/>
          </w:tcPr>
          <w:p w14:paraId="7EBC22A4"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1289EB03"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引燃温度</w:t>
            </w:r>
            <w:r>
              <w:rPr>
                <w:rFonts w:cs="Times New Roman"/>
                <w:spacing w:val="10"/>
                <w:sz w:val="21"/>
                <w:szCs w:val="21"/>
              </w:rPr>
              <w:t>(</w:t>
            </w:r>
            <w:r>
              <w:rPr>
                <w:rFonts w:ascii="宋体" w:hAnsi="宋体" w:cs="Times New Roman" w:hint="eastAsia"/>
                <w:spacing w:val="10"/>
                <w:sz w:val="21"/>
                <w:szCs w:val="21"/>
              </w:rPr>
              <w:t>℃</w:t>
            </w:r>
            <w:r>
              <w:rPr>
                <w:rFonts w:cs="Times New Roman"/>
                <w:spacing w:val="10"/>
                <w:sz w:val="21"/>
                <w:szCs w:val="21"/>
              </w:rPr>
              <w:t>)</w:t>
            </w:r>
          </w:p>
        </w:tc>
        <w:tc>
          <w:tcPr>
            <w:tcW w:w="1445" w:type="dxa"/>
            <w:gridSpan w:val="3"/>
            <w:tcBorders>
              <w:top w:val="single" w:sz="6" w:space="0" w:color="auto"/>
              <w:left w:val="nil"/>
              <w:bottom w:val="single" w:sz="6" w:space="0" w:color="auto"/>
              <w:right w:val="single" w:sz="6" w:space="0" w:color="auto"/>
            </w:tcBorders>
            <w:vAlign w:val="center"/>
          </w:tcPr>
          <w:p w14:paraId="50098843"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w:t>
            </w:r>
          </w:p>
        </w:tc>
        <w:tc>
          <w:tcPr>
            <w:tcW w:w="1608" w:type="dxa"/>
            <w:gridSpan w:val="2"/>
            <w:tcBorders>
              <w:top w:val="single" w:sz="6" w:space="0" w:color="auto"/>
              <w:left w:val="nil"/>
              <w:bottom w:val="single" w:sz="6" w:space="0" w:color="auto"/>
              <w:right w:val="single" w:sz="6" w:space="0" w:color="auto"/>
            </w:tcBorders>
            <w:vAlign w:val="center"/>
          </w:tcPr>
          <w:p w14:paraId="18BD58B2"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爆炸下限（</w:t>
            </w:r>
            <w:r>
              <w:rPr>
                <w:rFonts w:cs="Times New Roman"/>
                <w:spacing w:val="10"/>
                <w:sz w:val="21"/>
                <w:szCs w:val="21"/>
              </w:rPr>
              <w:t>v%</w:t>
            </w:r>
            <w:r>
              <w:rPr>
                <w:rFonts w:ascii="宋体" w:hAnsi="宋体" w:cs="Times New Roman"/>
                <w:spacing w:val="10"/>
                <w:sz w:val="21"/>
                <w:szCs w:val="21"/>
              </w:rPr>
              <w:t>）</w:t>
            </w:r>
          </w:p>
        </w:tc>
        <w:tc>
          <w:tcPr>
            <w:tcW w:w="2946" w:type="dxa"/>
            <w:gridSpan w:val="4"/>
            <w:tcBorders>
              <w:top w:val="single" w:sz="6" w:space="0" w:color="auto"/>
              <w:left w:val="nil"/>
              <w:bottom w:val="single" w:sz="6" w:space="0" w:color="auto"/>
              <w:right w:val="single" w:sz="6" w:space="0" w:color="auto"/>
            </w:tcBorders>
            <w:vAlign w:val="center"/>
          </w:tcPr>
          <w:p w14:paraId="33005CC9"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pacing w:val="10"/>
                <w:sz w:val="21"/>
                <w:szCs w:val="21"/>
              </w:rPr>
              <w:t>/</w:t>
            </w:r>
          </w:p>
        </w:tc>
      </w:tr>
      <w:tr w:rsidR="00C30FC0" w14:paraId="6AA43288" w14:textId="77777777" w:rsidTr="00FB6EE0">
        <w:trPr>
          <w:jc w:val="center"/>
        </w:trPr>
        <w:tc>
          <w:tcPr>
            <w:tcW w:w="791" w:type="dxa"/>
            <w:vMerge/>
            <w:tcBorders>
              <w:top w:val="nil"/>
              <w:left w:val="single" w:sz="6" w:space="0" w:color="auto"/>
              <w:bottom w:val="single" w:sz="6" w:space="0" w:color="auto"/>
              <w:right w:val="single" w:sz="6" w:space="0" w:color="auto"/>
            </w:tcBorders>
            <w:vAlign w:val="center"/>
          </w:tcPr>
          <w:p w14:paraId="4E15FA5C"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3C3280E0"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危险特性</w:t>
            </w:r>
          </w:p>
        </w:tc>
        <w:tc>
          <w:tcPr>
            <w:tcW w:w="5999" w:type="dxa"/>
            <w:gridSpan w:val="9"/>
            <w:tcBorders>
              <w:top w:val="single" w:sz="6" w:space="0" w:color="auto"/>
              <w:left w:val="nil"/>
              <w:bottom w:val="single" w:sz="6" w:space="0" w:color="auto"/>
              <w:right w:val="single" w:sz="6" w:space="0" w:color="auto"/>
            </w:tcBorders>
            <w:vAlign w:val="center"/>
          </w:tcPr>
          <w:p w14:paraId="7886E8F7"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强氧化剂</w:t>
            </w:r>
            <w:r>
              <w:rPr>
                <w:rFonts w:cs="Times New Roman" w:hint="eastAsia"/>
                <w:spacing w:val="10"/>
                <w:sz w:val="21"/>
                <w:szCs w:val="21"/>
              </w:rPr>
              <w:t>。</w:t>
            </w:r>
            <w:r>
              <w:rPr>
                <w:rFonts w:cs="Times New Roman"/>
                <w:spacing w:val="10"/>
                <w:sz w:val="21"/>
                <w:szCs w:val="21"/>
              </w:rPr>
              <w:t>遇可燃物着火时</w:t>
            </w:r>
            <w:r>
              <w:rPr>
                <w:rFonts w:cs="Times New Roman" w:hint="eastAsia"/>
                <w:spacing w:val="10"/>
                <w:sz w:val="21"/>
                <w:szCs w:val="21"/>
              </w:rPr>
              <w:t>，</w:t>
            </w:r>
            <w:r>
              <w:rPr>
                <w:rFonts w:cs="Times New Roman"/>
                <w:spacing w:val="10"/>
                <w:sz w:val="21"/>
                <w:szCs w:val="21"/>
              </w:rPr>
              <w:t>能助长火势</w:t>
            </w:r>
            <w:r>
              <w:rPr>
                <w:rFonts w:cs="Times New Roman" w:hint="eastAsia"/>
                <w:spacing w:val="10"/>
                <w:sz w:val="21"/>
                <w:szCs w:val="21"/>
              </w:rPr>
              <w:t>。</w:t>
            </w:r>
            <w:r>
              <w:rPr>
                <w:rFonts w:cs="Times New Roman"/>
                <w:spacing w:val="10"/>
                <w:sz w:val="21"/>
                <w:szCs w:val="21"/>
              </w:rPr>
              <w:t>与可燃物粉末混合能发生激烈反应而爆炸</w:t>
            </w:r>
            <w:r>
              <w:rPr>
                <w:rFonts w:cs="Times New Roman" w:hint="eastAsia"/>
                <w:spacing w:val="10"/>
                <w:sz w:val="21"/>
                <w:szCs w:val="21"/>
              </w:rPr>
              <w:t>。受强烈震动也会起爆。急剧加热时可发生爆炸。与还原剂、有机物、易燃物如硫、磷或金属粉末等混合可形成爆炸性混合物。</w:t>
            </w:r>
          </w:p>
        </w:tc>
      </w:tr>
      <w:tr w:rsidR="00C30FC0" w14:paraId="2B412BFC" w14:textId="77777777" w:rsidTr="00FB6EE0">
        <w:trPr>
          <w:jc w:val="center"/>
        </w:trPr>
        <w:tc>
          <w:tcPr>
            <w:tcW w:w="791" w:type="dxa"/>
            <w:vMerge/>
            <w:tcBorders>
              <w:top w:val="nil"/>
              <w:left w:val="single" w:sz="6" w:space="0" w:color="auto"/>
              <w:bottom w:val="single" w:sz="6" w:space="0" w:color="auto"/>
              <w:right w:val="single" w:sz="6" w:space="0" w:color="auto"/>
            </w:tcBorders>
            <w:vAlign w:val="center"/>
          </w:tcPr>
          <w:p w14:paraId="38336D57"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27F66598"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储运条件</w:t>
            </w:r>
          </w:p>
          <w:p w14:paraId="32A43A88"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与泄漏处理</w:t>
            </w:r>
          </w:p>
        </w:tc>
        <w:tc>
          <w:tcPr>
            <w:tcW w:w="5999" w:type="dxa"/>
            <w:gridSpan w:val="9"/>
            <w:tcBorders>
              <w:top w:val="single" w:sz="6" w:space="0" w:color="auto"/>
              <w:left w:val="nil"/>
              <w:bottom w:val="single" w:sz="6" w:space="0" w:color="auto"/>
              <w:right w:val="single" w:sz="6" w:space="0" w:color="auto"/>
            </w:tcBorders>
            <w:vAlign w:val="center"/>
          </w:tcPr>
          <w:p w14:paraId="616643BA"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b/>
                <w:bCs/>
                <w:spacing w:val="10"/>
                <w:sz w:val="21"/>
                <w:szCs w:val="21"/>
              </w:rPr>
              <w:t>储运条件</w:t>
            </w:r>
            <w:r>
              <w:rPr>
                <w:rFonts w:cs="Times New Roman"/>
                <w:spacing w:val="10"/>
                <w:sz w:val="21"/>
                <w:szCs w:val="21"/>
              </w:rPr>
              <w:t>：</w:t>
            </w:r>
            <w:r>
              <w:rPr>
                <w:rFonts w:cs="Times New Roman" w:hint="eastAsia"/>
                <w:spacing w:val="10"/>
                <w:sz w:val="21"/>
                <w:szCs w:val="21"/>
              </w:rPr>
              <w:t>储存</w:t>
            </w:r>
            <w:r>
              <w:rPr>
                <w:rFonts w:cs="Times New Roman"/>
                <w:spacing w:val="10"/>
                <w:sz w:val="21"/>
                <w:szCs w:val="21"/>
              </w:rPr>
              <w:t>于阴凉</w:t>
            </w:r>
            <w:r>
              <w:rPr>
                <w:rFonts w:cs="Times New Roman" w:hint="eastAsia"/>
                <w:spacing w:val="10"/>
                <w:sz w:val="21"/>
                <w:szCs w:val="21"/>
              </w:rPr>
              <w:t>、</w:t>
            </w:r>
            <w:r>
              <w:rPr>
                <w:rFonts w:cs="Times New Roman"/>
                <w:spacing w:val="10"/>
                <w:sz w:val="21"/>
                <w:szCs w:val="21"/>
              </w:rPr>
              <w:t>通风库房</w:t>
            </w:r>
            <w:r>
              <w:rPr>
                <w:rFonts w:cs="Times New Roman" w:hint="eastAsia"/>
                <w:spacing w:val="10"/>
                <w:sz w:val="21"/>
                <w:szCs w:val="21"/>
              </w:rPr>
              <w:t>。</w:t>
            </w:r>
            <w:r>
              <w:rPr>
                <w:rFonts w:cs="Times New Roman"/>
                <w:spacing w:val="10"/>
                <w:sz w:val="21"/>
                <w:szCs w:val="21"/>
              </w:rPr>
              <w:t>远离火种</w:t>
            </w:r>
            <w:r>
              <w:rPr>
                <w:rFonts w:cs="Times New Roman" w:hint="eastAsia"/>
                <w:spacing w:val="10"/>
                <w:sz w:val="21"/>
                <w:szCs w:val="21"/>
              </w:rPr>
              <w:t>、</w:t>
            </w:r>
            <w:r>
              <w:rPr>
                <w:rFonts w:cs="Times New Roman"/>
                <w:spacing w:val="10"/>
                <w:sz w:val="21"/>
                <w:szCs w:val="21"/>
              </w:rPr>
              <w:t>热源</w:t>
            </w:r>
            <w:r>
              <w:rPr>
                <w:rFonts w:cs="Times New Roman" w:hint="eastAsia"/>
                <w:spacing w:val="10"/>
                <w:sz w:val="21"/>
                <w:szCs w:val="21"/>
              </w:rPr>
              <w:t>。</w:t>
            </w:r>
            <w:r>
              <w:rPr>
                <w:rFonts w:cs="Times New Roman"/>
                <w:spacing w:val="10"/>
                <w:sz w:val="21"/>
                <w:szCs w:val="21"/>
              </w:rPr>
              <w:t>应与易</w:t>
            </w:r>
            <w:r>
              <w:rPr>
                <w:rFonts w:cs="Times New Roman" w:hint="eastAsia"/>
                <w:spacing w:val="10"/>
                <w:sz w:val="21"/>
                <w:szCs w:val="21"/>
              </w:rPr>
              <w:t>（可）燃物、还原剂、酸类、活性金属粉末分开存放，切忌混储。储区应备有合适的材料收容泄漏物。禁止震动、撞击和摩擦</w:t>
            </w:r>
            <w:r>
              <w:rPr>
                <w:rFonts w:cs="Times New Roman"/>
                <w:spacing w:val="10"/>
                <w:sz w:val="21"/>
                <w:szCs w:val="21"/>
              </w:rPr>
              <w:t>。</w:t>
            </w:r>
            <w:r>
              <w:rPr>
                <w:rFonts w:cs="Times New Roman"/>
                <w:b/>
                <w:bCs/>
                <w:spacing w:val="10"/>
                <w:sz w:val="21"/>
                <w:szCs w:val="21"/>
              </w:rPr>
              <w:t>泄漏处理</w:t>
            </w:r>
            <w:r>
              <w:rPr>
                <w:rFonts w:cs="Times New Roman"/>
                <w:spacing w:val="10"/>
                <w:sz w:val="21"/>
                <w:szCs w:val="21"/>
              </w:rPr>
              <w:t>：</w:t>
            </w:r>
            <w:r>
              <w:rPr>
                <w:rFonts w:cs="Times New Roman" w:hint="eastAsia"/>
                <w:sz w:val="21"/>
                <w:szCs w:val="21"/>
              </w:rPr>
              <w:t>隔离</w:t>
            </w:r>
            <w:r>
              <w:rPr>
                <w:rFonts w:cs="Times New Roman"/>
                <w:sz w:val="21"/>
                <w:szCs w:val="21"/>
              </w:rPr>
              <w:t>泄露污染区</w:t>
            </w:r>
            <w:r>
              <w:rPr>
                <w:rFonts w:cs="Times New Roman" w:hint="eastAsia"/>
                <w:sz w:val="21"/>
                <w:szCs w:val="21"/>
              </w:rPr>
              <w:t>，</w:t>
            </w:r>
            <w:r>
              <w:rPr>
                <w:rFonts w:cs="Times New Roman"/>
                <w:sz w:val="21"/>
                <w:szCs w:val="21"/>
              </w:rPr>
              <w:t>限制出入</w:t>
            </w:r>
            <w:r>
              <w:rPr>
                <w:rFonts w:cs="Times New Roman" w:hint="eastAsia"/>
                <w:sz w:val="21"/>
                <w:szCs w:val="21"/>
              </w:rPr>
              <w:t>。</w:t>
            </w:r>
            <w:r>
              <w:rPr>
                <w:rFonts w:cs="Times New Roman"/>
                <w:sz w:val="21"/>
                <w:szCs w:val="21"/>
              </w:rPr>
              <w:t>建议应急处理人员戴防尘面具</w:t>
            </w:r>
            <w:r>
              <w:rPr>
                <w:rFonts w:cs="Times New Roman" w:hint="eastAsia"/>
                <w:sz w:val="21"/>
                <w:szCs w:val="21"/>
              </w:rPr>
              <w:t>，</w:t>
            </w:r>
            <w:r>
              <w:rPr>
                <w:rFonts w:cs="Times New Roman"/>
                <w:sz w:val="21"/>
                <w:szCs w:val="21"/>
              </w:rPr>
              <w:t>穿防毒服。不要直接接触泄漏物</w:t>
            </w:r>
            <w:r>
              <w:rPr>
                <w:rFonts w:cs="Times New Roman" w:hint="eastAsia"/>
                <w:sz w:val="21"/>
                <w:szCs w:val="21"/>
              </w:rPr>
              <w:t>。</w:t>
            </w:r>
            <w:r>
              <w:rPr>
                <w:rFonts w:cs="Times New Roman"/>
                <w:sz w:val="21"/>
                <w:szCs w:val="21"/>
              </w:rPr>
              <w:t>勿使泄漏物与还原剂</w:t>
            </w:r>
            <w:r>
              <w:rPr>
                <w:rFonts w:cs="Times New Roman" w:hint="eastAsia"/>
                <w:sz w:val="21"/>
                <w:szCs w:val="21"/>
              </w:rPr>
              <w:t>、</w:t>
            </w:r>
            <w:r>
              <w:rPr>
                <w:rFonts w:cs="Times New Roman"/>
                <w:sz w:val="21"/>
                <w:szCs w:val="21"/>
              </w:rPr>
              <w:t>有机物</w:t>
            </w:r>
            <w:r>
              <w:rPr>
                <w:rFonts w:cs="Times New Roman" w:hint="eastAsia"/>
                <w:sz w:val="21"/>
                <w:szCs w:val="21"/>
              </w:rPr>
              <w:t>、</w:t>
            </w:r>
            <w:r>
              <w:rPr>
                <w:rFonts w:cs="Times New Roman"/>
                <w:sz w:val="21"/>
                <w:szCs w:val="21"/>
              </w:rPr>
              <w:t>易燃物或金属粉末接触</w:t>
            </w:r>
            <w:r>
              <w:rPr>
                <w:rFonts w:cs="Times New Roman" w:hint="eastAsia"/>
                <w:sz w:val="21"/>
                <w:szCs w:val="21"/>
              </w:rPr>
              <w:t>。</w:t>
            </w:r>
            <w:r>
              <w:rPr>
                <w:rFonts w:cs="Times New Roman"/>
                <w:sz w:val="21"/>
                <w:szCs w:val="21"/>
              </w:rPr>
              <w:t>小量泄露</w:t>
            </w:r>
            <w:r>
              <w:rPr>
                <w:rFonts w:cs="Times New Roman" w:hint="eastAsia"/>
                <w:sz w:val="21"/>
                <w:szCs w:val="21"/>
              </w:rPr>
              <w:t>：</w:t>
            </w:r>
            <w:r>
              <w:rPr>
                <w:rFonts w:cs="Times New Roman"/>
                <w:sz w:val="21"/>
                <w:szCs w:val="21"/>
              </w:rPr>
              <w:t>小心扫起</w:t>
            </w:r>
            <w:r>
              <w:rPr>
                <w:rFonts w:cs="Times New Roman" w:hint="eastAsia"/>
                <w:sz w:val="21"/>
                <w:szCs w:val="21"/>
              </w:rPr>
              <w:t>，</w:t>
            </w:r>
            <w:r>
              <w:rPr>
                <w:rFonts w:cs="Times New Roman"/>
                <w:sz w:val="21"/>
                <w:szCs w:val="21"/>
              </w:rPr>
              <w:t>收集于干燥</w:t>
            </w:r>
            <w:r>
              <w:rPr>
                <w:rFonts w:cs="Times New Roman" w:hint="eastAsia"/>
                <w:sz w:val="21"/>
                <w:szCs w:val="21"/>
              </w:rPr>
              <w:t>、</w:t>
            </w:r>
            <w:r>
              <w:rPr>
                <w:rFonts w:cs="Times New Roman"/>
                <w:sz w:val="21"/>
                <w:szCs w:val="21"/>
              </w:rPr>
              <w:t>洁净</w:t>
            </w:r>
            <w:r>
              <w:rPr>
                <w:rFonts w:cs="Times New Roman" w:hint="eastAsia"/>
                <w:sz w:val="21"/>
                <w:szCs w:val="21"/>
              </w:rPr>
              <w:t>、</w:t>
            </w:r>
            <w:r>
              <w:rPr>
                <w:rFonts w:cs="Times New Roman"/>
                <w:sz w:val="21"/>
                <w:szCs w:val="21"/>
              </w:rPr>
              <w:t>有盖的容器中</w:t>
            </w:r>
            <w:r>
              <w:rPr>
                <w:rFonts w:cs="Times New Roman" w:hint="eastAsia"/>
                <w:sz w:val="21"/>
                <w:szCs w:val="21"/>
              </w:rPr>
              <w:t>。</w:t>
            </w:r>
            <w:r>
              <w:rPr>
                <w:rFonts w:cs="Times New Roman"/>
                <w:sz w:val="21"/>
                <w:szCs w:val="21"/>
              </w:rPr>
              <w:t>大量泄露</w:t>
            </w:r>
            <w:r>
              <w:rPr>
                <w:rFonts w:cs="Times New Roman" w:hint="eastAsia"/>
                <w:sz w:val="21"/>
                <w:szCs w:val="21"/>
              </w:rPr>
              <w:t>：收集</w:t>
            </w:r>
            <w:r>
              <w:rPr>
                <w:rFonts w:cs="Times New Roman"/>
                <w:sz w:val="21"/>
                <w:szCs w:val="21"/>
              </w:rPr>
              <w:t>回收或运至废物处理场所处置</w:t>
            </w:r>
            <w:r>
              <w:rPr>
                <w:rFonts w:cs="Times New Roman" w:hint="eastAsia"/>
                <w:sz w:val="21"/>
                <w:szCs w:val="21"/>
              </w:rPr>
              <w:t>。</w:t>
            </w:r>
          </w:p>
        </w:tc>
      </w:tr>
      <w:tr w:rsidR="00C30FC0" w14:paraId="3EE56B15" w14:textId="77777777" w:rsidTr="00FB6EE0">
        <w:trPr>
          <w:jc w:val="center"/>
        </w:trPr>
        <w:tc>
          <w:tcPr>
            <w:tcW w:w="791" w:type="dxa"/>
            <w:vMerge/>
            <w:tcBorders>
              <w:top w:val="nil"/>
              <w:left w:val="single" w:sz="6" w:space="0" w:color="auto"/>
              <w:bottom w:val="single" w:sz="6" w:space="0" w:color="auto"/>
              <w:right w:val="single" w:sz="6" w:space="0" w:color="auto"/>
            </w:tcBorders>
            <w:vAlign w:val="center"/>
          </w:tcPr>
          <w:p w14:paraId="7E412E39"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25972C15"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灭火方法</w:t>
            </w:r>
          </w:p>
        </w:tc>
        <w:tc>
          <w:tcPr>
            <w:tcW w:w="5999" w:type="dxa"/>
            <w:gridSpan w:val="9"/>
            <w:tcBorders>
              <w:top w:val="single" w:sz="6" w:space="0" w:color="auto"/>
              <w:left w:val="nil"/>
              <w:bottom w:val="single" w:sz="6" w:space="0" w:color="auto"/>
              <w:right w:val="single" w:sz="6" w:space="0" w:color="auto"/>
            </w:tcBorders>
            <w:vAlign w:val="center"/>
          </w:tcPr>
          <w:p w14:paraId="3382E058"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hint="eastAsia"/>
                <w:sz w:val="21"/>
                <w:szCs w:val="21"/>
              </w:rPr>
              <w:t>消防</w:t>
            </w:r>
            <w:r>
              <w:rPr>
                <w:rFonts w:cs="Times New Roman"/>
                <w:sz w:val="21"/>
                <w:szCs w:val="21"/>
              </w:rPr>
              <w:t>人员需佩戴防毒面具</w:t>
            </w:r>
            <w:r>
              <w:rPr>
                <w:rFonts w:cs="Times New Roman" w:hint="eastAsia"/>
                <w:sz w:val="21"/>
                <w:szCs w:val="21"/>
              </w:rPr>
              <w:t>、</w:t>
            </w:r>
            <w:r>
              <w:rPr>
                <w:rFonts w:cs="Times New Roman"/>
                <w:sz w:val="21"/>
                <w:szCs w:val="21"/>
              </w:rPr>
              <w:t>穿全身消防服</w:t>
            </w:r>
            <w:r>
              <w:rPr>
                <w:rFonts w:cs="Times New Roman" w:hint="eastAsia"/>
                <w:sz w:val="21"/>
                <w:szCs w:val="21"/>
              </w:rPr>
              <w:t>，</w:t>
            </w:r>
            <w:r>
              <w:rPr>
                <w:rFonts w:cs="Times New Roman"/>
                <w:sz w:val="21"/>
                <w:szCs w:val="21"/>
              </w:rPr>
              <w:t>在上风向灭火</w:t>
            </w:r>
            <w:r>
              <w:rPr>
                <w:rFonts w:cs="Times New Roman" w:hint="eastAsia"/>
                <w:sz w:val="21"/>
                <w:szCs w:val="21"/>
              </w:rPr>
              <w:t>。</w:t>
            </w:r>
            <w:r>
              <w:rPr>
                <w:rFonts w:cs="Times New Roman"/>
                <w:sz w:val="21"/>
                <w:szCs w:val="21"/>
              </w:rPr>
              <w:t>切勿将水流直接射至熔融物</w:t>
            </w:r>
            <w:r>
              <w:rPr>
                <w:rFonts w:cs="Times New Roman" w:hint="eastAsia"/>
                <w:sz w:val="21"/>
                <w:szCs w:val="21"/>
              </w:rPr>
              <w:t>，</w:t>
            </w:r>
            <w:r>
              <w:rPr>
                <w:rFonts w:cs="Times New Roman"/>
                <w:sz w:val="21"/>
                <w:szCs w:val="21"/>
              </w:rPr>
              <w:t>以免引起严重的流淌火灾或引起剧烈的沸溅</w:t>
            </w:r>
            <w:r>
              <w:rPr>
                <w:rFonts w:cs="Times New Roman" w:hint="eastAsia"/>
                <w:sz w:val="21"/>
                <w:szCs w:val="21"/>
              </w:rPr>
              <w:t>。</w:t>
            </w:r>
            <w:r>
              <w:rPr>
                <w:rFonts w:cs="Times New Roman"/>
                <w:sz w:val="21"/>
                <w:szCs w:val="21"/>
              </w:rPr>
              <w:t>遇大火</w:t>
            </w:r>
            <w:r>
              <w:rPr>
                <w:rFonts w:cs="Times New Roman" w:hint="eastAsia"/>
                <w:sz w:val="21"/>
                <w:szCs w:val="21"/>
              </w:rPr>
              <w:t>，</w:t>
            </w:r>
            <w:r>
              <w:rPr>
                <w:rFonts w:cs="Times New Roman"/>
                <w:sz w:val="21"/>
                <w:szCs w:val="21"/>
              </w:rPr>
              <w:t>消防人员须在有防护掩蔽处操作</w:t>
            </w:r>
            <w:r>
              <w:rPr>
                <w:rFonts w:cs="Times New Roman" w:hint="eastAsia"/>
                <w:sz w:val="21"/>
                <w:szCs w:val="21"/>
              </w:rPr>
              <w:t>。</w:t>
            </w:r>
            <w:r>
              <w:rPr>
                <w:rFonts w:cs="Times New Roman"/>
                <w:sz w:val="21"/>
                <w:szCs w:val="21"/>
              </w:rPr>
              <w:t>灭火剂</w:t>
            </w:r>
            <w:r>
              <w:rPr>
                <w:rFonts w:cs="Times New Roman" w:hint="eastAsia"/>
                <w:sz w:val="21"/>
                <w:szCs w:val="21"/>
              </w:rPr>
              <w:t>：</w:t>
            </w:r>
            <w:r>
              <w:rPr>
                <w:rFonts w:cs="Times New Roman"/>
                <w:sz w:val="21"/>
                <w:szCs w:val="21"/>
              </w:rPr>
              <w:t>水</w:t>
            </w:r>
            <w:r>
              <w:rPr>
                <w:rFonts w:cs="Times New Roman" w:hint="eastAsia"/>
                <w:sz w:val="21"/>
                <w:szCs w:val="21"/>
              </w:rPr>
              <w:t>、</w:t>
            </w:r>
            <w:r>
              <w:rPr>
                <w:rFonts w:cs="Times New Roman"/>
                <w:sz w:val="21"/>
                <w:szCs w:val="21"/>
              </w:rPr>
              <w:t>雾状水</w:t>
            </w:r>
          </w:p>
        </w:tc>
      </w:tr>
    </w:tbl>
    <w:p w14:paraId="0249D9AD" w14:textId="700ACCD2" w:rsidR="00C30FC0" w:rsidRDefault="00C30FC0" w:rsidP="00C30FC0">
      <w:pPr>
        <w:widowControl w:val="0"/>
        <w:adjustRightInd w:val="0"/>
        <w:snapToGrid w:val="0"/>
        <w:spacing w:line="520" w:lineRule="exact"/>
        <w:jc w:val="center"/>
        <w:rPr>
          <w:rFonts w:eastAsia="黑体" w:cs="Times New Roman"/>
          <w:szCs w:val="24"/>
        </w:rPr>
      </w:pPr>
      <w:r>
        <w:rPr>
          <w:rFonts w:ascii="黑体" w:eastAsia="黑体" w:hAnsi="黑体" w:cs="Times New Roman" w:hint="eastAsia"/>
          <w:szCs w:val="24"/>
        </w:rPr>
        <w:t>表</w:t>
      </w:r>
      <w:r>
        <w:rPr>
          <w:rFonts w:eastAsia="黑体" w:cs="Times New Roman" w:hint="eastAsia"/>
          <w:szCs w:val="24"/>
        </w:rPr>
        <w:t>5</w:t>
      </w:r>
      <w:r>
        <w:rPr>
          <w:rFonts w:eastAsia="黑体" w:cs="Times New Roman"/>
          <w:szCs w:val="24"/>
        </w:rPr>
        <w:t>.3-</w:t>
      </w:r>
      <w:r w:rsidR="00FB6EE0">
        <w:rPr>
          <w:rFonts w:eastAsia="黑体" w:cs="Times New Roman" w:hint="eastAsia"/>
          <w:szCs w:val="24"/>
        </w:rPr>
        <w:t>4</w:t>
      </w:r>
      <w:r>
        <w:rPr>
          <w:rFonts w:eastAsia="黑体" w:cs="Times New Roman"/>
          <w:szCs w:val="24"/>
        </w:rPr>
        <w:t>2</w:t>
      </w:r>
      <w:r>
        <w:rPr>
          <w:rFonts w:eastAsia="黑体" w:cs="Times New Roman" w:hint="eastAsia"/>
          <w:szCs w:val="24"/>
        </w:rPr>
        <w:t>-</w:t>
      </w:r>
      <w:r>
        <w:rPr>
          <w:rFonts w:ascii="黑体" w:eastAsia="黑体" w:hAnsi="黑体" w:cs="Times New Roman" w:hint="eastAsia"/>
          <w:szCs w:val="24"/>
        </w:rPr>
        <w:t>硝基甲苯的理化特性一览表</w:t>
      </w:r>
    </w:p>
    <w:tbl>
      <w:tblPr>
        <w:tblW w:w="8290"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89"/>
        <w:gridCol w:w="1500"/>
        <w:gridCol w:w="837"/>
        <w:gridCol w:w="393"/>
        <w:gridCol w:w="1434"/>
        <w:gridCol w:w="141"/>
        <w:gridCol w:w="528"/>
        <w:gridCol w:w="265"/>
        <w:gridCol w:w="1691"/>
        <w:gridCol w:w="712"/>
      </w:tblGrid>
      <w:tr w:rsidR="00C30FC0" w14:paraId="5D61D76C" w14:textId="77777777" w:rsidTr="00FB6EE0">
        <w:trPr>
          <w:jc w:val="center"/>
        </w:trPr>
        <w:tc>
          <w:tcPr>
            <w:tcW w:w="789" w:type="dxa"/>
            <w:vMerge w:val="restart"/>
            <w:tcBorders>
              <w:top w:val="single" w:sz="6" w:space="0" w:color="auto"/>
              <w:left w:val="single" w:sz="6" w:space="0" w:color="auto"/>
              <w:bottom w:val="single" w:sz="6" w:space="0" w:color="auto"/>
              <w:right w:val="single" w:sz="6" w:space="0" w:color="auto"/>
            </w:tcBorders>
            <w:vAlign w:val="center"/>
          </w:tcPr>
          <w:p w14:paraId="66307B8A"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标识</w:t>
            </w:r>
          </w:p>
        </w:tc>
        <w:tc>
          <w:tcPr>
            <w:tcW w:w="5098" w:type="dxa"/>
            <w:gridSpan w:val="7"/>
            <w:tcBorders>
              <w:top w:val="single" w:sz="6" w:space="0" w:color="auto"/>
              <w:left w:val="nil"/>
              <w:bottom w:val="single" w:sz="6" w:space="0" w:color="auto"/>
              <w:right w:val="single" w:sz="6" w:space="0" w:color="auto"/>
            </w:tcBorders>
            <w:vAlign w:val="center"/>
          </w:tcPr>
          <w:p w14:paraId="6D005817"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中文名：</w:t>
            </w:r>
            <w:r>
              <w:rPr>
                <w:rFonts w:cs="Times New Roman" w:hint="eastAsia"/>
                <w:spacing w:val="10"/>
                <w:sz w:val="21"/>
                <w:szCs w:val="21"/>
              </w:rPr>
              <w:t>2-</w:t>
            </w:r>
            <w:r>
              <w:rPr>
                <w:rFonts w:ascii="宋体" w:hAnsi="宋体" w:cs="Times New Roman" w:hint="eastAsia"/>
                <w:spacing w:val="10"/>
                <w:sz w:val="21"/>
                <w:szCs w:val="21"/>
              </w:rPr>
              <w:t>硝基甲苯</w:t>
            </w:r>
          </w:p>
        </w:tc>
        <w:tc>
          <w:tcPr>
            <w:tcW w:w="2403" w:type="dxa"/>
            <w:gridSpan w:val="2"/>
            <w:tcBorders>
              <w:top w:val="single" w:sz="6" w:space="0" w:color="auto"/>
              <w:left w:val="nil"/>
              <w:bottom w:val="single" w:sz="6" w:space="0" w:color="auto"/>
              <w:right w:val="single" w:sz="6" w:space="0" w:color="auto"/>
            </w:tcBorders>
            <w:vAlign w:val="center"/>
          </w:tcPr>
          <w:p w14:paraId="41405DF8"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危险货物编号：</w:t>
            </w:r>
            <w:r>
              <w:rPr>
                <w:rFonts w:cs="Times New Roman" w:hint="eastAsia"/>
                <w:spacing w:val="10"/>
                <w:sz w:val="21"/>
                <w:szCs w:val="21"/>
              </w:rPr>
              <w:t>/</w:t>
            </w:r>
          </w:p>
        </w:tc>
      </w:tr>
      <w:tr w:rsidR="00C30FC0" w14:paraId="53F68E7A" w14:textId="77777777" w:rsidTr="00FB6EE0">
        <w:trPr>
          <w:jc w:val="center"/>
        </w:trPr>
        <w:tc>
          <w:tcPr>
            <w:tcW w:w="789" w:type="dxa"/>
            <w:vMerge/>
            <w:tcBorders>
              <w:top w:val="single" w:sz="6" w:space="0" w:color="auto"/>
              <w:left w:val="single" w:sz="6" w:space="0" w:color="auto"/>
              <w:bottom w:val="single" w:sz="6" w:space="0" w:color="auto"/>
              <w:right w:val="single" w:sz="6" w:space="0" w:color="auto"/>
            </w:tcBorders>
            <w:vAlign w:val="center"/>
          </w:tcPr>
          <w:p w14:paraId="0D922C65" w14:textId="77777777" w:rsidR="00C30FC0" w:rsidRDefault="00C30FC0" w:rsidP="00FB6EE0">
            <w:pPr>
              <w:spacing w:line="240" w:lineRule="auto"/>
              <w:ind w:firstLineChars="0" w:firstLine="0"/>
              <w:rPr>
                <w:rFonts w:cs="Times New Roman"/>
                <w:spacing w:val="10"/>
                <w:sz w:val="21"/>
                <w:szCs w:val="21"/>
              </w:rPr>
            </w:pPr>
          </w:p>
        </w:tc>
        <w:tc>
          <w:tcPr>
            <w:tcW w:w="5098" w:type="dxa"/>
            <w:gridSpan w:val="7"/>
            <w:tcBorders>
              <w:top w:val="single" w:sz="6" w:space="0" w:color="auto"/>
              <w:left w:val="nil"/>
              <w:bottom w:val="single" w:sz="6" w:space="0" w:color="auto"/>
              <w:right w:val="single" w:sz="6" w:space="0" w:color="auto"/>
            </w:tcBorders>
            <w:vAlign w:val="center"/>
          </w:tcPr>
          <w:p w14:paraId="3BBDD038"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英文名：</w:t>
            </w:r>
            <w:r>
              <w:rPr>
                <w:rFonts w:cs="Times New Roman"/>
                <w:spacing w:val="10"/>
                <w:sz w:val="21"/>
                <w:szCs w:val="21"/>
              </w:rPr>
              <w:t>2-nitrotoluene</w:t>
            </w:r>
            <w:r>
              <w:rPr>
                <w:rFonts w:ascii="宋体" w:hAnsi="宋体" w:cs="Times New Roman"/>
                <w:spacing w:val="10"/>
                <w:sz w:val="21"/>
                <w:szCs w:val="21"/>
              </w:rPr>
              <w:t>；</w:t>
            </w:r>
            <w:r>
              <w:rPr>
                <w:rFonts w:cs="Times New Roman"/>
                <w:spacing w:val="10"/>
                <w:sz w:val="21"/>
                <w:szCs w:val="21"/>
              </w:rPr>
              <w:t>o-itrotoluene</w:t>
            </w:r>
          </w:p>
        </w:tc>
        <w:tc>
          <w:tcPr>
            <w:tcW w:w="2403" w:type="dxa"/>
            <w:gridSpan w:val="2"/>
            <w:tcBorders>
              <w:top w:val="single" w:sz="6" w:space="0" w:color="auto"/>
              <w:left w:val="nil"/>
              <w:bottom w:val="single" w:sz="6" w:space="0" w:color="auto"/>
              <w:right w:val="single" w:sz="6" w:space="0" w:color="auto"/>
            </w:tcBorders>
            <w:vAlign w:val="center"/>
          </w:tcPr>
          <w:p w14:paraId="7BE9D0A7"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UN</w:t>
            </w:r>
            <w:r>
              <w:rPr>
                <w:rFonts w:ascii="宋体" w:hAnsi="宋体" w:cs="Times New Roman"/>
                <w:spacing w:val="10"/>
                <w:sz w:val="21"/>
                <w:szCs w:val="21"/>
              </w:rPr>
              <w:t>编号：</w:t>
            </w:r>
            <w:r>
              <w:rPr>
                <w:rFonts w:cs="Times New Roman" w:hint="eastAsia"/>
                <w:spacing w:val="10"/>
                <w:sz w:val="21"/>
                <w:szCs w:val="21"/>
              </w:rPr>
              <w:t>/</w:t>
            </w:r>
          </w:p>
        </w:tc>
      </w:tr>
      <w:tr w:rsidR="00C30FC0" w14:paraId="33E9D72C" w14:textId="77777777" w:rsidTr="00FB6EE0">
        <w:trPr>
          <w:jc w:val="center"/>
        </w:trPr>
        <w:tc>
          <w:tcPr>
            <w:tcW w:w="789" w:type="dxa"/>
            <w:vMerge/>
            <w:tcBorders>
              <w:top w:val="single" w:sz="6" w:space="0" w:color="auto"/>
              <w:left w:val="single" w:sz="6" w:space="0" w:color="auto"/>
              <w:bottom w:val="single" w:sz="6" w:space="0" w:color="auto"/>
              <w:right w:val="single" w:sz="6" w:space="0" w:color="auto"/>
            </w:tcBorders>
            <w:vAlign w:val="center"/>
          </w:tcPr>
          <w:p w14:paraId="34C4C93E" w14:textId="77777777" w:rsidR="00C30FC0" w:rsidRDefault="00C30FC0" w:rsidP="00FB6EE0">
            <w:pPr>
              <w:spacing w:line="240" w:lineRule="auto"/>
              <w:ind w:firstLineChars="0" w:firstLine="0"/>
              <w:rPr>
                <w:rFonts w:cs="Times New Roman"/>
                <w:spacing w:val="10"/>
                <w:sz w:val="21"/>
                <w:szCs w:val="21"/>
              </w:rPr>
            </w:pPr>
          </w:p>
        </w:tc>
        <w:tc>
          <w:tcPr>
            <w:tcW w:w="2730" w:type="dxa"/>
            <w:gridSpan w:val="3"/>
            <w:tcBorders>
              <w:top w:val="single" w:sz="6" w:space="0" w:color="auto"/>
              <w:left w:val="nil"/>
              <w:bottom w:val="single" w:sz="6" w:space="0" w:color="auto"/>
              <w:right w:val="single" w:sz="6" w:space="0" w:color="auto"/>
            </w:tcBorders>
            <w:vAlign w:val="center"/>
          </w:tcPr>
          <w:p w14:paraId="7C693114"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分子式：</w:t>
            </w:r>
            <w:r>
              <w:rPr>
                <w:rFonts w:cs="Times New Roman"/>
                <w:spacing w:val="10"/>
                <w:sz w:val="21"/>
                <w:szCs w:val="21"/>
              </w:rPr>
              <w:t>CH3C6H4NO2</w:t>
            </w:r>
          </w:p>
        </w:tc>
        <w:tc>
          <w:tcPr>
            <w:tcW w:w="2368" w:type="dxa"/>
            <w:gridSpan w:val="4"/>
            <w:tcBorders>
              <w:top w:val="single" w:sz="6" w:space="0" w:color="auto"/>
              <w:left w:val="nil"/>
              <w:bottom w:val="single" w:sz="6" w:space="0" w:color="auto"/>
              <w:right w:val="single" w:sz="6" w:space="0" w:color="auto"/>
            </w:tcBorders>
            <w:vAlign w:val="center"/>
          </w:tcPr>
          <w:p w14:paraId="6A8CB922"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分子量：</w:t>
            </w:r>
            <w:r>
              <w:rPr>
                <w:rFonts w:cs="Times New Roman"/>
                <w:spacing w:val="10"/>
                <w:sz w:val="21"/>
                <w:szCs w:val="21"/>
              </w:rPr>
              <w:t>137.14</w:t>
            </w:r>
          </w:p>
        </w:tc>
        <w:tc>
          <w:tcPr>
            <w:tcW w:w="2403" w:type="dxa"/>
            <w:gridSpan w:val="2"/>
            <w:tcBorders>
              <w:top w:val="single" w:sz="6" w:space="0" w:color="auto"/>
              <w:left w:val="nil"/>
              <w:bottom w:val="single" w:sz="6" w:space="0" w:color="auto"/>
              <w:right w:val="single" w:sz="6" w:space="0" w:color="auto"/>
            </w:tcBorders>
            <w:vAlign w:val="center"/>
          </w:tcPr>
          <w:p w14:paraId="33A74AB5"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CAS</w:t>
            </w:r>
            <w:r>
              <w:rPr>
                <w:rFonts w:ascii="宋体" w:hAnsi="宋体" w:cs="Times New Roman"/>
                <w:spacing w:val="10"/>
                <w:sz w:val="21"/>
                <w:szCs w:val="21"/>
              </w:rPr>
              <w:t>号：</w:t>
            </w:r>
            <w:r>
              <w:rPr>
                <w:rFonts w:cs="Times New Roman"/>
                <w:sz w:val="21"/>
                <w:szCs w:val="21"/>
              </w:rPr>
              <w:t>88-72-2</w:t>
            </w:r>
          </w:p>
        </w:tc>
      </w:tr>
      <w:tr w:rsidR="00C30FC0" w14:paraId="11891B06" w14:textId="77777777" w:rsidTr="00FB6EE0">
        <w:trPr>
          <w:jc w:val="center"/>
        </w:trPr>
        <w:tc>
          <w:tcPr>
            <w:tcW w:w="789" w:type="dxa"/>
            <w:vMerge w:val="restart"/>
            <w:tcBorders>
              <w:top w:val="nil"/>
              <w:left w:val="single" w:sz="6" w:space="0" w:color="auto"/>
              <w:bottom w:val="single" w:sz="6" w:space="0" w:color="auto"/>
              <w:right w:val="single" w:sz="6" w:space="0" w:color="auto"/>
            </w:tcBorders>
            <w:vAlign w:val="center"/>
          </w:tcPr>
          <w:p w14:paraId="2CF08F86"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理性质</w:t>
            </w:r>
          </w:p>
        </w:tc>
        <w:tc>
          <w:tcPr>
            <w:tcW w:w="1500" w:type="dxa"/>
            <w:tcBorders>
              <w:top w:val="single" w:sz="6" w:space="0" w:color="auto"/>
              <w:left w:val="nil"/>
              <w:bottom w:val="single" w:sz="6" w:space="0" w:color="auto"/>
              <w:right w:val="single" w:sz="6" w:space="0" w:color="auto"/>
            </w:tcBorders>
            <w:vAlign w:val="center"/>
          </w:tcPr>
          <w:p w14:paraId="23BEC7AC"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外观与性状</w:t>
            </w:r>
          </w:p>
        </w:tc>
        <w:tc>
          <w:tcPr>
            <w:tcW w:w="6001" w:type="dxa"/>
            <w:gridSpan w:val="8"/>
            <w:tcBorders>
              <w:top w:val="single" w:sz="6" w:space="0" w:color="auto"/>
              <w:left w:val="nil"/>
              <w:bottom w:val="single" w:sz="6" w:space="0" w:color="auto"/>
              <w:right w:val="single" w:sz="6" w:space="0" w:color="auto"/>
            </w:tcBorders>
            <w:vAlign w:val="center"/>
          </w:tcPr>
          <w:p w14:paraId="68FEC99A"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hint="eastAsia"/>
                <w:spacing w:val="10"/>
                <w:sz w:val="21"/>
                <w:szCs w:val="21"/>
              </w:rPr>
              <w:t>微黄色</w:t>
            </w:r>
            <w:r>
              <w:rPr>
                <w:rFonts w:cs="Times New Roman"/>
                <w:spacing w:val="10"/>
                <w:sz w:val="21"/>
                <w:szCs w:val="21"/>
              </w:rPr>
              <w:t>液体</w:t>
            </w:r>
          </w:p>
        </w:tc>
      </w:tr>
      <w:tr w:rsidR="00C30FC0" w14:paraId="5BC41644" w14:textId="77777777" w:rsidTr="00FB6EE0">
        <w:trPr>
          <w:jc w:val="center"/>
        </w:trPr>
        <w:tc>
          <w:tcPr>
            <w:tcW w:w="789" w:type="dxa"/>
            <w:vMerge/>
            <w:tcBorders>
              <w:top w:val="nil"/>
              <w:left w:val="single" w:sz="6" w:space="0" w:color="auto"/>
              <w:bottom w:val="single" w:sz="6" w:space="0" w:color="auto"/>
              <w:right w:val="single" w:sz="6" w:space="0" w:color="auto"/>
            </w:tcBorders>
            <w:vAlign w:val="center"/>
          </w:tcPr>
          <w:p w14:paraId="53DE753E"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1844B0FB"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熔点（</w:t>
            </w:r>
            <w:r>
              <w:rPr>
                <w:rFonts w:ascii="宋体" w:hAnsi="宋体" w:cs="Times New Roman" w:hint="eastAsia"/>
                <w:spacing w:val="10"/>
                <w:sz w:val="21"/>
                <w:szCs w:val="21"/>
              </w:rPr>
              <w:t>℃</w:t>
            </w:r>
            <w:r>
              <w:rPr>
                <w:rFonts w:cs="Times New Roman"/>
                <w:spacing w:val="10"/>
                <w:sz w:val="21"/>
                <w:szCs w:val="21"/>
              </w:rPr>
              <w:t>）</w:t>
            </w:r>
          </w:p>
        </w:tc>
        <w:tc>
          <w:tcPr>
            <w:tcW w:w="837" w:type="dxa"/>
            <w:tcBorders>
              <w:top w:val="single" w:sz="6" w:space="0" w:color="auto"/>
              <w:left w:val="nil"/>
              <w:bottom w:val="single" w:sz="6" w:space="0" w:color="auto"/>
              <w:right w:val="single" w:sz="6" w:space="0" w:color="auto"/>
            </w:tcBorders>
            <w:vAlign w:val="center"/>
          </w:tcPr>
          <w:p w14:paraId="1E463E6A"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z w:val="21"/>
                <w:szCs w:val="21"/>
              </w:rPr>
              <w:t>-4.1</w:t>
            </w:r>
          </w:p>
        </w:tc>
        <w:tc>
          <w:tcPr>
            <w:tcW w:w="1827" w:type="dxa"/>
            <w:gridSpan w:val="2"/>
            <w:tcBorders>
              <w:top w:val="single" w:sz="6" w:space="0" w:color="auto"/>
              <w:left w:val="nil"/>
              <w:bottom w:val="single" w:sz="6" w:space="0" w:color="auto"/>
              <w:right w:val="single" w:sz="6" w:space="0" w:color="auto"/>
            </w:tcBorders>
            <w:vAlign w:val="center"/>
          </w:tcPr>
          <w:p w14:paraId="07D528F3"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相对密度</w:t>
            </w:r>
            <w:r>
              <w:rPr>
                <w:rFonts w:cs="Times New Roman"/>
                <w:spacing w:val="10"/>
                <w:sz w:val="21"/>
                <w:szCs w:val="21"/>
              </w:rPr>
              <w:t>(</w:t>
            </w:r>
            <w:r>
              <w:rPr>
                <w:rFonts w:ascii="宋体" w:hAnsi="宋体" w:cs="Times New Roman"/>
                <w:spacing w:val="10"/>
                <w:sz w:val="21"/>
                <w:szCs w:val="21"/>
              </w:rPr>
              <w:t>水</w:t>
            </w:r>
            <w:r>
              <w:rPr>
                <w:rFonts w:cs="Times New Roman"/>
                <w:spacing w:val="10"/>
                <w:sz w:val="21"/>
                <w:szCs w:val="21"/>
              </w:rPr>
              <w:t>=1)</w:t>
            </w:r>
          </w:p>
        </w:tc>
        <w:tc>
          <w:tcPr>
            <w:tcW w:w="669" w:type="dxa"/>
            <w:gridSpan w:val="2"/>
            <w:tcBorders>
              <w:top w:val="single" w:sz="6" w:space="0" w:color="auto"/>
              <w:left w:val="nil"/>
              <w:bottom w:val="single" w:sz="6" w:space="0" w:color="auto"/>
              <w:right w:val="single" w:sz="6" w:space="0" w:color="auto"/>
            </w:tcBorders>
            <w:vAlign w:val="center"/>
          </w:tcPr>
          <w:p w14:paraId="1790ADD9"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z w:val="21"/>
                <w:szCs w:val="21"/>
              </w:rPr>
              <w:t>1.16</w:t>
            </w:r>
          </w:p>
        </w:tc>
        <w:tc>
          <w:tcPr>
            <w:tcW w:w="1956" w:type="dxa"/>
            <w:gridSpan w:val="2"/>
            <w:tcBorders>
              <w:top w:val="single" w:sz="6" w:space="0" w:color="auto"/>
              <w:left w:val="nil"/>
              <w:bottom w:val="single" w:sz="6" w:space="0" w:color="auto"/>
              <w:right w:val="single" w:sz="6" w:space="0" w:color="auto"/>
            </w:tcBorders>
            <w:vAlign w:val="center"/>
          </w:tcPr>
          <w:p w14:paraId="246A20D2"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相对密度</w:t>
            </w:r>
            <w:r>
              <w:rPr>
                <w:rFonts w:cs="Times New Roman"/>
                <w:spacing w:val="10"/>
                <w:sz w:val="21"/>
                <w:szCs w:val="21"/>
              </w:rPr>
              <w:t>(</w:t>
            </w:r>
            <w:r>
              <w:rPr>
                <w:rFonts w:ascii="宋体" w:hAnsi="宋体" w:cs="Times New Roman"/>
                <w:spacing w:val="10"/>
                <w:sz w:val="21"/>
                <w:szCs w:val="21"/>
              </w:rPr>
              <w:t>空气</w:t>
            </w:r>
            <w:r>
              <w:rPr>
                <w:rFonts w:cs="Times New Roman"/>
                <w:spacing w:val="10"/>
                <w:sz w:val="21"/>
                <w:szCs w:val="21"/>
              </w:rPr>
              <w:t>=1)</w:t>
            </w:r>
          </w:p>
        </w:tc>
        <w:tc>
          <w:tcPr>
            <w:tcW w:w="712" w:type="dxa"/>
            <w:tcBorders>
              <w:top w:val="single" w:sz="6" w:space="0" w:color="auto"/>
              <w:left w:val="nil"/>
              <w:bottom w:val="single" w:sz="6" w:space="0" w:color="auto"/>
              <w:right w:val="single" w:sz="6" w:space="0" w:color="auto"/>
            </w:tcBorders>
            <w:vAlign w:val="center"/>
          </w:tcPr>
          <w:p w14:paraId="1679DA9A"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pacing w:val="10"/>
                <w:sz w:val="21"/>
                <w:szCs w:val="21"/>
              </w:rPr>
              <w:t>4.72</w:t>
            </w:r>
          </w:p>
        </w:tc>
      </w:tr>
      <w:tr w:rsidR="00C30FC0" w14:paraId="1BEF1F43" w14:textId="77777777" w:rsidTr="00FB6EE0">
        <w:trPr>
          <w:jc w:val="center"/>
        </w:trPr>
        <w:tc>
          <w:tcPr>
            <w:tcW w:w="789" w:type="dxa"/>
            <w:vMerge/>
            <w:tcBorders>
              <w:top w:val="nil"/>
              <w:left w:val="single" w:sz="6" w:space="0" w:color="auto"/>
              <w:bottom w:val="single" w:sz="6" w:space="0" w:color="auto"/>
              <w:right w:val="single" w:sz="6" w:space="0" w:color="auto"/>
            </w:tcBorders>
            <w:vAlign w:val="center"/>
          </w:tcPr>
          <w:p w14:paraId="0C97241F"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1D515E94"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沸点（</w:t>
            </w:r>
            <w:r>
              <w:rPr>
                <w:rFonts w:ascii="宋体" w:hAnsi="宋体" w:cs="Times New Roman" w:hint="eastAsia"/>
                <w:spacing w:val="10"/>
                <w:sz w:val="21"/>
                <w:szCs w:val="21"/>
              </w:rPr>
              <w:t>℃</w:t>
            </w:r>
            <w:r>
              <w:rPr>
                <w:rFonts w:cs="Times New Roman"/>
                <w:spacing w:val="10"/>
                <w:sz w:val="21"/>
                <w:szCs w:val="21"/>
              </w:rPr>
              <w:t>）</w:t>
            </w:r>
          </w:p>
        </w:tc>
        <w:tc>
          <w:tcPr>
            <w:tcW w:w="837" w:type="dxa"/>
            <w:tcBorders>
              <w:top w:val="single" w:sz="6" w:space="0" w:color="auto"/>
              <w:left w:val="nil"/>
              <w:bottom w:val="single" w:sz="6" w:space="0" w:color="auto"/>
              <w:right w:val="single" w:sz="6" w:space="0" w:color="auto"/>
            </w:tcBorders>
            <w:vAlign w:val="center"/>
          </w:tcPr>
          <w:p w14:paraId="55A618C6"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pacing w:val="10"/>
                <w:sz w:val="21"/>
                <w:szCs w:val="21"/>
              </w:rPr>
              <w:t>222.3</w:t>
            </w:r>
          </w:p>
        </w:tc>
        <w:tc>
          <w:tcPr>
            <w:tcW w:w="2496" w:type="dxa"/>
            <w:gridSpan w:val="4"/>
            <w:tcBorders>
              <w:top w:val="single" w:sz="6" w:space="0" w:color="auto"/>
              <w:left w:val="nil"/>
              <w:bottom w:val="single" w:sz="6" w:space="0" w:color="auto"/>
              <w:right w:val="single" w:sz="6" w:space="0" w:color="auto"/>
            </w:tcBorders>
            <w:vAlign w:val="center"/>
          </w:tcPr>
          <w:p w14:paraId="601148EE"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饱和蒸气压（</w:t>
            </w:r>
            <w:r>
              <w:rPr>
                <w:rFonts w:cs="Times New Roman"/>
                <w:spacing w:val="10"/>
                <w:sz w:val="21"/>
                <w:szCs w:val="21"/>
              </w:rPr>
              <w:t>kPa</w:t>
            </w:r>
            <w:r>
              <w:rPr>
                <w:rFonts w:ascii="宋体" w:hAnsi="宋体" w:cs="Times New Roman"/>
                <w:spacing w:val="10"/>
                <w:sz w:val="21"/>
                <w:szCs w:val="21"/>
              </w:rPr>
              <w:t>）</w:t>
            </w:r>
          </w:p>
        </w:tc>
        <w:tc>
          <w:tcPr>
            <w:tcW w:w="2668" w:type="dxa"/>
            <w:gridSpan w:val="3"/>
            <w:tcBorders>
              <w:top w:val="single" w:sz="6" w:space="0" w:color="auto"/>
              <w:left w:val="nil"/>
              <w:bottom w:val="single" w:sz="6" w:space="0" w:color="auto"/>
              <w:right w:val="single" w:sz="6" w:space="0" w:color="auto"/>
            </w:tcBorders>
            <w:vAlign w:val="center"/>
          </w:tcPr>
          <w:p w14:paraId="1227CCF9"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0.13/50</w:t>
            </w:r>
            <w:r>
              <w:rPr>
                <w:rFonts w:ascii="宋体" w:hAnsi="宋体" w:cs="宋体"/>
                <w:spacing w:val="10"/>
                <w:sz w:val="21"/>
                <w:szCs w:val="21"/>
              </w:rPr>
              <w:t>℃</w:t>
            </w:r>
          </w:p>
        </w:tc>
      </w:tr>
      <w:tr w:rsidR="00C30FC0" w14:paraId="461EF793" w14:textId="77777777" w:rsidTr="00FB6EE0">
        <w:trPr>
          <w:jc w:val="center"/>
        </w:trPr>
        <w:tc>
          <w:tcPr>
            <w:tcW w:w="789" w:type="dxa"/>
            <w:vMerge/>
            <w:tcBorders>
              <w:top w:val="nil"/>
              <w:left w:val="single" w:sz="6" w:space="0" w:color="auto"/>
              <w:bottom w:val="single" w:sz="6" w:space="0" w:color="auto"/>
              <w:right w:val="single" w:sz="6" w:space="0" w:color="auto"/>
            </w:tcBorders>
            <w:vAlign w:val="center"/>
          </w:tcPr>
          <w:p w14:paraId="3F8F06A9"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6CFF5982"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溶解性</w:t>
            </w:r>
          </w:p>
        </w:tc>
        <w:tc>
          <w:tcPr>
            <w:tcW w:w="6001" w:type="dxa"/>
            <w:gridSpan w:val="8"/>
            <w:tcBorders>
              <w:top w:val="single" w:sz="6" w:space="0" w:color="auto"/>
              <w:left w:val="nil"/>
              <w:bottom w:val="single" w:sz="6" w:space="0" w:color="auto"/>
              <w:right w:val="single" w:sz="6" w:space="0" w:color="auto"/>
            </w:tcBorders>
            <w:vAlign w:val="center"/>
          </w:tcPr>
          <w:p w14:paraId="1B19C172"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hint="eastAsia"/>
                <w:sz w:val="21"/>
                <w:szCs w:val="21"/>
              </w:rPr>
              <w:t>不溶于水，可混溶于醇、醚</w:t>
            </w:r>
          </w:p>
        </w:tc>
      </w:tr>
      <w:tr w:rsidR="00C30FC0" w14:paraId="78D344EB" w14:textId="77777777" w:rsidTr="00FB6EE0">
        <w:trPr>
          <w:jc w:val="center"/>
        </w:trPr>
        <w:tc>
          <w:tcPr>
            <w:tcW w:w="789" w:type="dxa"/>
            <w:vMerge w:val="restart"/>
            <w:tcBorders>
              <w:top w:val="nil"/>
              <w:left w:val="single" w:sz="6" w:space="0" w:color="auto"/>
              <w:bottom w:val="single" w:sz="6" w:space="0" w:color="auto"/>
              <w:right w:val="single" w:sz="6" w:space="0" w:color="auto"/>
            </w:tcBorders>
            <w:vAlign w:val="center"/>
          </w:tcPr>
          <w:p w14:paraId="2D0C8EFB"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毒性及健康危害</w:t>
            </w:r>
          </w:p>
        </w:tc>
        <w:tc>
          <w:tcPr>
            <w:tcW w:w="1500" w:type="dxa"/>
            <w:tcBorders>
              <w:top w:val="single" w:sz="6" w:space="0" w:color="auto"/>
              <w:left w:val="nil"/>
              <w:bottom w:val="nil"/>
              <w:right w:val="single" w:sz="6" w:space="0" w:color="auto"/>
            </w:tcBorders>
            <w:vAlign w:val="center"/>
          </w:tcPr>
          <w:p w14:paraId="55D5FF16"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侵入途径</w:t>
            </w:r>
          </w:p>
        </w:tc>
        <w:tc>
          <w:tcPr>
            <w:tcW w:w="6001" w:type="dxa"/>
            <w:gridSpan w:val="8"/>
            <w:tcBorders>
              <w:top w:val="single" w:sz="6" w:space="0" w:color="auto"/>
              <w:left w:val="nil"/>
              <w:bottom w:val="nil"/>
              <w:right w:val="single" w:sz="4" w:space="0" w:color="auto"/>
            </w:tcBorders>
            <w:vAlign w:val="center"/>
          </w:tcPr>
          <w:p w14:paraId="0DA7C8E9"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hint="eastAsia"/>
                <w:spacing w:val="10"/>
                <w:sz w:val="21"/>
                <w:szCs w:val="21"/>
              </w:rPr>
              <w:t>吸入、食入、经皮吸收。</w:t>
            </w:r>
          </w:p>
        </w:tc>
      </w:tr>
      <w:tr w:rsidR="00C30FC0" w14:paraId="68B9159B" w14:textId="77777777" w:rsidTr="00FB6EE0">
        <w:trPr>
          <w:jc w:val="center"/>
        </w:trPr>
        <w:tc>
          <w:tcPr>
            <w:tcW w:w="789" w:type="dxa"/>
            <w:vMerge/>
            <w:tcBorders>
              <w:top w:val="nil"/>
              <w:left w:val="single" w:sz="6" w:space="0" w:color="auto"/>
              <w:bottom w:val="single" w:sz="6" w:space="0" w:color="auto"/>
              <w:right w:val="single" w:sz="6" w:space="0" w:color="auto"/>
            </w:tcBorders>
            <w:vAlign w:val="center"/>
          </w:tcPr>
          <w:p w14:paraId="5C07E700"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3635E01D"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毒性</w:t>
            </w:r>
          </w:p>
        </w:tc>
        <w:tc>
          <w:tcPr>
            <w:tcW w:w="6001" w:type="dxa"/>
            <w:gridSpan w:val="8"/>
            <w:tcBorders>
              <w:top w:val="single" w:sz="6" w:space="0" w:color="auto"/>
              <w:left w:val="nil"/>
              <w:bottom w:val="single" w:sz="6" w:space="0" w:color="auto"/>
              <w:right w:val="single" w:sz="6" w:space="0" w:color="auto"/>
            </w:tcBorders>
            <w:vAlign w:val="center"/>
          </w:tcPr>
          <w:p w14:paraId="4BE38EB4" w14:textId="77777777" w:rsidR="00C30FC0" w:rsidRDefault="00C30FC0" w:rsidP="00FB6EE0">
            <w:pPr>
              <w:widowControl w:val="0"/>
              <w:spacing w:line="360" w:lineRule="exact"/>
              <w:ind w:firstLineChars="0" w:firstLine="0"/>
              <w:contextualSpacing/>
              <w:jc w:val="both"/>
              <w:rPr>
                <w:rFonts w:cs="Times New Roman"/>
                <w:sz w:val="21"/>
                <w:szCs w:val="21"/>
              </w:rPr>
            </w:pPr>
            <w:r>
              <w:rPr>
                <w:rFonts w:cs="Times New Roman"/>
                <w:spacing w:val="10"/>
                <w:sz w:val="21"/>
                <w:szCs w:val="21"/>
              </w:rPr>
              <w:t>LD</w:t>
            </w:r>
            <w:r>
              <w:rPr>
                <w:rFonts w:cs="Times New Roman"/>
                <w:spacing w:val="10"/>
                <w:sz w:val="21"/>
                <w:szCs w:val="21"/>
                <w:vertAlign w:val="subscript"/>
              </w:rPr>
              <w:t>50</w:t>
            </w:r>
            <w:r>
              <w:rPr>
                <w:rFonts w:cs="Times New Roman"/>
                <w:spacing w:val="10"/>
                <w:sz w:val="21"/>
                <w:szCs w:val="21"/>
              </w:rPr>
              <w:t>：</w:t>
            </w:r>
            <w:r>
              <w:rPr>
                <w:rFonts w:cs="Times New Roman" w:hint="eastAsia"/>
                <w:spacing w:val="10"/>
                <w:sz w:val="21"/>
                <w:szCs w:val="21"/>
              </w:rPr>
              <w:t>891mg/kg</w:t>
            </w:r>
            <w:r>
              <w:rPr>
                <w:rFonts w:ascii="宋体" w:hAnsi="宋体" w:cs="Times New Roman" w:hint="eastAsia"/>
                <w:spacing w:val="10"/>
                <w:sz w:val="21"/>
                <w:szCs w:val="21"/>
              </w:rPr>
              <w:t>（大鼠经口）</w:t>
            </w:r>
          </w:p>
          <w:p w14:paraId="73E664E2"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pacing w:val="10"/>
                <w:sz w:val="21"/>
                <w:szCs w:val="21"/>
              </w:rPr>
              <w:t>LC</w:t>
            </w:r>
            <w:r>
              <w:rPr>
                <w:rFonts w:cs="Times New Roman"/>
                <w:spacing w:val="10"/>
                <w:sz w:val="21"/>
                <w:szCs w:val="21"/>
                <w:vertAlign w:val="subscript"/>
              </w:rPr>
              <w:t>50</w:t>
            </w:r>
            <w:r>
              <w:rPr>
                <w:rFonts w:cs="Times New Roman"/>
                <w:spacing w:val="10"/>
                <w:sz w:val="21"/>
                <w:szCs w:val="21"/>
              </w:rPr>
              <w:t>：</w:t>
            </w:r>
            <w:r>
              <w:rPr>
                <w:rFonts w:cs="Times New Roman"/>
                <w:spacing w:val="10"/>
                <w:sz w:val="21"/>
                <w:szCs w:val="21"/>
              </w:rPr>
              <w:t>/</w:t>
            </w:r>
          </w:p>
        </w:tc>
      </w:tr>
      <w:tr w:rsidR="00C30FC0" w14:paraId="78E18C0D" w14:textId="77777777" w:rsidTr="00FB6EE0">
        <w:trPr>
          <w:jc w:val="center"/>
        </w:trPr>
        <w:tc>
          <w:tcPr>
            <w:tcW w:w="789" w:type="dxa"/>
            <w:vMerge/>
            <w:tcBorders>
              <w:top w:val="nil"/>
              <w:left w:val="single" w:sz="6" w:space="0" w:color="auto"/>
              <w:bottom w:val="single" w:sz="6" w:space="0" w:color="auto"/>
              <w:right w:val="single" w:sz="6" w:space="0" w:color="auto"/>
            </w:tcBorders>
            <w:vAlign w:val="center"/>
          </w:tcPr>
          <w:p w14:paraId="1F7EBD8B"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4" w:space="0" w:color="auto"/>
              <w:right w:val="single" w:sz="6" w:space="0" w:color="auto"/>
            </w:tcBorders>
            <w:vAlign w:val="center"/>
          </w:tcPr>
          <w:p w14:paraId="5C3A35FE"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健康危害</w:t>
            </w:r>
          </w:p>
        </w:tc>
        <w:tc>
          <w:tcPr>
            <w:tcW w:w="6001" w:type="dxa"/>
            <w:gridSpan w:val="8"/>
            <w:tcBorders>
              <w:top w:val="single" w:sz="6" w:space="0" w:color="auto"/>
              <w:left w:val="nil"/>
              <w:bottom w:val="single" w:sz="4" w:space="0" w:color="auto"/>
              <w:right w:val="single" w:sz="6" w:space="0" w:color="auto"/>
            </w:tcBorders>
            <w:vAlign w:val="center"/>
          </w:tcPr>
          <w:p w14:paraId="40362977"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hint="eastAsia"/>
                <w:spacing w:val="10"/>
                <w:sz w:val="21"/>
                <w:szCs w:val="21"/>
              </w:rPr>
              <w:t>对眼睛、呼吸道和皮肤有刺激作用。吸收进入体内可引起高铁血红蛋白血症，出现紫绀。严重中毒者可致死</w:t>
            </w:r>
          </w:p>
        </w:tc>
      </w:tr>
      <w:tr w:rsidR="00C30FC0" w14:paraId="540004EC" w14:textId="77777777" w:rsidTr="00FB6EE0">
        <w:trPr>
          <w:jc w:val="center"/>
        </w:trPr>
        <w:tc>
          <w:tcPr>
            <w:tcW w:w="789" w:type="dxa"/>
            <w:vMerge/>
            <w:tcBorders>
              <w:top w:val="nil"/>
              <w:left w:val="single" w:sz="6" w:space="0" w:color="auto"/>
              <w:bottom w:val="single" w:sz="6" w:space="0" w:color="auto"/>
              <w:right w:val="single" w:sz="6" w:space="0" w:color="auto"/>
            </w:tcBorders>
            <w:vAlign w:val="center"/>
          </w:tcPr>
          <w:p w14:paraId="7FC6B60C"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4" w:space="0" w:color="auto"/>
              <w:left w:val="nil"/>
              <w:bottom w:val="single" w:sz="6" w:space="0" w:color="auto"/>
              <w:right w:val="single" w:sz="6" w:space="0" w:color="auto"/>
            </w:tcBorders>
            <w:vAlign w:val="center"/>
          </w:tcPr>
          <w:p w14:paraId="0542D6C9"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急救方法</w:t>
            </w:r>
          </w:p>
        </w:tc>
        <w:tc>
          <w:tcPr>
            <w:tcW w:w="6001" w:type="dxa"/>
            <w:gridSpan w:val="8"/>
            <w:tcBorders>
              <w:top w:val="single" w:sz="4" w:space="0" w:color="auto"/>
              <w:left w:val="nil"/>
              <w:bottom w:val="single" w:sz="6" w:space="0" w:color="auto"/>
              <w:right w:val="single" w:sz="6" w:space="0" w:color="auto"/>
            </w:tcBorders>
            <w:vAlign w:val="center"/>
          </w:tcPr>
          <w:p w14:paraId="70368A33" w14:textId="77777777" w:rsidR="00C30FC0" w:rsidRDefault="00C30FC0" w:rsidP="00FB6EE0">
            <w:pPr>
              <w:widowControl w:val="0"/>
              <w:spacing w:line="360" w:lineRule="exact"/>
              <w:ind w:firstLineChars="0" w:firstLine="0"/>
              <w:contextualSpacing/>
              <w:jc w:val="both"/>
              <w:rPr>
                <w:rFonts w:cs="Times New Roman"/>
                <w:sz w:val="21"/>
                <w:szCs w:val="21"/>
              </w:rPr>
            </w:pPr>
            <w:r>
              <w:rPr>
                <w:rFonts w:cs="Times New Roman" w:hint="eastAsia"/>
                <w:sz w:val="21"/>
                <w:szCs w:val="21"/>
              </w:rPr>
              <w:t>皮肤接触：立即脱去被污染的衣着，用肥皂水和清水彻底冲洗皮肤。就医。眼睛接触：提起眼睑，用流动清水或生理盐水冲洗。</w:t>
            </w:r>
            <w:r>
              <w:rPr>
                <w:rFonts w:cs="Times New Roman" w:hint="eastAsia"/>
                <w:sz w:val="21"/>
                <w:szCs w:val="21"/>
              </w:rPr>
              <w:lastRenderedPageBreak/>
              <w:t>就医。</w:t>
            </w:r>
          </w:p>
          <w:p w14:paraId="7760B4AB" w14:textId="77777777" w:rsidR="00C30FC0" w:rsidRDefault="00C30FC0" w:rsidP="00FB6EE0">
            <w:pPr>
              <w:widowControl w:val="0"/>
              <w:spacing w:line="360" w:lineRule="exact"/>
              <w:ind w:firstLineChars="0" w:firstLine="0"/>
              <w:contextualSpacing/>
              <w:jc w:val="both"/>
              <w:rPr>
                <w:rFonts w:cs="Times New Roman"/>
                <w:sz w:val="21"/>
                <w:szCs w:val="21"/>
              </w:rPr>
            </w:pPr>
            <w:r>
              <w:rPr>
                <w:rFonts w:cs="Times New Roman" w:hint="eastAsia"/>
                <w:sz w:val="21"/>
                <w:szCs w:val="21"/>
              </w:rPr>
              <w:t>吸入：迅速脱离现场至空气新鲜处。保持呼吸道通畅。如呼吸困难，给输氧。如呼吸停止，立即进行人工呼吸。就医。食入：饮足量温水，催吐，就医。</w:t>
            </w:r>
          </w:p>
        </w:tc>
      </w:tr>
      <w:tr w:rsidR="00C30FC0" w14:paraId="6782287E" w14:textId="77777777" w:rsidTr="00FB6EE0">
        <w:trPr>
          <w:jc w:val="center"/>
        </w:trPr>
        <w:tc>
          <w:tcPr>
            <w:tcW w:w="789" w:type="dxa"/>
            <w:vMerge w:val="restart"/>
            <w:tcBorders>
              <w:top w:val="nil"/>
              <w:left w:val="single" w:sz="6" w:space="0" w:color="auto"/>
              <w:bottom w:val="single" w:sz="6" w:space="0" w:color="auto"/>
              <w:right w:val="single" w:sz="6" w:space="0" w:color="auto"/>
            </w:tcBorders>
            <w:vAlign w:val="center"/>
          </w:tcPr>
          <w:p w14:paraId="1FC9B4DE"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lastRenderedPageBreak/>
              <w:t>燃烧爆炸危险性</w:t>
            </w:r>
          </w:p>
        </w:tc>
        <w:tc>
          <w:tcPr>
            <w:tcW w:w="1500" w:type="dxa"/>
            <w:tcBorders>
              <w:top w:val="single" w:sz="6" w:space="0" w:color="auto"/>
              <w:left w:val="nil"/>
              <w:bottom w:val="single" w:sz="6" w:space="0" w:color="auto"/>
              <w:right w:val="single" w:sz="6" w:space="0" w:color="auto"/>
            </w:tcBorders>
            <w:vAlign w:val="center"/>
          </w:tcPr>
          <w:p w14:paraId="182C680A"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燃烧性</w:t>
            </w:r>
          </w:p>
        </w:tc>
        <w:tc>
          <w:tcPr>
            <w:tcW w:w="1230" w:type="dxa"/>
            <w:gridSpan w:val="2"/>
            <w:tcBorders>
              <w:top w:val="single" w:sz="6" w:space="0" w:color="auto"/>
              <w:left w:val="nil"/>
              <w:bottom w:val="single" w:sz="6" w:space="0" w:color="auto"/>
              <w:right w:val="single" w:sz="6" w:space="0" w:color="auto"/>
            </w:tcBorders>
            <w:vAlign w:val="center"/>
          </w:tcPr>
          <w:p w14:paraId="7AA014BB"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助燃</w:t>
            </w:r>
          </w:p>
        </w:tc>
        <w:tc>
          <w:tcPr>
            <w:tcW w:w="1575" w:type="dxa"/>
            <w:gridSpan w:val="2"/>
            <w:tcBorders>
              <w:top w:val="single" w:sz="6" w:space="0" w:color="auto"/>
              <w:left w:val="nil"/>
              <w:bottom w:val="single" w:sz="6" w:space="0" w:color="auto"/>
              <w:right w:val="single" w:sz="6" w:space="0" w:color="auto"/>
            </w:tcBorders>
            <w:vAlign w:val="center"/>
          </w:tcPr>
          <w:p w14:paraId="6A48469D"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燃烧分解物</w:t>
            </w:r>
          </w:p>
        </w:tc>
        <w:tc>
          <w:tcPr>
            <w:tcW w:w="3196" w:type="dxa"/>
            <w:gridSpan w:val="4"/>
            <w:tcBorders>
              <w:top w:val="single" w:sz="6" w:space="0" w:color="auto"/>
              <w:left w:val="nil"/>
              <w:bottom w:val="single" w:sz="6" w:space="0" w:color="auto"/>
              <w:right w:val="single" w:sz="6" w:space="0" w:color="auto"/>
            </w:tcBorders>
            <w:vAlign w:val="center"/>
          </w:tcPr>
          <w:p w14:paraId="71C9D876"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pacing w:val="10"/>
                <w:sz w:val="21"/>
                <w:szCs w:val="21"/>
              </w:rPr>
              <w:t>一氧化碳、二氧化碳、氮氧化物</w:t>
            </w:r>
          </w:p>
        </w:tc>
      </w:tr>
      <w:tr w:rsidR="00C30FC0" w14:paraId="5EF841C0" w14:textId="77777777" w:rsidTr="00FB6EE0">
        <w:trPr>
          <w:jc w:val="center"/>
        </w:trPr>
        <w:tc>
          <w:tcPr>
            <w:tcW w:w="789" w:type="dxa"/>
            <w:vMerge/>
            <w:tcBorders>
              <w:top w:val="nil"/>
              <w:left w:val="single" w:sz="6" w:space="0" w:color="auto"/>
              <w:bottom w:val="single" w:sz="6" w:space="0" w:color="auto"/>
              <w:right w:val="single" w:sz="6" w:space="0" w:color="auto"/>
            </w:tcBorders>
            <w:vAlign w:val="center"/>
          </w:tcPr>
          <w:p w14:paraId="07584CE8"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618B1FAB"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闪点</w:t>
            </w:r>
            <w:r>
              <w:rPr>
                <w:rFonts w:cs="Times New Roman"/>
                <w:spacing w:val="10"/>
                <w:sz w:val="21"/>
                <w:szCs w:val="21"/>
              </w:rPr>
              <w:t>(</w:t>
            </w:r>
            <w:r>
              <w:rPr>
                <w:rFonts w:ascii="宋体" w:hAnsi="宋体" w:cs="Times New Roman" w:hint="eastAsia"/>
                <w:spacing w:val="10"/>
                <w:sz w:val="21"/>
                <w:szCs w:val="21"/>
              </w:rPr>
              <w:t>℃</w:t>
            </w:r>
            <w:r>
              <w:rPr>
                <w:rFonts w:cs="Times New Roman"/>
                <w:spacing w:val="10"/>
                <w:sz w:val="21"/>
                <w:szCs w:val="21"/>
              </w:rPr>
              <w:t>)</w:t>
            </w:r>
          </w:p>
        </w:tc>
        <w:tc>
          <w:tcPr>
            <w:tcW w:w="1230" w:type="dxa"/>
            <w:gridSpan w:val="2"/>
            <w:tcBorders>
              <w:top w:val="single" w:sz="6" w:space="0" w:color="auto"/>
              <w:left w:val="nil"/>
              <w:bottom w:val="single" w:sz="6" w:space="0" w:color="auto"/>
              <w:right w:val="single" w:sz="6" w:space="0" w:color="auto"/>
            </w:tcBorders>
            <w:vAlign w:val="center"/>
          </w:tcPr>
          <w:p w14:paraId="314AD696"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pacing w:val="10"/>
                <w:sz w:val="21"/>
                <w:szCs w:val="21"/>
              </w:rPr>
              <w:t>106</w:t>
            </w:r>
          </w:p>
        </w:tc>
        <w:tc>
          <w:tcPr>
            <w:tcW w:w="1575" w:type="dxa"/>
            <w:gridSpan w:val="2"/>
            <w:tcBorders>
              <w:top w:val="single" w:sz="6" w:space="0" w:color="auto"/>
              <w:left w:val="nil"/>
              <w:bottom w:val="single" w:sz="6" w:space="0" w:color="auto"/>
              <w:right w:val="single" w:sz="6" w:space="0" w:color="auto"/>
            </w:tcBorders>
            <w:vAlign w:val="center"/>
          </w:tcPr>
          <w:p w14:paraId="1F170ED0"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爆炸上限（</w:t>
            </w:r>
            <w:r>
              <w:rPr>
                <w:rFonts w:cs="Times New Roman"/>
                <w:spacing w:val="10"/>
                <w:sz w:val="21"/>
                <w:szCs w:val="21"/>
              </w:rPr>
              <w:t>v%</w:t>
            </w:r>
            <w:r>
              <w:rPr>
                <w:rFonts w:ascii="宋体" w:hAnsi="宋体" w:cs="Times New Roman"/>
                <w:spacing w:val="10"/>
                <w:sz w:val="21"/>
                <w:szCs w:val="21"/>
              </w:rPr>
              <w:t>）</w:t>
            </w:r>
          </w:p>
        </w:tc>
        <w:tc>
          <w:tcPr>
            <w:tcW w:w="3196" w:type="dxa"/>
            <w:gridSpan w:val="4"/>
            <w:tcBorders>
              <w:top w:val="single" w:sz="6" w:space="0" w:color="auto"/>
              <w:left w:val="nil"/>
              <w:bottom w:val="single" w:sz="6" w:space="0" w:color="auto"/>
              <w:right w:val="single" w:sz="6" w:space="0" w:color="auto"/>
            </w:tcBorders>
            <w:vAlign w:val="center"/>
          </w:tcPr>
          <w:p w14:paraId="529FFEA1"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pacing w:val="10"/>
                <w:sz w:val="21"/>
                <w:szCs w:val="21"/>
              </w:rPr>
              <w:t>/</w:t>
            </w:r>
          </w:p>
        </w:tc>
      </w:tr>
      <w:tr w:rsidR="00C30FC0" w14:paraId="26ABBA8E" w14:textId="77777777" w:rsidTr="00FB6EE0">
        <w:trPr>
          <w:jc w:val="center"/>
        </w:trPr>
        <w:tc>
          <w:tcPr>
            <w:tcW w:w="789" w:type="dxa"/>
            <w:vMerge/>
            <w:tcBorders>
              <w:top w:val="nil"/>
              <w:left w:val="single" w:sz="6" w:space="0" w:color="auto"/>
              <w:bottom w:val="single" w:sz="6" w:space="0" w:color="auto"/>
              <w:right w:val="single" w:sz="6" w:space="0" w:color="auto"/>
            </w:tcBorders>
            <w:vAlign w:val="center"/>
          </w:tcPr>
          <w:p w14:paraId="74FF45BA"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0022EEC1"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引燃温度</w:t>
            </w:r>
            <w:r>
              <w:rPr>
                <w:rFonts w:cs="Times New Roman"/>
                <w:spacing w:val="10"/>
                <w:sz w:val="21"/>
                <w:szCs w:val="21"/>
              </w:rPr>
              <w:t>(</w:t>
            </w:r>
            <w:r>
              <w:rPr>
                <w:rFonts w:ascii="宋体" w:hAnsi="宋体" w:cs="Times New Roman" w:hint="eastAsia"/>
                <w:spacing w:val="10"/>
                <w:sz w:val="21"/>
                <w:szCs w:val="21"/>
              </w:rPr>
              <w:t>℃</w:t>
            </w:r>
            <w:r>
              <w:rPr>
                <w:rFonts w:cs="Times New Roman"/>
                <w:spacing w:val="10"/>
                <w:sz w:val="21"/>
                <w:szCs w:val="21"/>
              </w:rPr>
              <w:t>)</w:t>
            </w:r>
          </w:p>
        </w:tc>
        <w:tc>
          <w:tcPr>
            <w:tcW w:w="1230" w:type="dxa"/>
            <w:gridSpan w:val="2"/>
            <w:tcBorders>
              <w:top w:val="single" w:sz="6" w:space="0" w:color="auto"/>
              <w:left w:val="nil"/>
              <w:bottom w:val="single" w:sz="6" w:space="0" w:color="auto"/>
              <w:right w:val="single" w:sz="6" w:space="0" w:color="auto"/>
            </w:tcBorders>
            <w:vAlign w:val="center"/>
          </w:tcPr>
          <w:p w14:paraId="572E1118"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pacing w:val="10"/>
                <w:sz w:val="21"/>
                <w:szCs w:val="21"/>
              </w:rPr>
              <w:t>305</w:t>
            </w:r>
          </w:p>
        </w:tc>
        <w:tc>
          <w:tcPr>
            <w:tcW w:w="1575" w:type="dxa"/>
            <w:gridSpan w:val="2"/>
            <w:tcBorders>
              <w:top w:val="single" w:sz="6" w:space="0" w:color="auto"/>
              <w:left w:val="nil"/>
              <w:bottom w:val="single" w:sz="6" w:space="0" w:color="auto"/>
              <w:right w:val="single" w:sz="6" w:space="0" w:color="auto"/>
            </w:tcBorders>
            <w:vAlign w:val="center"/>
          </w:tcPr>
          <w:p w14:paraId="1D529B4A"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爆炸下限（</w:t>
            </w:r>
            <w:r>
              <w:rPr>
                <w:rFonts w:cs="Times New Roman"/>
                <w:spacing w:val="10"/>
                <w:sz w:val="21"/>
                <w:szCs w:val="21"/>
              </w:rPr>
              <w:t>v%</w:t>
            </w:r>
            <w:r>
              <w:rPr>
                <w:rFonts w:ascii="宋体" w:hAnsi="宋体" w:cs="Times New Roman"/>
                <w:spacing w:val="10"/>
                <w:sz w:val="21"/>
                <w:szCs w:val="21"/>
              </w:rPr>
              <w:t>）</w:t>
            </w:r>
          </w:p>
        </w:tc>
        <w:tc>
          <w:tcPr>
            <w:tcW w:w="3196" w:type="dxa"/>
            <w:gridSpan w:val="4"/>
            <w:tcBorders>
              <w:top w:val="single" w:sz="6" w:space="0" w:color="auto"/>
              <w:left w:val="nil"/>
              <w:bottom w:val="single" w:sz="6" w:space="0" w:color="auto"/>
              <w:right w:val="single" w:sz="6" w:space="0" w:color="auto"/>
            </w:tcBorders>
            <w:vAlign w:val="center"/>
          </w:tcPr>
          <w:p w14:paraId="051C3862"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hint="eastAsia"/>
                <w:spacing w:val="10"/>
                <w:sz w:val="21"/>
                <w:szCs w:val="21"/>
              </w:rPr>
              <w:t>/</w:t>
            </w:r>
          </w:p>
        </w:tc>
      </w:tr>
      <w:tr w:rsidR="00C30FC0" w14:paraId="68E73284" w14:textId="77777777" w:rsidTr="00FB6EE0">
        <w:trPr>
          <w:jc w:val="center"/>
        </w:trPr>
        <w:tc>
          <w:tcPr>
            <w:tcW w:w="789" w:type="dxa"/>
            <w:vMerge/>
            <w:tcBorders>
              <w:top w:val="nil"/>
              <w:left w:val="single" w:sz="6" w:space="0" w:color="auto"/>
              <w:bottom w:val="single" w:sz="6" w:space="0" w:color="auto"/>
              <w:right w:val="single" w:sz="6" w:space="0" w:color="auto"/>
            </w:tcBorders>
            <w:vAlign w:val="center"/>
          </w:tcPr>
          <w:p w14:paraId="2520A0D8"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6FC74E57"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危险特性</w:t>
            </w:r>
          </w:p>
        </w:tc>
        <w:tc>
          <w:tcPr>
            <w:tcW w:w="6001" w:type="dxa"/>
            <w:gridSpan w:val="8"/>
            <w:tcBorders>
              <w:top w:val="single" w:sz="6" w:space="0" w:color="auto"/>
              <w:left w:val="nil"/>
              <w:bottom w:val="single" w:sz="6" w:space="0" w:color="auto"/>
              <w:right w:val="single" w:sz="6" w:space="0" w:color="auto"/>
            </w:tcBorders>
            <w:vAlign w:val="center"/>
          </w:tcPr>
          <w:p w14:paraId="4C155192"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hint="eastAsia"/>
                <w:spacing w:val="10"/>
                <w:sz w:val="21"/>
                <w:szCs w:val="21"/>
              </w:rPr>
              <w:t>易燃，遇明火、高热或与氧化剂接触，有引起燃烧爆炸的危险。受高热分解放出有毒的气体。</w:t>
            </w:r>
          </w:p>
        </w:tc>
      </w:tr>
      <w:tr w:rsidR="00C30FC0" w14:paraId="77EEDAC9" w14:textId="77777777" w:rsidTr="00FB6EE0">
        <w:trPr>
          <w:jc w:val="center"/>
        </w:trPr>
        <w:tc>
          <w:tcPr>
            <w:tcW w:w="789" w:type="dxa"/>
            <w:vMerge/>
            <w:tcBorders>
              <w:top w:val="nil"/>
              <w:left w:val="single" w:sz="6" w:space="0" w:color="auto"/>
              <w:bottom w:val="single" w:sz="6" w:space="0" w:color="auto"/>
              <w:right w:val="single" w:sz="6" w:space="0" w:color="auto"/>
            </w:tcBorders>
            <w:vAlign w:val="center"/>
          </w:tcPr>
          <w:p w14:paraId="0889E20D"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2CB1B602"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与泄漏处理</w:t>
            </w:r>
          </w:p>
        </w:tc>
        <w:tc>
          <w:tcPr>
            <w:tcW w:w="6001" w:type="dxa"/>
            <w:gridSpan w:val="8"/>
            <w:tcBorders>
              <w:top w:val="single" w:sz="6" w:space="0" w:color="auto"/>
              <w:left w:val="nil"/>
              <w:bottom w:val="single" w:sz="6" w:space="0" w:color="auto"/>
              <w:right w:val="single" w:sz="6" w:space="0" w:color="auto"/>
            </w:tcBorders>
            <w:vAlign w:val="center"/>
          </w:tcPr>
          <w:p w14:paraId="38A047CA"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b/>
                <w:bCs/>
                <w:spacing w:val="10"/>
                <w:sz w:val="21"/>
                <w:szCs w:val="21"/>
              </w:rPr>
              <w:t>泄漏处理</w:t>
            </w:r>
            <w:r>
              <w:rPr>
                <w:rFonts w:cs="Times New Roman"/>
                <w:spacing w:val="10"/>
                <w:sz w:val="21"/>
                <w:szCs w:val="21"/>
              </w:rPr>
              <w:t>：</w:t>
            </w:r>
            <w:r>
              <w:rPr>
                <w:rFonts w:cs="Times New Roman" w:hint="eastAsia"/>
                <w:sz w:val="21"/>
                <w:szCs w:val="21"/>
              </w:rPr>
              <w:t>迅速撤离泄漏污染区人员至安全区，并进行隔离，严格限制出入。切断火源。建议应急处理人员戴自给正压式呼吸器，穿防毒服。不要直接接触泄漏物。尽可能切断泄漏源。防止进入下水道、排洪沟等限制性空间。小量泄漏：用砂土或其它不燃材料吸附或吸收。大量泄漏：构筑围堤或挖坑收容；用泵转移至槽车或专用收集器内，回收或运至废物处理场所处置。</w:t>
            </w:r>
          </w:p>
        </w:tc>
      </w:tr>
      <w:tr w:rsidR="00C30FC0" w14:paraId="10D12839" w14:textId="77777777" w:rsidTr="00FB6EE0">
        <w:trPr>
          <w:jc w:val="center"/>
        </w:trPr>
        <w:tc>
          <w:tcPr>
            <w:tcW w:w="789" w:type="dxa"/>
            <w:vMerge/>
            <w:tcBorders>
              <w:top w:val="nil"/>
              <w:left w:val="single" w:sz="6" w:space="0" w:color="auto"/>
              <w:bottom w:val="single" w:sz="6" w:space="0" w:color="auto"/>
              <w:right w:val="single" w:sz="6" w:space="0" w:color="auto"/>
            </w:tcBorders>
            <w:vAlign w:val="center"/>
          </w:tcPr>
          <w:p w14:paraId="214C3906" w14:textId="77777777" w:rsidR="00C30FC0" w:rsidRDefault="00C30FC0" w:rsidP="00FB6EE0">
            <w:pPr>
              <w:spacing w:line="240" w:lineRule="auto"/>
              <w:ind w:firstLineChars="0" w:firstLine="0"/>
              <w:rPr>
                <w:rFonts w:cs="Times New Roman"/>
                <w:spacing w:val="10"/>
                <w:sz w:val="21"/>
                <w:szCs w:val="21"/>
              </w:rPr>
            </w:pPr>
          </w:p>
        </w:tc>
        <w:tc>
          <w:tcPr>
            <w:tcW w:w="1500" w:type="dxa"/>
            <w:tcBorders>
              <w:top w:val="single" w:sz="6" w:space="0" w:color="auto"/>
              <w:left w:val="nil"/>
              <w:bottom w:val="single" w:sz="6" w:space="0" w:color="auto"/>
              <w:right w:val="single" w:sz="6" w:space="0" w:color="auto"/>
            </w:tcBorders>
            <w:vAlign w:val="center"/>
          </w:tcPr>
          <w:p w14:paraId="04345328" w14:textId="77777777" w:rsidR="00C30FC0" w:rsidRDefault="00C30FC0" w:rsidP="00FB6EE0">
            <w:pPr>
              <w:widowControl w:val="0"/>
              <w:spacing w:line="360" w:lineRule="exact"/>
              <w:ind w:firstLineChars="0" w:firstLine="0"/>
              <w:contextualSpacing/>
              <w:jc w:val="center"/>
              <w:rPr>
                <w:rFonts w:cs="Times New Roman"/>
                <w:spacing w:val="10"/>
                <w:sz w:val="21"/>
                <w:szCs w:val="21"/>
              </w:rPr>
            </w:pPr>
            <w:r>
              <w:rPr>
                <w:rFonts w:cs="Times New Roman"/>
                <w:spacing w:val="10"/>
                <w:sz w:val="21"/>
                <w:szCs w:val="21"/>
              </w:rPr>
              <w:t>灭火方法</w:t>
            </w:r>
          </w:p>
        </w:tc>
        <w:tc>
          <w:tcPr>
            <w:tcW w:w="6001" w:type="dxa"/>
            <w:gridSpan w:val="8"/>
            <w:tcBorders>
              <w:top w:val="single" w:sz="6" w:space="0" w:color="auto"/>
              <w:left w:val="nil"/>
              <w:bottom w:val="single" w:sz="6" w:space="0" w:color="auto"/>
              <w:right w:val="single" w:sz="6" w:space="0" w:color="auto"/>
            </w:tcBorders>
            <w:vAlign w:val="center"/>
          </w:tcPr>
          <w:p w14:paraId="6666CCF1" w14:textId="77777777" w:rsidR="00C30FC0" w:rsidRDefault="00C30FC0" w:rsidP="00FB6EE0">
            <w:pPr>
              <w:widowControl w:val="0"/>
              <w:spacing w:line="360" w:lineRule="exact"/>
              <w:ind w:firstLineChars="0" w:firstLine="0"/>
              <w:contextualSpacing/>
              <w:jc w:val="both"/>
              <w:rPr>
                <w:rFonts w:cs="Times New Roman"/>
                <w:spacing w:val="10"/>
                <w:sz w:val="21"/>
                <w:szCs w:val="21"/>
              </w:rPr>
            </w:pPr>
            <w:r>
              <w:rPr>
                <w:rFonts w:cs="Times New Roman"/>
                <w:sz w:val="21"/>
                <w:szCs w:val="21"/>
              </w:rPr>
              <w:t>消防人员须佩戴防毒面具、穿全身消防服。灭火剂：泡沫、干粉、二氧化碳。</w:t>
            </w:r>
          </w:p>
        </w:tc>
      </w:tr>
    </w:tbl>
    <w:p w14:paraId="1286BEBE" w14:textId="116097FF" w:rsidR="00C30FC0" w:rsidRPr="00C30FC0" w:rsidRDefault="00C30FC0" w:rsidP="00C30FC0">
      <w:r>
        <w:rPr>
          <w:rFonts w:hint="eastAsia"/>
        </w:rPr>
        <w:t>矿山不设爆破器材库，所需爆破器材由当地有资质的民爆公司根据矿山需要配送，一次爆破用多少民爆公司领多少，如特殊情况下使用不完，必须当天送回。</w:t>
      </w:r>
    </w:p>
    <w:p w14:paraId="27B23FC7" w14:textId="77777777" w:rsidR="00E579B9" w:rsidRDefault="006A1398">
      <w:pPr>
        <w:pStyle w:val="3"/>
        <w:ind w:firstLine="560"/>
      </w:pPr>
      <w:r>
        <w:t>5.3.3</w:t>
      </w:r>
      <w:r>
        <w:rPr>
          <w:rFonts w:hint="eastAsia"/>
        </w:rPr>
        <w:t>重大危险源辨别</w:t>
      </w:r>
      <w:bookmarkEnd w:id="279"/>
      <w:bookmarkEnd w:id="280"/>
    </w:p>
    <w:p w14:paraId="7C457C06" w14:textId="77777777" w:rsidR="00E579B9" w:rsidRDefault="006A1398">
      <w:r>
        <w:rPr>
          <w:rFonts w:hint="eastAsia"/>
        </w:rPr>
        <w:t>本项目开采过程中产生的剥离表土存放于表土临时堆场，设计表土临时堆场位于矿</w:t>
      </w:r>
      <w:r>
        <w:rPr>
          <w:rFonts w:hint="eastAsia"/>
          <w:spacing w:val="2"/>
        </w:rPr>
        <w:t>区南部一平坦空地处。表土临时堆场占地面积约</w:t>
      </w:r>
      <w:r>
        <w:rPr>
          <w:rFonts w:hint="eastAsia"/>
        </w:rPr>
        <w:t>100</w:t>
      </w:r>
      <w:r>
        <w:t>00m</w:t>
      </w:r>
      <w:r>
        <w:rPr>
          <w:position w:val="8"/>
          <w:sz w:val="15"/>
          <w:szCs w:val="15"/>
        </w:rPr>
        <w:t>2</w:t>
      </w:r>
      <w:r>
        <w:rPr>
          <w:rFonts w:hint="eastAsia"/>
        </w:rPr>
        <w:t>，设计表土最大堆高</w:t>
      </w:r>
      <w:r>
        <w:t>3m</w:t>
      </w:r>
      <w:r>
        <w:rPr>
          <w:rFonts w:hint="eastAsia"/>
        </w:rPr>
        <w:t>，边坡比</w:t>
      </w:r>
      <w:r>
        <w:t>1</w:t>
      </w:r>
      <w:r>
        <w:rPr>
          <w:rFonts w:hint="eastAsia"/>
        </w:rPr>
        <w:t>：</w:t>
      </w:r>
      <w:r>
        <w:t>1.5</w:t>
      </w:r>
      <w:r>
        <w:rPr>
          <w:rFonts w:hint="eastAsia"/>
        </w:rPr>
        <w:t>。考虑矿山边开采边治理，即每形成一级台阶，便覆土以恢复植被，因此表土堆场最大堆土量约</w:t>
      </w:r>
      <w:r>
        <w:rPr>
          <w:rFonts w:hint="eastAsia"/>
        </w:rPr>
        <w:t>2.5</w:t>
      </w:r>
      <w:r>
        <w:rPr>
          <w:rFonts w:hint="eastAsia"/>
        </w:rPr>
        <w:t>万</w:t>
      </w:r>
      <w:r>
        <w:t>m</w:t>
      </w:r>
      <w:r>
        <w:rPr>
          <w:position w:val="8"/>
          <w:sz w:val="15"/>
          <w:szCs w:val="15"/>
        </w:rPr>
        <w:t>3</w:t>
      </w:r>
      <w:r>
        <w:rPr>
          <w:rFonts w:hint="eastAsia"/>
        </w:rPr>
        <w:t>，该堆场最大容积约</w:t>
      </w:r>
      <w:r>
        <w:rPr>
          <w:rFonts w:hint="eastAsia"/>
        </w:rPr>
        <w:t>2.5</w:t>
      </w:r>
      <w:r>
        <w:rPr>
          <w:rFonts w:hint="eastAsia"/>
        </w:rPr>
        <w:t>万</w:t>
      </w:r>
      <w:r>
        <w:t>m</w:t>
      </w:r>
      <w:r>
        <w:rPr>
          <w:position w:val="8"/>
          <w:sz w:val="15"/>
          <w:szCs w:val="15"/>
        </w:rPr>
        <w:t>3</w:t>
      </w:r>
      <w:r>
        <w:rPr>
          <w:rFonts w:hint="eastAsia"/>
        </w:rPr>
        <w:t>，完全可满足矿山表土堆放需求。剥离的表土经挖掘机装入自卸汽车运至表土临时堆场。</w:t>
      </w:r>
    </w:p>
    <w:p w14:paraId="5F588E86" w14:textId="7C9F0AD1" w:rsidR="00E579B9" w:rsidRPr="002B5221" w:rsidRDefault="006A1398" w:rsidP="00C30FC0">
      <w:pPr>
        <w:ind w:firstLine="456"/>
      </w:pPr>
      <w:r>
        <w:rPr>
          <w:rFonts w:hint="eastAsia"/>
          <w:spacing w:val="-6"/>
        </w:rPr>
        <w:t>表土临时堆场周围设置排水沟，排水沟设计为砌体结构、矩形断面，截面积</w:t>
      </w:r>
      <w:r>
        <w:t>0.52m²</w:t>
      </w:r>
      <w:r>
        <w:rPr>
          <w:rFonts w:hint="eastAsia"/>
        </w:rPr>
        <w:t>，壁厚平均</w:t>
      </w:r>
      <w:r>
        <w:t>0.3m</w:t>
      </w:r>
      <w:r>
        <w:rPr>
          <w:rFonts w:hint="eastAsia"/>
        </w:rPr>
        <w:t>，最大排水能力为</w:t>
      </w:r>
      <w:r>
        <w:t>0.96m</w:t>
      </w:r>
      <w:r>
        <w:rPr>
          <w:position w:val="8"/>
          <w:sz w:val="15"/>
          <w:szCs w:val="15"/>
        </w:rPr>
        <w:t>3</w:t>
      </w:r>
      <w:r>
        <w:t>/s</w:t>
      </w:r>
      <w:r>
        <w:rPr>
          <w:rFonts w:hint="eastAsia"/>
          <w:color w:val="FF0000"/>
        </w:rPr>
        <w:t>，</w:t>
      </w:r>
      <w:r>
        <w:rPr>
          <w:rFonts w:hint="eastAsia"/>
        </w:rPr>
        <w:t>排水坡度一般以自然地表为准，如平地适当取</w:t>
      </w:r>
      <w:r>
        <w:t>3%</w:t>
      </w:r>
      <w:r>
        <w:rPr>
          <w:rFonts w:hint="eastAsia"/>
        </w:rPr>
        <w:t>为泄水坡度。类比项目矿山运营情况，本项目表土临时堆场不属于重大危险源</w:t>
      </w:r>
      <w:r w:rsidRPr="002B5221">
        <w:rPr>
          <w:rFonts w:hint="eastAsia"/>
        </w:rPr>
        <w:t>。本项目露采区属于山坡型露天采区，采用自上而下分</w:t>
      </w:r>
      <w:r w:rsidRPr="002B5221">
        <w:rPr>
          <w:rFonts w:hint="eastAsia"/>
        </w:rPr>
        <w:lastRenderedPageBreak/>
        <w:t>台阶式的开采方式，台阶高度为</w:t>
      </w:r>
      <w:r w:rsidRPr="002B5221">
        <w:t>15m</w:t>
      </w:r>
      <w:r w:rsidRPr="002B5221">
        <w:rPr>
          <w:rFonts w:hint="eastAsia"/>
        </w:rPr>
        <w:t>，在此开采方式下，露天采区产生边坡破坏、滑坡泥石流等灾害的机率较小。</w:t>
      </w:r>
    </w:p>
    <w:p w14:paraId="0F7C019C" w14:textId="1C9FEDB6" w:rsidR="00C30FC0" w:rsidRPr="002B5221" w:rsidRDefault="00C30FC0" w:rsidP="00C30FC0">
      <w:r w:rsidRPr="002B5221">
        <w:rPr>
          <w:rStyle w:val="1CharChar"/>
          <w:rFonts w:hint="eastAsia"/>
        </w:rPr>
        <w:t>本</w:t>
      </w:r>
      <w:r w:rsidRPr="002B5221">
        <w:rPr>
          <w:rStyle w:val="1CharChar"/>
        </w:rPr>
        <w:t>项目实际柴油储存量最大值为</w:t>
      </w:r>
      <w:r w:rsidRPr="002B5221">
        <w:rPr>
          <w:rStyle w:val="1CharChar"/>
          <w:rFonts w:hint="eastAsia"/>
        </w:rPr>
        <w:t>1</w:t>
      </w:r>
      <w:r w:rsidRPr="002B5221">
        <w:rPr>
          <w:rStyle w:val="1CharChar"/>
        </w:rPr>
        <w:t>0t</w:t>
      </w:r>
      <w:r w:rsidRPr="002B5221">
        <w:rPr>
          <w:rStyle w:val="1CharChar"/>
        </w:rPr>
        <w:t>，查阅附录</w:t>
      </w:r>
      <w:r w:rsidRPr="002B5221">
        <w:rPr>
          <w:rStyle w:val="1CharChar"/>
        </w:rPr>
        <w:t>B</w:t>
      </w:r>
      <w:r w:rsidRPr="002B5221">
        <w:rPr>
          <w:rStyle w:val="1CharChar"/>
        </w:rPr>
        <w:t>确定柴油的临界量</w:t>
      </w:r>
      <w:r w:rsidRPr="002B5221">
        <w:rPr>
          <w:rStyle w:val="1CharChar"/>
        </w:rPr>
        <w:t>2500t</w:t>
      </w:r>
      <w:r w:rsidRPr="002B5221">
        <w:rPr>
          <w:rStyle w:val="1CharChar"/>
          <w:rFonts w:hint="eastAsia"/>
        </w:rPr>
        <w:t>。</w:t>
      </w:r>
    </w:p>
    <w:p w14:paraId="0B04BA42" w14:textId="77777777" w:rsidR="00E579B9" w:rsidRPr="002B5221" w:rsidRDefault="006A1398">
      <w:pPr>
        <w:pStyle w:val="3"/>
        <w:ind w:firstLine="560"/>
      </w:pPr>
      <w:r w:rsidRPr="002B5221">
        <w:t>5.3.4</w:t>
      </w:r>
      <w:r w:rsidRPr="002B5221">
        <w:rPr>
          <w:rFonts w:hint="eastAsia"/>
        </w:rPr>
        <w:t>风险潜势初判</w:t>
      </w:r>
    </w:p>
    <w:p w14:paraId="4F6A1A8A" w14:textId="588AEBF8" w:rsidR="00E579B9" w:rsidRPr="002B5221" w:rsidRDefault="006A1398">
      <w:r w:rsidRPr="002B5221">
        <w:t>Q=</w:t>
      </w:r>
      <w:r w:rsidR="00C30FC0" w:rsidRPr="002B5221">
        <w:rPr>
          <w:rFonts w:hint="eastAsia"/>
        </w:rPr>
        <w:t>10</w:t>
      </w:r>
      <w:r w:rsidR="00C30FC0" w:rsidRPr="002B5221">
        <w:t>t/2500t</w:t>
      </w:r>
      <w:r w:rsidR="002E174B" w:rsidRPr="002B5221">
        <w:t>=0.004</w:t>
      </w:r>
      <w:r w:rsidRPr="002B5221">
        <w:rPr>
          <w:rFonts w:hint="eastAsia"/>
        </w:rPr>
        <w:t>＜</w:t>
      </w:r>
      <w:r w:rsidRPr="002B5221">
        <w:t>1</w:t>
      </w:r>
      <w:r w:rsidRPr="002B5221">
        <w:rPr>
          <w:rFonts w:hint="eastAsia"/>
        </w:rPr>
        <w:t>，根据</w:t>
      </w:r>
      <w:r w:rsidRPr="002B5221">
        <w:t>HJ169-2018</w:t>
      </w:r>
      <w:r w:rsidRPr="002B5221">
        <w:rPr>
          <w:rFonts w:hint="eastAsia"/>
        </w:rPr>
        <w:t>该项目环境风险潜势为Ⅰ。</w:t>
      </w:r>
    </w:p>
    <w:p w14:paraId="3489128D" w14:textId="77777777" w:rsidR="00E579B9" w:rsidRDefault="006A1398">
      <w:pPr>
        <w:pStyle w:val="3"/>
        <w:ind w:firstLine="560"/>
        <w:rPr>
          <w:rFonts w:ascii="宋体" w:hAnsi="宋体"/>
        </w:rPr>
      </w:pPr>
      <w:r>
        <w:t>5.3.5</w:t>
      </w:r>
      <w:r>
        <w:rPr>
          <w:rFonts w:ascii="宋体" w:hAnsi="宋体" w:hint="eastAsia"/>
        </w:rPr>
        <w:t>评价等级</w:t>
      </w:r>
    </w:p>
    <w:p w14:paraId="09996CB7" w14:textId="77777777" w:rsidR="00E579B9" w:rsidRDefault="006A1398">
      <w:r>
        <w:rPr>
          <w:rFonts w:hint="eastAsia"/>
        </w:rPr>
        <w:t>根据《建设项目环境风险评价技术导则》（</w:t>
      </w:r>
      <w:r>
        <w:t>HJT169-2018</w:t>
      </w:r>
      <w:r>
        <w:rPr>
          <w:rFonts w:hint="eastAsia"/>
        </w:rPr>
        <w:t>）的要求，环境风险评价工作级别划分依据见下表。</w:t>
      </w:r>
    </w:p>
    <w:p w14:paraId="5DEC5284" w14:textId="134B48E4" w:rsidR="00E579B9" w:rsidRDefault="006A1398">
      <w:pPr>
        <w:pStyle w:val="21"/>
      </w:pPr>
      <w:r>
        <w:rPr>
          <w:rFonts w:hint="eastAsia"/>
        </w:rPr>
        <w:t>表</w:t>
      </w:r>
      <w:r>
        <w:t>5.3-</w:t>
      </w:r>
      <w:r w:rsidR="00FB6EE0">
        <w:rPr>
          <w:rFonts w:hint="eastAsia"/>
        </w:rPr>
        <w:t>5</w:t>
      </w:r>
      <w:r>
        <w:tab/>
      </w:r>
      <w:r>
        <w:rPr>
          <w:rFonts w:hint="eastAsia"/>
        </w:rPr>
        <w:t>环境风险评价工作级别</w:t>
      </w:r>
    </w:p>
    <w:tbl>
      <w:tblPr>
        <w:tblW w:w="5038" w:type="pct"/>
        <w:tblLook w:val="04A0" w:firstRow="1" w:lastRow="0" w:firstColumn="1" w:lastColumn="0" w:noHBand="0" w:noVBand="1"/>
      </w:tblPr>
      <w:tblGrid>
        <w:gridCol w:w="1661"/>
        <w:gridCol w:w="1658"/>
        <w:gridCol w:w="1658"/>
        <w:gridCol w:w="1658"/>
        <w:gridCol w:w="1724"/>
      </w:tblGrid>
      <w:tr w:rsidR="00E579B9" w14:paraId="50B45F94" w14:textId="77777777" w:rsidTr="005A21C8">
        <w:trPr>
          <w:trHeight w:val="464"/>
        </w:trPr>
        <w:tc>
          <w:tcPr>
            <w:tcW w:w="993" w:type="pct"/>
            <w:tcBorders>
              <w:top w:val="single" w:sz="4" w:space="0" w:color="000000"/>
              <w:left w:val="single" w:sz="4" w:space="0" w:color="000000"/>
              <w:bottom w:val="single" w:sz="4" w:space="0" w:color="000000"/>
              <w:right w:val="single" w:sz="4" w:space="0" w:color="000000"/>
            </w:tcBorders>
          </w:tcPr>
          <w:p w14:paraId="4E2667F8" w14:textId="77777777" w:rsidR="00E579B9" w:rsidRDefault="006A1398">
            <w:pPr>
              <w:spacing w:before="79" w:line="240" w:lineRule="auto"/>
              <w:ind w:left="259" w:firstLineChars="0" w:firstLine="0"/>
              <w:rPr>
                <w:rFonts w:ascii="宋体" w:hAnsi="宋体" w:cs="Times New Roman"/>
                <w:kern w:val="0"/>
                <w:sz w:val="21"/>
                <w:szCs w:val="21"/>
              </w:rPr>
            </w:pPr>
            <w:r>
              <w:rPr>
                <w:rFonts w:ascii="宋体" w:hAnsi="宋体" w:cs="Times New Roman" w:hint="eastAsia"/>
                <w:b/>
                <w:bCs/>
                <w:kern w:val="0"/>
                <w:sz w:val="21"/>
                <w:szCs w:val="21"/>
              </w:rPr>
              <w:t>环境风险潜势</w:t>
            </w:r>
          </w:p>
        </w:tc>
        <w:tc>
          <w:tcPr>
            <w:tcW w:w="992" w:type="pct"/>
            <w:tcBorders>
              <w:top w:val="single" w:sz="4" w:space="0" w:color="000000"/>
              <w:left w:val="nil"/>
              <w:bottom w:val="single" w:sz="4" w:space="0" w:color="000000"/>
              <w:right w:val="single" w:sz="4" w:space="0" w:color="000000"/>
            </w:tcBorders>
          </w:tcPr>
          <w:p w14:paraId="326F8304" w14:textId="77777777" w:rsidR="00E579B9" w:rsidRDefault="006A1398">
            <w:pPr>
              <w:spacing w:before="79" w:line="240" w:lineRule="auto"/>
              <w:ind w:left="536" w:firstLineChars="0" w:firstLine="0"/>
              <w:rPr>
                <w:rFonts w:cs="Times New Roman"/>
                <w:kern w:val="0"/>
                <w:sz w:val="13"/>
                <w:szCs w:val="13"/>
              </w:rPr>
            </w:pPr>
            <w:r>
              <w:rPr>
                <w:rFonts w:ascii="宋体" w:hAnsi="宋体" w:cs="Times New Roman" w:hint="eastAsia"/>
                <w:b/>
                <w:bCs/>
                <w:kern w:val="0"/>
                <w:sz w:val="21"/>
                <w:szCs w:val="21"/>
              </w:rPr>
              <w:t>Ⅳ、Ⅳ</w:t>
            </w:r>
            <w:r>
              <w:rPr>
                <w:rFonts w:cs="Times New Roman"/>
                <w:b/>
                <w:bCs/>
                <w:kern w:val="0"/>
                <w:position w:val="7"/>
                <w:sz w:val="13"/>
                <w:szCs w:val="13"/>
              </w:rPr>
              <w:t>+</w:t>
            </w:r>
          </w:p>
        </w:tc>
        <w:tc>
          <w:tcPr>
            <w:tcW w:w="992" w:type="pct"/>
            <w:tcBorders>
              <w:top w:val="single" w:sz="4" w:space="0" w:color="000000"/>
              <w:left w:val="nil"/>
              <w:bottom w:val="single" w:sz="4" w:space="0" w:color="000000"/>
              <w:right w:val="single" w:sz="4" w:space="0" w:color="000000"/>
            </w:tcBorders>
          </w:tcPr>
          <w:p w14:paraId="7B01F5D5" w14:textId="77777777" w:rsidR="00E579B9" w:rsidRDefault="006A1398">
            <w:pPr>
              <w:spacing w:before="79" w:line="240" w:lineRule="auto"/>
              <w:ind w:right="3" w:firstLineChars="0" w:firstLine="0"/>
              <w:jc w:val="center"/>
              <w:rPr>
                <w:rFonts w:ascii="宋体" w:hAnsi="宋体" w:cs="Times New Roman"/>
                <w:kern w:val="0"/>
                <w:sz w:val="21"/>
                <w:szCs w:val="21"/>
              </w:rPr>
            </w:pPr>
            <w:r>
              <w:rPr>
                <w:rFonts w:ascii="宋体" w:hAnsi="宋体" w:cs="Times New Roman" w:hint="eastAsia"/>
                <w:b/>
                <w:bCs/>
                <w:kern w:val="0"/>
                <w:sz w:val="21"/>
                <w:szCs w:val="21"/>
              </w:rPr>
              <w:t>Ⅲ</w:t>
            </w:r>
          </w:p>
        </w:tc>
        <w:tc>
          <w:tcPr>
            <w:tcW w:w="992" w:type="pct"/>
            <w:tcBorders>
              <w:top w:val="single" w:sz="4" w:space="0" w:color="000000"/>
              <w:left w:val="nil"/>
              <w:bottom w:val="single" w:sz="4" w:space="0" w:color="000000"/>
              <w:right w:val="single" w:sz="4" w:space="0" w:color="000000"/>
            </w:tcBorders>
          </w:tcPr>
          <w:p w14:paraId="1540F43A" w14:textId="77777777" w:rsidR="00E579B9" w:rsidRDefault="006A1398">
            <w:pPr>
              <w:spacing w:before="79" w:line="240" w:lineRule="auto"/>
              <w:ind w:firstLineChars="0" w:firstLine="0"/>
              <w:jc w:val="center"/>
              <w:rPr>
                <w:rFonts w:ascii="宋体" w:hAnsi="宋体" w:cs="Times New Roman"/>
                <w:kern w:val="0"/>
                <w:sz w:val="21"/>
                <w:szCs w:val="21"/>
              </w:rPr>
            </w:pPr>
            <w:r>
              <w:rPr>
                <w:rFonts w:ascii="宋体" w:hAnsi="宋体" w:cs="Times New Roman" w:hint="eastAsia"/>
                <w:b/>
                <w:bCs/>
                <w:kern w:val="0"/>
                <w:sz w:val="21"/>
                <w:szCs w:val="21"/>
              </w:rPr>
              <w:t>Ⅱ</w:t>
            </w:r>
          </w:p>
        </w:tc>
        <w:tc>
          <w:tcPr>
            <w:tcW w:w="1030" w:type="pct"/>
            <w:tcBorders>
              <w:top w:val="single" w:sz="4" w:space="0" w:color="000000"/>
              <w:left w:val="nil"/>
              <w:bottom w:val="single" w:sz="4" w:space="0" w:color="000000"/>
              <w:right w:val="single" w:sz="4" w:space="0" w:color="000000"/>
            </w:tcBorders>
          </w:tcPr>
          <w:p w14:paraId="77E614AE" w14:textId="77777777" w:rsidR="00E579B9" w:rsidRDefault="006A1398">
            <w:pPr>
              <w:spacing w:before="79" w:line="240" w:lineRule="auto"/>
              <w:ind w:right="1" w:firstLineChars="0" w:firstLine="0"/>
              <w:jc w:val="center"/>
              <w:rPr>
                <w:rFonts w:ascii="宋体" w:hAnsi="宋体" w:cs="Times New Roman"/>
                <w:kern w:val="0"/>
                <w:sz w:val="21"/>
                <w:szCs w:val="21"/>
              </w:rPr>
            </w:pPr>
            <w:r>
              <w:rPr>
                <w:rFonts w:ascii="宋体" w:hAnsi="宋体" w:cs="Times New Roman" w:hint="eastAsia"/>
                <w:b/>
                <w:bCs/>
                <w:kern w:val="0"/>
                <w:sz w:val="21"/>
                <w:szCs w:val="21"/>
              </w:rPr>
              <w:t>Ⅰ</w:t>
            </w:r>
          </w:p>
        </w:tc>
      </w:tr>
      <w:tr w:rsidR="00E579B9" w14:paraId="5E5D8282" w14:textId="77777777" w:rsidTr="005A21C8">
        <w:trPr>
          <w:trHeight w:val="464"/>
        </w:trPr>
        <w:tc>
          <w:tcPr>
            <w:tcW w:w="993" w:type="pct"/>
            <w:tcBorders>
              <w:top w:val="single" w:sz="4" w:space="0" w:color="000000"/>
              <w:left w:val="single" w:sz="4" w:space="0" w:color="000000"/>
              <w:bottom w:val="single" w:sz="4" w:space="0" w:color="000000"/>
              <w:right w:val="single" w:sz="4" w:space="0" w:color="000000"/>
            </w:tcBorders>
          </w:tcPr>
          <w:p w14:paraId="32C3A116" w14:textId="77777777" w:rsidR="00E579B9" w:rsidRDefault="006A1398">
            <w:pPr>
              <w:spacing w:before="78" w:line="240" w:lineRule="auto"/>
              <w:ind w:left="468" w:firstLineChars="0" w:firstLine="0"/>
              <w:rPr>
                <w:rFonts w:ascii="宋体" w:hAnsi="宋体" w:cs="Times New Roman"/>
                <w:kern w:val="0"/>
                <w:sz w:val="21"/>
                <w:szCs w:val="21"/>
              </w:rPr>
            </w:pPr>
            <w:r>
              <w:rPr>
                <w:rFonts w:ascii="宋体" w:hAnsi="宋体" w:cs="Times New Roman" w:hint="eastAsia"/>
                <w:kern w:val="0"/>
                <w:sz w:val="21"/>
                <w:szCs w:val="21"/>
              </w:rPr>
              <w:t>评价等级</w:t>
            </w:r>
          </w:p>
        </w:tc>
        <w:tc>
          <w:tcPr>
            <w:tcW w:w="992" w:type="pct"/>
            <w:tcBorders>
              <w:top w:val="single" w:sz="4" w:space="0" w:color="000000"/>
              <w:left w:val="nil"/>
              <w:bottom w:val="single" w:sz="4" w:space="0" w:color="000000"/>
              <w:right w:val="single" w:sz="4" w:space="0" w:color="000000"/>
            </w:tcBorders>
          </w:tcPr>
          <w:p w14:paraId="16078730" w14:textId="77777777" w:rsidR="00E579B9" w:rsidRDefault="006A1398">
            <w:pPr>
              <w:spacing w:before="78" w:line="240" w:lineRule="auto"/>
              <w:ind w:right="1" w:firstLineChars="0" w:firstLine="0"/>
              <w:jc w:val="center"/>
              <w:rPr>
                <w:rFonts w:ascii="宋体" w:hAnsi="宋体" w:cs="Times New Roman"/>
                <w:kern w:val="0"/>
                <w:sz w:val="21"/>
                <w:szCs w:val="21"/>
              </w:rPr>
            </w:pPr>
            <w:r>
              <w:rPr>
                <w:rFonts w:ascii="宋体" w:hAnsi="宋体" w:cs="Times New Roman" w:hint="eastAsia"/>
                <w:kern w:val="0"/>
                <w:sz w:val="21"/>
                <w:szCs w:val="21"/>
              </w:rPr>
              <w:t>一</w:t>
            </w:r>
          </w:p>
        </w:tc>
        <w:tc>
          <w:tcPr>
            <w:tcW w:w="992" w:type="pct"/>
            <w:tcBorders>
              <w:top w:val="single" w:sz="4" w:space="0" w:color="000000"/>
              <w:left w:val="nil"/>
              <w:bottom w:val="single" w:sz="4" w:space="0" w:color="000000"/>
              <w:right w:val="single" w:sz="4" w:space="0" w:color="000000"/>
            </w:tcBorders>
          </w:tcPr>
          <w:p w14:paraId="39D9E6C6" w14:textId="77777777" w:rsidR="00E579B9" w:rsidRDefault="006A1398">
            <w:pPr>
              <w:spacing w:before="78" w:line="240" w:lineRule="auto"/>
              <w:ind w:right="3" w:firstLineChars="0" w:firstLine="0"/>
              <w:jc w:val="center"/>
              <w:rPr>
                <w:rFonts w:ascii="宋体" w:hAnsi="宋体" w:cs="Times New Roman"/>
                <w:kern w:val="0"/>
                <w:sz w:val="21"/>
                <w:szCs w:val="21"/>
              </w:rPr>
            </w:pPr>
            <w:r>
              <w:rPr>
                <w:rFonts w:ascii="宋体" w:hAnsi="宋体" w:cs="Times New Roman" w:hint="eastAsia"/>
                <w:kern w:val="0"/>
                <w:sz w:val="21"/>
                <w:szCs w:val="21"/>
              </w:rPr>
              <w:t>二</w:t>
            </w:r>
          </w:p>
        </w:tc>
        <w:tc>
          <w:tcPr>
            <w:tcW w:w="992" w:type="pct"/>
            <w:tcBorders>
              <w:top w:val="single" w:sz="4" w:space="0" w:color="000000"/>
              <w:left w:val="nil"/>
              <w:bottom w:val="single" w:sz="4" w:space="0" w:color="000000"/>
              <w:right w:val="single" w:sz="4" w:space="0" w:color="000000"/>
            </w:tcBorders>
          </w:tcPr>
          <w:p w14:paraId="77770574" w14:textId="77777777" w:rsidR="00E579B9" w:rsidRDefault="006A1398">
            <w:pPr>
              <w:spacing w:before="78" w:line="240" w:lineRule="auto"/>
              <w:ind w:firstLineChars="0" w:firstLine="0"/>
              <w:jc w:val="center"/>
              <w:rPr>
                <w:rFonts w:ascii="宋体" w:hAnsi="宋体" w:cs="Times New Roman"/>
                <w:kern w:val="0"/>
                <w:sz w:val="21"/>
                <w:szCs w:val="21"/>
              </w:rPr>
            </w:pPr>
            <w:r>
              <w:rPr>
                <w:rFonts w:ascii="宋体" w:hAnsi="宋体" w:cs="Times New Roman" w:hint="eastAsia"/>
                <w:kern w:val="0"/>
                <w:sz w:val="21"/>
                <w:szCs w:val="21"/>
              </w:rPr>
              <w:t>三</w:t>
            </w:r>
          </w:p>
        </w:tc>
        <w:tc>
          <w:tcPr>
            <w:tcW w:w="1030" w:type="pct"/>
            <w:tcBorders>
              <w:top w:val="single" w:sz="4" w:space="0" w:color="000000"/>
              <w:left w:val="nil"/>
              <w:bottom w:val="single" w:sz="4" w:space="0" w:color="000000"/>
              <w:right w:val="single" w:sz="4" w:space="0" w:color="000000"/>
            </w:tcBorders>
          </w:tcPr>
          <w:p w14:paraId="2C1936F1" w14:textId="77777777" w:rsidR="00E579B9" w:rsidRDefault="006A1398">
            <w:pPr>
              <w:spacing w:before="78" w:line="240" w:lineRule="auto"/>
              <w:ind w:left="412" w:firstLineChars="0" w:firstLine="0"/>
              <w:rPr>
                <w:rFonts w:cs="Times New Roman"/>
                <w:kern w:val="0"/>
                <w:sz w:val="13"/>
                <w:szCs w:val="13"/>
              </w:rPr>
            </w:pPr>
            <w:r>
              <w:rPr>
                <w:rFonts w:ascii="宋体" w:hAnsi="宋体" w:cs="Times New Roman" w:hint="eastAsia"/>
                <w:kern w:val="0"/>
                <w:sz w:val="21"/>
                <w:szCs w:val="21"/>
              </w:rPr>
              <w:t>简单分析</w:t>
            </w:r>
            <w:r>
              <w:rPr>
                <w:rFonts w:cs="Times New Roman"/>
                <w:kern w:val="0"/>
                <w:position w:val="7"/>
                <w:sz w:val="13"/>
                <w:szCs w:val="13"/>
              </w:rPr>
              <w:t>a</w:t>
            </w:r>
          </w:p>
        </w:tc>
      </w:tr>
      <w:tr w:rsidR="00E579B9" w14:paraId="60E56FF1" w14:textId="77777777" w:rsidTr="005A21C8">
        <w:trPr>
          <w:trHeight w:val="950"/>
        </w:trPr>
        <w:tc>
          <w:tcPr>
            <w:tcW w:w="5000" w:type="pct"/>
            <w:gridSpan w:val="5"/>
            <w:tcBorders>
              <w:top w:val="single" w:sz="4" w:space="0" w:color="000000"/>
              <w:left w:val="single" w:sz="4" w:space="0" w:color="000000"/>
              <w:bottom w:val="single" w:sz="4" w:space="0" w:color="000000"/>
              <w:right w:val="single" w:sz="4" w:space="0" w:color="000000"/>
            </w:tcBorders>
          </w:tcPr>
          <w:p w14:paraId="44648F97" w14:textId="77777777" w:rsidR="00E579B9" w:rsidRDefault="006A1398">
            <w:pPr>
              <w:spacing w:before="161" w:line="264" w:lineRule="auto"/>
              <w:ind w:left="2686" w:right="100" w:firstLineChars="0" w:hanging="2580"/>
              <w:rPr>
                <w:rFonts w:cs="Times New Roman"/>
                <w:kern w:val="0"/>
                <w:sz w:val="21"/>
                <w:szCs w:val="21"/>
              </w:rPr>
            </w:pPr>
            <w:r>
              <w:rPr>
                <w:rFonts w:cs="Times New Roman"/>
                <w:kern w:val="0"/>
                <w:sz w:val="21"/>
                <w:szCs w:val="21"/>
              </w:rPr>
              <w:t>a</w:t>
            </w:r>
            <w:r>
              <w:rPr>
                <w:rFonts w:ascii="宋体" w:hAnsi="宋体" w:cs="Times New Roman" w:hint="eastAsia"/>
                <w:kern w:val="0"/>
                <w:sz w:val="21"/>
                <w:szCs w:val="21"/>
              </w:rPr>
              <w:t>是相对于详细评价工作内容而言，在描述危险物质、环境影响途径、环境危害后果、风险防范措施等方面给出定性的说明。见附录</w:t>
            </w:r>
            <w:r>
              <w:rPr>
                <w:rFonts w:cs="Times New Roman"/>
                <w:kern w:val="0"/>
                <w:sz w:val="21"/>
                <w:szCs w:val="21"/>
              </w:rPr>
              <w:t>A</w:t>
            </w:r>
          </w:p>
        </w:tc>
      </w:tr>
    </w:tbl>
    <w:p w14:paraId="5D045374" w14:textId="77777777" w:rsidR="00E579B9" w:rsidRDefault="006A1398">
      <w:pPr>
        <w:ind w:firstLineChars="350" w:firstLine="840"/>
        <w:rPr>
          <w:szCs w:val="24"/>
        </w:rPr>
      </w:pPr>
      <w:r>
        <w:rPr>
          <w:rFonts w:hint="eastAsia"/>
          <w:szCs w:val="24"/>
        </w:rPr>
        <w:t>本次环境风险评价工作等级判定为简单分析。</w:t>
      </w:r>
    </w:p>
    <w:p w14:paraId="0A02805B" w14:textId="77777777" w:rsidR="00E579B9" w:rsidRDefault="006A1398">
      <w:pPr>
        <w:pStyle w:val="3"/>
        <w:ind w:firstLine="560"/>
      </w:pPr>
      <w:r>
        <w:t>5.3.6</w:t>
      </w:r>
      <w:r>
        <w:rPr>
          <w:rFonts w:hint="eastAsia"/>
        </w:rPr>
        <w:t>环境敏感目标概况</w:t>
      </w:r>
    </w:p>
    <w:p w14:paraId="1D02D62A" w14:textId="77777777" w:rsidR="00E579B9" w:rsidRDefault="006A1398">
      <w:r>
        <w:rPr>
          <w:rFonts w:hint="eastAsia"/>
        </w:rPr>
        <w:t>项目表土临时堆场所在区域下游主要敏感目标见下表。</w:t>
      </w:r>
    </w:p>
    <w:p w14:paraId="10DEB817" w14:textId="6128DD96" w:rsidR="00E579B9" w:rsidRDefault="006A1398">
      <w:pPr>
        <w:pStyle w:val="21"/>
      </w:pPr>
      <w:r>
        <w:rPr>
          <w:rFonts w:hint="eastAsia"/>
        </w:rPr>
        <w:t>表</w:t>
      </w:r>
      <w:r>
        <w:t>5.3-</w:t>
      </w:r>
      <w:r w:rsidR="00FB6EE0">
        <w:rPr>
          <w:rFonts w:hint="eastAsia"/>
        </w:rPr>
        <w:t>6</w:t>
      </w:r>
      <w:r>
        <w:tab/>
      </w:r>
      <w:r>
        <w:rPr>
          <w:rFonts w:hint="eastAsia"/>
        </w:rPr>
        <w:t>项目表土临时堆场区域下游主要敏感目标一览表</w:t>
      </w:r>
    </w:p>
    <w:tbl>
      <w:tblPr>
        <w:tblStyle w:val="TableNormal3"/>
        <w:tblW w:w="829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1744"/>
        <w:gridCol w:w="1644"/>
        <w:gridCol w:w="1601"/>
        <w:gridCol w:w="1601"/>
        <w:gridCol w:w="1706"/>
      </w:tblGrid>
      <w:tr w:rsidR="00E579B9" w14:paraId="5991AD07" w14:textId="77777777">
        <w:trPr>
          <w:trHeight w:val="533"/>
        </w:trPr>
        <w:tc>
          <w:tcPr>
            <w:tcW w:w="1744" w:type="dxa"/>
          </w:tcPr>
          <w:p w14:paraId="4B4911FD" w14:textId="77777777" w:rsidR="00E579B9" w:rsidRDefault="006A1398">
            <w:pPr>
              <w:pStyle w:val="aa"/>
              <w:adjustRightInd w:val="0"/>
            </w:pPr>
            <w:r>
              <w:rPr>
                <w:rFonts w:ascii="宋体" w:hAnsi="宋体" w:cs="宋体" w:hint="eastAsia"/>
              </w:rPr>
              <w:t>序号</w:t>
            </w:r>
          </w:p>
        </w:tc>
        <w:tc>
          <w:tcPr>
            <w:tcW w:w="1644" w:type="dxa"/>
          </w:tcPr>
          <w:p w14:paraId="4D43E343" w14:textId="77777777" w:rsidR="00E579B9" w:rsidRDefault="006A1398">
            <w:pPr>
              <w:pStyle w:val="aa"/>
              <w:adjustRightInd w:val="0"/>
              <w:rPr>
                <w:rFonts w:ascii="宋体" w:hAnsi="宋体"/>
              </w:rPr>
            </w:pPr>
            <w:r>
              <w:rPr>
                <w:rFonts w:ascii="宋体" w:hAnsi="宋体" w:cs="宋体" w:hint="eastAsia"/>
              </w:rPr>
              <w:t>敏感点</w:t>
            </w:r>
          </w:p>
        </w:tc>
        <w:tc>
          <w:tcPr>
            <w:tcW w:w="1601" w:type="dxa"/>
          </w:tcPr>
          <w:p w14:paraId="40725EB3" w14:textId="77777777" w:rsidR="00E579B9" w:rsidRDefault="006A1398">
            <w:pPr>
              <w:pStyle w:val="aa"/>
              <w:adjustRightInd w:val="0"/>
              <w:rPr>
                <w:rFonts w:ascii="宋体" w:hAnsi="宋体" w:cs="宋体"/>
              </w:rPr>
            </w:pPr>
            <w:r>
              <w:rPr>
                <w:rFonts w:ascii="宋体" w:hAnsi="宋体" w:cs="宋体" w:hint="eastAsia"/>
              </w:rPr>
              <w:t>户数</w:t>
            </w:r>
            <w:r>
              <w:rPr>
                <w:rFonts w:ascii="宋体" w:hAnsi="宋体" w:cs="宋体"/>
              </w:rPr>
              <w:t>（</w:t>
            </w:r>
            <w:r>
              <w:rPr>
                <w:rFonts w:ascii="宋体" w:hAnsi="宋体" w:cs="宋体" w:hint="eastAsia"/>
              </w:rPr>
              <w:t>人口数</w:t>
            </w:r>
            <w:r>
              <w:rPr>
                <w:rFonts w:ascii="宋体" w:hAnsi="宋体" w:cs="宋体"/>
              </w:rPr>
              <w:t>）</w:t>
            </w:r>
          </w:p>
        </w:tc>
        <w:tc>
          <w:tcPr>
            <w:tcW w:w="1601" w:type="dxa"/>
          </w:tcPr>
          <w:p w14:paraId="7EA7DF4D" w14:textId="77777777" w:rsidR="00E579B9" w:rsidRDefault="006A1398">
            <w:pPr>
              <w:pStyle w:val="aa"/>
              <w:adjustRightInd w:val="0"/>
            </w:pPr>
            <w:r>
              <w:rPr>
                <w:rFonts w:ascii="宋体" w:hAnsi="宋体" w:cs="宋体" w:hint="eastAsia"/>
              </w:rPr>
              <w:t>方位</w:t>
            </w:r>
          </w:p>
        </w:tc>
        <w:tc>
          <w:tcPr>
            <w:tcW w:w="1706" w:type="dxa"/>
          </w:tcPr>
          <w:p w14:paraId="092E8ADB" w14:textId="77777777" w:rsidR="00E579B9" w:rsidRDefault="006A1398">
            <w:pPr>
              <w:pStyle w:val="aa"/>
              <w:adjustRightInd w:val="0"/>
            </w:pPr>
            <w:r>
              <w:rPr>
                <w:rFonts w:ascii="宋体" w:hAnsi="宋体" w:cs="宋体" w:hint="eastAsia"/>
              </w:rPr>
              <w:t>距离（</w:t>
            </w:r>
            <w:r>
              <w:t>m</w:t>
            </w:r>
            <w:r>
              <w:rPr>
                <w:rFonts w:ascii="宋体" w:hAnsi="宋体" w:cs="宋体" w:hint="eastAsia"/>
              </w:rPr>
              <w:t>）</w:t>
            </w:r>
          </w:p>
        </w:tc>
      </w:tr>
      <w:tr w:rsidR="00E579B9" w14:paraId="2CECBFFC" w14:textId="77777777">
        <w:trPr>
          <w:trHeight w:val="530"/>
        </w:trPr>
        <w:tc>
          <w:tcPr>
            <w:tcW w:w="1744" w:type="dxa"/>
          </w:tcPr>
          <w:p w14:paraId="44A7CB98" w14:textId="77777777" w:rsidR="00E579B9" w:rsidRDefault="006A1398">
            <w:pPr>
              <w:pStyle w:val="aa"/>
              <w:adjustRightInd w:val="0"/>
            </w:pPr>
            <w:r>
              <w:rPr>
                <w:rFonts w:hAnsi="Calibri"/>
              </w:rPr>
              <w:t>1</w:t>
            </w:r>
          </w:p>
        </w:tc>
        <w:tc>
          <w:tcPr>
            <w:tcW w:w="1644" w:type="dxa"/>
          </w:tcPr>
          <w:p w14:paraId="743A6F31" w14:textId="77777777" w:rsidR="00E579B9" w:rsidRDefault="006A1398">
            <w:pPr>
              <w:pStyle w:val="aa"/>
              <w:adjustRightInd w:val="0"/>
            </w:pPr>
            <w:r>
              <w:rPr>
                <w:rFonts w:ascii="宋体" w:hAnsi="宋体" w:cs="宋体" w:hint="eastAsia"/>
              </w:rPr>
              <w:t>西下庄</w:t>
            </w:r>
            <w:r>
              <w:rPr>
                <w:rFonts w:ascii="宋体" w:hAnsi="宋体" w:cs="宋体"/>
              </w:rPr>
              <w:t>散户</w:t>
            </w:r>
          </w:p>
        </w:tc>
        <w:tc>
          <w:tcPr>
            <w:tcW w:w="1601" w:type="dxa"/>
          </w:tcPr>
          <w:p w14:paraId="00C89700" w14:textId="77777777" w:rsidR="00E579B9" w:rsidRDefault="006A1398">
            <w:pPr>
              <w:pStyle w:val="aa"/>
              <w:adjustRightInd w:val="0"/>
              <w:rPr>
                <w:rFonts w:eastAsiaTheme="minorEastAsia" w:hAnsi="Calibri"/>
              </w:rPr>
            </w:pPr>
            <w:r>
              <w:rPr>
                <w:rFonts w:eastAsiaTheme="minorEastAsia" w:hAnsi="Calibri" w:hint="eastAsia"/>
              </w:rPr>
              <w:t>5</w:t>
            </w:r>
            <w:r>
              <w:rPr>
                <w:rFonts w:eastAsiaTheme="minorEastAsia" w:hAnsi="Calibri" w:hint="eastAsia"/>
              </w:rPr>
              <w:t>（</w:t>
            </w:r>
            <w:r>
              <w:rPr>
                <w:rFonts w:eastAsiaTheme="minorEastAsia" w:hAnsi="Calibri" w:hint="eastAsia"/>
              </w:rPr>
              <w:t>20</w:t>
            </w:r>
            <w:r>
              <w:rPr>
                <w:rFonts w:eastAsiaTheme="minorEastAsia" w:hAnsi="Calibri" w:hint="eastAsia"/>
              </w:rPr>
              <w:t>人）</w:t>
            </w:r>
          </w:p>
        </w:tc>
        <w:tc>
          <w:tcPr>
            <w:tcW w:w="1601" w:type="dxa"/>
          </w:tcPr>
          <w:p w14:paraId="2A559991" w14:textId="77777777" w:rsidR="00E579B9" w:rsidRDefault="006A1398">
            <w:pPr>
              <w:pStyle w:val="aa"/>
              <w:adjustRightInd w:val="0"/>
            </w:pPr>
            <w:r>
              <w:rPr>
                <w:rFonts w:hAnsi="Calibri"/>
              </w:rPr>
              <w:t>S</w:t>
            </w:r>
          </w:p>
        </w:tc>
        <w:tc>
          <w:tcPr>
            <w:tcW w:w="1706" w:type="dxa"/>
          </w:tcPr>
          <w:p w14:paraId="30F11CDB" w14:textId="77777777" w:rsidR="00E579B9" w:rsidRDefault="006A1398">
            <w:pPr>
              <w:pStyle w:val="aa"/>
              <w:adjustRightInd w:val="0"/>
              <w:rPr>
                <w:rFonts w:eastAsiaTheme="minorEastAsia"/>
              </w:rPr>
            </w:pPr>
            <w:r>
              <w:rPr>
                <w:rFonts w:eastAsiaTheme="minorEastAsia" w:hint="eastAsia"/>
              </w:rPr>
              <w:t>560</w:t>
            </w:r>
          </w:p>
        </w:tc>
      </w:tr>
      <w:tr w:rsidR="00E579B9" w14:paraId="6F21D0DF" w14:textId="77777777">
        <w:trPr>
          <w:trHeight w:val="530"/>
        </w:trPr>
        <w:tc>
          <w:tcPr>
            <w:tcW w:w="1744" w:type="dxa"/>
          </w:tcPr>
          <w:p w14:paraId="118DEE25" w14:textId="77777777" w:rsidR="00E579B9" w:rsidRDefault="006A1398">
            <w:pPr>
              <w:pStyle w:val="aa"/>
              <w:adjustRightInd w:val="0"/>
              <w:rPr>
                <w:rFonts w:eastAsiaTheme="minorEastAsia" w:hAnsi="Calibri"/>
              </w:rPr>
            </w:pPr>
            <w:r>
              <w:rPr>
                <w:rFonts w:eastAsiaTheme="minorEastAsia" w:hAnsi="Calibri" w:hint="eastAsia"/>
              </w:rPr>
              <w:t>2</w:t>
            </w:r>
          </w:p>
        </w:tc>
        <w:tc>
          <w:tcPr>
            <w:tcW w:w="1644" w:type="dxa"/>
          </w:tcPr>
          <w:p w14:paraId="0CF5B722" w14:textId="77777777" w:rsidR="00E579B9" w:rsidRDefault="006A1398">
            <w:pPr>
              <w:pStyle w:val="aa"/>
              <w:adjustRightInd w:val="0"/>
              <w:rPr>
                <w:rFonts w:ascii="宋体" w:hAnsi="宋体" w:cs="宋体"/>
              </w:rPr>
            </w:pPr>
            <w:r>
              <w:rPr>
                <w:rFonts w:ascii="宋体" w:hAnsi="宋体" w:cs="宋体" w:hint="eastAsia"/>
              </w:rPr>
              <w:t>西下庄</w:t>
            </w:r>
          </w:p>
        </w:tc>
        <w:tc>
          <w:tcPr>
            <w:tcW w:w="1601" w:type="dxa"/>
          </w:tcPr>
          <w:p w14:paraId="497F393A" w14:textId="77777777" w:rsidR="00E579B9" w:rsidRDefault="006A1398">
            <w:pPr>
              <w:pStyle w:val="aa"/>
              <w:adjustRightInd w:val="0"/>
              <w:rPr>
                <w:rFonts w:eastAsiaTheme="minorEastAsia" w:hAnsi="Calibri"/>
              </w:rPr>
            </w:pPr>
            <w:r>
              <w:rPr>
                <w:rFonts w:eastAsiaTheme="minorEastAsia" w:hAnsi="Calibri" w:hint="eastAsia"/>
              </w:rPr>
              <w:t>25</w:t>
            </w:r>
            <w:r>
              <w:rPr>
                <w:rFonts w:eastAsiaTheme="minorEastAsia" w:hAnsi="Calibri" w:hint="eastAsia"/>
              </w:rPr>
              <w:t>（</w:t>
            </w:r>
            <w:r>
              <w:rPr>
                <w:rFonts w:eastAsiaTheme="minorEastAsia" w:hAnsi="Calibri" w:hint="eastAsia"/>
              </w:rPr>
              <w:t>100</w:t>
            </w:r>
            <w:r>
              <w:rPr>
                <w:rFonts w:eastAsiaTheme="minorEastAsia" w:hAnsi="Calibri" w:hint="eastAsia"/>
              </w:rPr>
              <w:t>人）</w:t>
            </w:r>
          </w:p>
        </w:tc>
        <w:tc>
          <w:tcPr>
            <w:tcW w:w="1601" w:type="dxa"/>
          </w:tcPr>
          <w:p w14:paraId="30C34C29" w14:textId="77777777" w:rsidR="00E579B9" w:rsidRDefault="006A1398">
            <w:pPr>
              <w:pStyle w:val="aa"/>
              <w:adjustRightInd w:val="0"/>
              <w:rPr>
                <w:rFonts w:hAnsi="Calibri"/>
              </w:rPr>
            </w:pPr>
            <w:r>
              <w:rPr>
                <w:rFonts w:hAnsi="Calibri"/>
              </w:rPr>
              <w:t>SE</w:t>
            </w:r>
          </w:p>
        </w:tc>
        <w:tc>
          <w:tcPr>
            <w:tcW w:w="1706" w:type="dxa"/>
          </w:tcPr>
          <w:p w14:paraId="4F4D9A35" w14:textId="77777777" w:rsidR="00E579B9" w:rsidRDefault="006A1398">
            <w:pPr>
              <w:pStyle w:val="aa"/>
              <w:adjustRightInd w:val="0"/>
              <w:rPr>
                <w:rFonts w:eastAsiaTheme="minorEastAsia"/>
              </w:rPr>
            </w:pPr>
            <w:r>
              <w:rPr>
                <w:rFonts w:eastAsiaTheme="minorEastAsia" w:hint="eastAsia"/>
              </w:rPr>
              <w:t>960</w:t>
            </w:r>
          </w:p>
        </w:tc>
      </w:tr>
      <w:tr w:rsidR="00E579B9" w14:paraId="4B2E274E" w14:textId="77777777">
        <w:trPr>
          <w:trHeight w:val="530"/>
        </w:trPr>
        <w:tc>
          <w:tcPr>
            <w:tcW w:w="1744" w:type="dxa"/>
          </w:tcPr>
          <w:p w14:paraId="7F56F13F" w14:textId="77777777" w:rsidR="00E579B9" w:rsidRDefault="006A1398">
            <w:pPr>
              <w:pStyle w:val="aa"/>
              <w:adjustRightInd w:val="0"/>
            </w:pPr>
            <w:r>
              <w:rPr>
                <w:rFonts w:hAnsi="Calibri"/>
              </w:rPr>
              <w:t>3</w:t>
            </w:r>
          </w:p>
        </w:tc>
        <w:tc>
          <w:tcPr>
            <w:tcW w:w="1644" w:type="dxa"/>
          </w:tcPr>
          <w:p w14:paraId="4571F001" w14:textId="77777777" w:rsidR="00E579B9" w:rsidRDefault="006A1398">
            <w:pPr>
              <w:pStyle w:val="aa"/>
              <w:adjustRightInd w:val="0"/>
            </w:pPr>
            <w:r>
              <w:rPr>
                <w:rFonts w:ascii="宋体" w:hAnsi="宋体" w:cs="宋体" w:hint="eastAsia"/>
              </w:rPr>
              <w:t>平上</w:t>
            </w:r>
          </w:p>
        </w:tc>
        <w:tc>
          <w:tcPr>
            <w:tcW w:w="1601" w:type="dxa"/>
          </w:tcPr>
          <w:p w14:paraId="3F11226A" w14:textId="77777777" w:rsidR="00E579B9" w:rsidRDefault="006A1398">
            <w:pPr>
              <w:pStyle w:val="aa"/>
              <w:adjustRightInd w:val="0"/>
              <w:rPr>
                <w:rFonts w:eastAsiaTheme="minorEastAsia" w:hAnsi="Calibri"/>
              </w:rPr>
            </w:pPr>
            <w:r>
              <w:rPr>
                <w:rFonts w:eastAsiaTheme="minorEastAsia" w:hAnsi="Calibri" w:hint="eastAsia"/>
              </w:rPr>
              <w:t>20(85</w:t>
            </w:r>
            <w:r>
              <w:rPr>
                <w:rFonts w:eastAsiaTheme="minorEastAsia" w:hAnsi="Calibri" w:hint="eastAsia"/>
              </w:rPr>
              <w:t>人</w:t>
            </w:r>
            <w:r>
              <w:rPr>
                <w:rFonts w:eastAsiaTheme="minorEastAsia" w:hAnsi="Calibri" w:hint="eastAsia"/>
              </w:rPr>
              <w:t>)</w:t>
            </w:r>
          </w:p>
        </w:tc>
        <w:tc>
          <w:tcPr>
            <w:tcW w:w="1601" w:type="dxa"/>
          </w:tcPr>
          <w:p w14:paraId="0F62245D" w14:textId="77777777" w:rsidR="00E579B9" w:rsidRDefault="006A1398">
            <w:pPr>
              <w:pStyle w:val="aa"/>
              <w:adjustRightInd w:val="0"/>
            </w:pPr>
            <w:r>
              <w:rPr>
                <w:rFonts w:hAnsi="Calibri"/>
              </w:rPr>
              <w:t>SE</w:t>
            </w:r>
          </w:p>
        </w:tc>
        <w:tc>
          <w:tcPr>
            <w:tcW w:w="1706" w:type="dxa"/>
          </w:tcPr>
          <w:p w14:paraId="4319ADD2" w14:textId="77777777" w:rsidR="00E579B9" w:rsidRDefault="006A1398">
            <w:pPr>
              <w:pStyle w:val="aa"/>
              <w:adjustRightInd w:val="0"/>
              <w:rPr>
                <w:rFonts w:eastAsiaTheme="minorEastAsia"/>
              </w:rPr>
            </w:pPr>
            <w:r>
              <w:rPr>
                <w:rFonts w:eastAsiaTheme="minorEastAsia" w:hint="eastAsia"/>
              </w:rPr>
              <w:t>1030</w:t>
            </w:r>
          </w:p>
        </w:tc>
      </w:tr>
    </w:tbl>
    <w:p w14:paraId="44A6C941" w14:textId="77777777" w:rsidR="00E579B9" w:rsidRDefault="006A1398">
      <w:pPr>
        <w:pStyle w:val="3"/>
        <w:ind w:firstLine="560"/>
      </w:pPr>
      <w:r>
        <w:t>5.3.7</w:t>
      </w:r>
      <w:r>
        <w:rPr>
          <w:rFonts w:hint="eastAsia"/>
          <w:szCs w:val="24"/>
        </w:rPr>
        <w:t>风险影响分析</w:t>
      </w:r>
    </w:p>
    <w:p w14:paraId="4D83AE5C" w14:textId="77777777" w:rsidR="00E579B9" w:rsidRDefault="006A1398">
      <w:r>
        <w:rPr>
          <w:rFonts w:hint="eastAsia"/>
        </w:rPr>
        <w:t>（</w:t>
      </w:r>
      <w:r>
        <w:t>1</w:t>
      </w:r>
      <w:r>
        <w:rPr>
          <w:rFonts w:hint="eastAsia"/>
        </w:rPr>
        <w:t>）露天采区风险影响分析</w:t>
      </w:r>
    </w:p>
    <w:p w14:paraId="4FC4E0E7" w14:textId="77777777" w:rsidR="00E579B9" w:rsidRDefault="006A1398">
      <w:r>
        <w:rPr>
          <w:rFonts w:hint="eastAsia"/>
        </w:rPr>
        <w:t>根据对矿区地形、矿床地质、开采技术条件的综合分析，露天采区在运营期主要存在边坡破坏风险。本矿山为山坡露天矿，在开采过程中采场边坡过高、过陡或作业方式不合理、边坡管理不善等因素，可能导致边坡发生坍塌、滑坡、滚石等事故，进而造成周边生态环境的破坏或产生人员伤亡。</w:t>
      </w:r>
      <w:r>
        <w:t>矿床层位</w:t>
      </w:r>
      <w:r>
        <w:lastRenderedPageBreak/>
        <w:t>稳定，稳固性好，对矿床开采影响不大，矿区工程地质条件属简单类型。</w:t>
      </w:r>
      <w:r>
        <w:rPr>
          <w:rFonts w:hint="eastAsia"/>
        </w:rPr>
        <w:t>且</w:t>
      </w:r>
      <w:r>
        <w:t>矿山终了时，边坡在安全稳定的角度之内</w:t>
      </w:r>
      <w:r>
        <w:rPr>
          <w:rFonts w:hint="eastAsia"/>
        </w:rPr>
        <w:t>，矿区周围设有截排水沟本项目下游敏感点在滑塌安全距离之外。</w:t>
      </w:r>
    </w:p>
    <w:p w14:paraId="4EF4E3D2" w14:textId="77777777" w:rsidR="00E579B9" w:rsidRDefault="006A1398">
      <w:r>
        <w:rPr>
          <w:rFonts w:hint="eastAsia"/>
        </w:rPr>
        <w:t>本项目采区爆破安全距离为</w:t>
      </w:r>
      <w:r>
        <w:t>300m</w:t>
      </w:r>
      <w:r>
        <w:rPr>
          <w:rFonts w:hint="eastAsia"/>
        </w:rPr>
        <w:t>，距离露天采区最近的村庄为采区东侧</w:t>
      </w:r>
      <w:r>
        <w:t>457m</w:t>
      </w:r>
      <w:r>
        <w:rPr>
          <w:rFonts w:hint="eastAsia"/>
        </w:rPr>
        <w:t>的傅埂，不在矿区</w:t>
      </w:r>
      <w:r>
        <w:t>300m</w:t>
      </w:r>
      <w:r>
        <w:rPr>
          <w:rFonts w:hint="eastAsia"/>
        </w:rPr>
        <w:t>的爆破安全范围内，安全范围内无其他敏感目标。根据本项</w:t>
      </w:r>
      <w:r>
        <w:rPr>
          <w:rFonts w:hint="eastAsia"/>
          <w:spacing w:val="-2"/>
        </w:rPr>
        <w:t>目安全预评价，矿山在运营期开采过程中，为确保居民安全，在开采时应严格按照</w:t>
      </w:r>
      <w:r>
        <w:rPr>
          <w:rFonts w:hint="eastAsia"/>
        </w:rPr>
        <w:t>爆破规程进行作业，以减少爆破对居民的影响。</w:t>
      </w:r>
    </w:p>
    <w:p w14:paraId="23D4CA54" w14:textId="77777777" w:rsidR="00E579B9" w:rsidRDefault="006A1398">
      <w:pPr>
        <w:ind w:firstLineChars="0"/>
      </w:pPr>
      <w:r>
        <w:rPr>
          <w:rFonts w:hint="eastAsia"/>
        </w:rPr>
        <w:t>（</w:t>
      </w:r>
      <w:r>
        <w:rPr>
          <w:rFonts w:hint="eastAsia"/>
        </w:rPr>
        <w:t>2</w:t>
      </w:r>
      <w:r>
        <w:rPr>
          <w:rFonts w:hint="eastAsia"/>
        </w:rPr>
        <w:t>）表土临时堆场风险影响分析</w:t>
      </w:r>
    </w:p>
    <w:p w14:paraId="3562C698" w14:textId="77777777" w:rsidR="00E579B9" w:rsidRDefault="006A1398">
      <w:pPr>
        <w:ind w:firstLineChars="0"/>
      </w:pPr>
      <w:r>
        <w:rPr>
          <w:rFonts w:hint="eastAsia"/>
        </w:rPr>
        <w:t>本项目表土临时堆场周围设置排水沟，排水沟设计为砌体结构、矩形断面，截面积</w:t>
      </w:r>
      <w:r>
        <w:t>0.52m²</w:t>
      </w:r>
      <w:r>
        <w:rPr>
          <w:rFonts w:hint="eastAsia"/>
        </w:rPr>
        <w:t>，壁厚平均</w:t>
      </w:r>
      <w:r>
        <w:t>0.3m</w:t>
      </w:r>
      <w:r>
        <w:rPr>
          <w:rFonts w:hint="eastAsia"/>
        </w:rPr>
        <w:t>，最大排水能力为</w:t>
      </w:r>
      <w:r>
        <w:t>0.96m</w:t>
      </w:r>
      <w:r>
        <w:rPr>
          <w:position w:val="8"/>
          <w:sz w:val="15"/>
          <w:szCs w:val="15"/>
        </w:rPr>
        <w:t>3</w:t>
      </w:r>
      <w:r>
        <w:t>/s</w:t>
      </w:r>
      <w:r>
        <w:rPr>
          <w:rFonts w:hint="eastAsia"/>
        </w:rPr>
        <w:t>，排水坡度一般以自然地表为准，如平地适当取</w:t>
      </w:r>
      <w:r>
        <w:t>3%</w:t>
      </w:r>
      <w:r>
        <w:rPr>
          <w:rFonts w:hint="eastAsia"/>
        </w:rPr>
        <w:t>为泄水坡度。</w:t>
      </w:r>
    </w:p>
    <w:p w14:paraId="29697309" w14:textId="77C9A798" w:rsidR="00E579B9" w:rsidRPr="002B5221" w:rsidRDefault="006A1398">
      <w:pPr>
        <w:rPr>
          <w:rFonts w:ascii="宋体" w:hAnsi="宋体" w:cs="Times New Roman"/>
          <w:spacing w:val="-8"/>
          <w:kern w:val="0"/>
          <w:szCs w:val="24"/>
        </w:rPr>
      </w:pPr>
      <w:r>
        <w:rPr>
          <w:rFonts w:ascii="宋体" w:hAnsi="宋体" w:cs="Times New Roman" w:hint="eastAsia"/>
          <w:kern w:val="0"/>
          <w:szCs w:val="24"/>
        </w:rPr>
        <w:t>在夏季雷暴天气，若表土临时堆场形成泥石流会冲入自然冲沟，淤积沟谷，压覆植被，危害农作物，造成生态破坏。表土临时堆场下游距离最近的村庄为西下庄散户，与表土</w:t>
      </w:r>
      <w:r>
        <w:rPr>
          <w:rFonts w:ascii="宋体" w:hAnsi="宋体" w:cs="Times New Roman" w:hint="eastAsia"/>
          <w:spacing w:val="-8"/>
          <w:kern w:val="0"/>
          <w:szCs w:val="24"/>
        </w:rPr>
        <w:t>临时堆场高差</w:t>
      </w:r>
      <w:r>
        <w:rPr>
          <w:rFonts w:cs="Times New Roman"/>
          <w:spacing w:val="-8"/>
          <w:kern w:val="0"/>
          <w:szCs w:val="24"/>
        </w:rPr>
        <w:t>+25m</w:t>
      </w:r>
      <w:r>
        <w:rPr>
          <w:rFonts w:ascii="宋体" w:hAnsi="宋体" w:cs="Times New Roman" w:hint="eastAsia"/>
          <w:spacing w:val="-8"/>
          <w:kern w:val="0"/>
          <w:szCs w:val="24"/>
        </w:rPr>
        <w:t>，距离较远（</w:t>
      </w:r>
      <w:r>
        <w:rPr>
          <w:rFonts w:cs="Times New Roman"/>
          <w:spacing w:val="-8"/>
          <w:kern w:val="0"/>
          <w:szCs w:val="24"/>
        </w:rPr>
        <w:t>560m</w:t>
      </w:r>
      <w:r>
        <w:rPr>
          <w:rFonts w:ascii="宋体" w:hAnsi="宋体" w:cs="Times New Roman" w:hint="eastAsia"/>
          <w:spacing w:val="-8"/>
          <w:kern w:val="0"/>
          <w:szCs w:val="24"/>
        </w:rPr>
        <w:t>），因此表土临时堆场对</w:t>
      </w:r>
      <w:r w:rsidRPr="002B5221">
        <w:rPr>
          <w:rFonts w:ascii="宋体" w:hAnsi="宋体" w:cs="Times New Roman" w:hint="eastAsia"/>
          <w:spacing w:val="-8"/>
          <w:kern w:val="0"/>
          <w:szCs w:val="24"/>
        </w:rPr>
        <w:t>下游居民的风险影响较小。</w:t>
      </w:r>
    </w:p>
    <w:p w14:paraId="01E7FD70" w14:textId="77777777" w:rsidR="00FB6EE0" w:rsidRPr="002B5221" w:rsidRDefault="00FB6EE0" w:rsidP="00FB6EE0">
      <w:pPr>
        <w:pStyle w:val="af6"/>
        <w:ind w:firstLine="448"/>
      </w:pPr>
      <w:r w:rsidRPr="002B5221">
        <w:rPr>
          <w:rFonts w:hint="eastAsia"/>
          <w:spacing w:val="-8"/>
          <w:kern w:val="0"/>
        </w:rPr>
        <w:t>（</w:t>
      </w:r>
      <w:r w:rsidRPr="002B5221">
        <w:rPr>
          <w:rFonts w:hint="eastAsia"/>
          <w:spacing w:val="-8"/>
          <w:kern w:val="0"/>
        </w:rPr>
        <w:t>3</w:t>
      </w:r>
      <w:r w:rsidRPr="002B5221">
        <w:rPr>
          <w:rFonts w:hint="eastAsia"/>
          <w:spacing w:val="-8"/>
          <w:kern w:val="0"/>
        </w:rPr>
        <w:t>）</w:t>
      </w:r>
      <w:bookmarkStart w:id="281" w:name="_Hlk32941388"/>
      <w:r w:rsidRPr="002B5221">
        <w:t>柴油储罐风险影响分析</w:t>
      </w:r>
      <w:bookmarkEnd w:id="281"/>
    </w:p>
    <w:p w14:paraId="47726F15" w14:textId="6777B035" w:rsidR="00FB6EE0" w:rsidRPr="002B5221" w:rsidRDefault="00FB6EE0" w:rsidP="00FB6EE0">
      <w:pPr>
        <w:pStyle w:val="af6"/>
        <w:ind w:firstLine="540"/>
      </w:pPr>
      <w:r w:rsidRPr="002B5221">
        <w:rPr>
          <w:spacing w:val="15"/>
        </w:rPr>
        <w:t>建设一座</w:t>
      </w:r>
      <w:r w:rsidRPr="002B5221">
        <w:rPr>
          <w:rFonts w:eastAsiaTheme="minorEastAsia"/>
        </w:rPr>
        <w:t>1</w:t>
      </w:r>
      <w:r w:rsidRPr="002B5221">
        <w:rPr>
          <w:rFonts w:eastAsia="Times New Roman"/>
        </w:rPr>
        <w:t>0t</w:t>
      </w:r>
      <w:r w:rsidRPr="002B5221">
        <w:rPr>
          <w:spacing w:val="18"/>
        </w:rPr>
        <w:t>柴油储罐专门间，按照《危险废物贮存污染控制标准》</w:t>
      </w:r>
      <w:r w:rsidRPr="002B5221">
        <w:rPr>
          <w:spacing w:val="2"/>
        </w:rPr>
        <w:t>（</w:t>
      </w:r>
      <w:r w:rsidRPr="002B5221">
        <w:rPr>
          <w:rFonts w:eastAsia="Times New Roman"/>
          <w:spacing w:val="2"/>
        </w:rPr>
        <w:t>GB18597-2001</w:t>
      </w:r>
      <w:r w:rsidRPr="002B5221">
        <w:rPr>
          <w:spacing w:val="2"/>
        </w:rPr>
        <w:t>）相关要求地面防渗、安装泄漏报警和监控措施，</w:t>
      </w:r>
      <w:r w:rsidRPr="002B5221">
        <w:t>有可能发生下列风险事故：</w:t>
      </w:r>
    </w:p>
    <w:p w14:paraId="0C1C498E" w14:textId="1531F133" w:rsidR="00FB6EE0" w:rsidRPr="002B5221" w:rsidRDefault="00FB6EE0" w:rsidP="00FB6EE0">
      <w:pPr>
        <w:pStyle w:val="af6"/>
        <w:ind w:firstLine="480"/>
      </w:pPr>
      <w:r w:rsidRPr="002B5221">
        <w:fldChar w:fldCharType="begin"/>
      </w:r>
      <w:r w:rsidRPr="002B5221">
        <w:instrText xml:space="preserve"> </w:instrText>
      </w:r>
      <w:r w:rsidRPr="002B5221">
        <w:rPr>
          <w:rFonts w:hint="eastAsia"/>
        </w:rPr>
        <w:instrText>= 1 \* GB3</w:instrText>
      </w:r>
      <w:r w:rsidRPr="002B5221">
        <w:instrText xml:space="preserve"> </w:instrText>
      </w:r>
      <w:r w:rsidRPr="002B5221">
        <w:fldChar w:fldCharType="separate"/>
      </w:r>
      <w:r w:rsidRPr="002B5221">
        <w:rPr>
          <w:rFonts w:hint="eastAsia"/>
          <w:noProof/>
        </w:rPr>
        <w:t>①</w:t>
      </w:r>
      <w:r w:rsidRPr="002B5221">
        <w:fldChar w:fldCharType="end"/>
      </w:r>
      <w:r w:rsidRPr="002B5221">
        <w:t>储罐破裂泄露，导致周围土壤、植被、地表水和地下水污染，土壤污</w:t>
      </w:r>
      <w:r w:rsidRPr="002B5221">
        <w:rPr>
          <w:spacing w:val="-3"/>
        </w:rPr>
        <w:t>染可能导致农田和作物的污染，地表水和地下水的污染可能影响植被和作物的灌</w:t>
      </w:r>
      <w:r w:rsidRPr="002B5221">
        <w:t>溉以及水质安全问题，从而影响人们饮用水和食物的安全性；</w:t>
      </w:r>
    </w:p>
    <w:p w14:paraId="343E86A8" w14:textId="15ABC386" w:rsidR="00FB6EE0" w:rsidRPr="002B5221" w:rsidRDefault="00FB6EE0" w:rsidP="00FB6EE0">
      <w:pPr>
        <w:pStyle w:val="af6"/>
        <w:ind w:firstLine="480"/>
      </w:pPr>
      <w:r w:rsidRPr="002B5221">
        <w:fldChar w:fldCharType="begin"/>
      </w:r>
      <w:r w:rsidRPr="002B5221">
        <w:instrText xml:space="preserve"> </w:instrText>
      </w:r>
      <w:r w:rsidRPr="002B5221">
        <w:rPr>
          <w:rFonts w:hint="eastAsia"/>
        </w:rPr>
        <w:instrText>= 2 \* GB3</w:instrText>
      </w:r>
      <w:r w:rsidRPr="002B5221">
        <w:instrText xml:space="preserve"> </w:instrText>
      </w:r>
      <w:r w:rsidRPr="002B5221">
        <w:fldChar w:fldCharType="separate"/>
      </w:r>
      <w:r w:rsidRPr="002B5221">
        <w:rPr>
          <w:rFonts w:hint="eastAsia"/>
          <w:noProof/>
        </w:rPr>
        <w:t>②</w:t>
      </w:r>
      <w:r w:rsidRPr="002B5221">
        <w:fldChar w:fldCharType="end"/>
      </w:r>
      <w:r w:rsidRPr="002B5221">
        <w:t>储罐材料质量问题，或者长时间在地下存放过程中，造成材料腐蚀，裂隙造成的泄露；</w:t>
      </w:r>
    </w:p>
    <w:p w14:paraId="5DC0AC1A" w14:textId="7EE5441B" w:rsidR="00FB6EE0" w:rsidRPr="002B5221" w:rsidRDefault="00FB6EE0" w:rsidP="00FB6EE0">
      <w:pPr>
        <w:pStyle w:val="af6"/>
        <w:ind w:firstLine="480"/>
      </w:pPr>
      <w:r w:rsidRPr="002B5221">
        <w:fldChar w:fldCharType="begin"/>
      </w:r>
      <w:r w:rsidRPr="002B5221">
        <w:instrText xml:space="preserve"> </w:instrText>
      </w:r>
      <w:r w:rsidRPr="002B5221">
        <w:rPr>
          <w:rFonts w:hint="eastAsia"/>
        </w:rPr>
        <w:instrText>= 3 \* GB3</w:instrText>
      </w:r>
      <w:r w:rsidRPr="002B5221">
        <w:instrText xml:space="preserve"> </w:instrText>
      </w:r>
      <w:r w:rsidRPr="002B5221">
        <w:fldChar w:fldCharType="separate"/>
      </w:r>
      <w:r w:rsidRPr="002B5221">
        <w:rPr>
          <w:rFonts w:hint="eastAsia"/>
          <w:noProof/>
        </w:rPr>
        <w:t>③</w:t>
      </w:r>
      <w:r w:rsidRPr="002B5221">
        <w:fldChar w:fldCharType="end"/>
      </w:r>
      <w:r w:rsidRPr="002B5221">
        <w:t>由于地震或爆破振动造成的储罐的破裂泄露；</w:t>
      </w:r>
    </w:p>
    <w:p w14:paraId="43974FD1" w14:textId="54527E7D" w:rsidR="00FB6EE0" w:rsidRPr="002B5221" w:rsidRDefault="00FB6EE0" w:rsidP="00FB6EE0">
      <w:pPr>
        <w:pStyle w:val="af6"/>
        <w:ind w:firstLine="480"/>
      </w:pPr>
      <w:r w:rsidRPr="002B5221">
        <w:fldChar w:fldCharType="begin"/>
      </w:r>
      <w:r w:rsidRPr="002B5221">
        <w:instrText xml:space="preserve"> </w:instrText>
      </w:r>
      <w:r w:rsidRPr="002B5221">
        <w:rPr>
          <w:rFonts w:hint="eastAsia"/>
        </w:rPr>
        <w:instrText>= 4 \* GB3</w:instrText>
      </w:r>
      <w:r w:rsidRPr="002B5221">
        <w:instrText xml:space="preserve"> </w:instrText>
      </w:r>
      <w:r w:rsidRPr="002B5221">
        <w:fldChar w:fldCharType="separate"/>
      </w:r>
      <w:r w:rsidRPr="002B5221">
        <w:rPr>
          <w:rFonts w:hint="eastAsia"/>
          <w:noProof/>
        </w:rPr>
        <w:t>④</w:t>
      </w:r>
      <w:r w:rsidRPr="002B5221">
        <w:fldChar w:fldCharType="end"/>
      </w:r>
      <w:r w:rsidRPr="002B5221">
        <w:t>外界的撞击，造成储罐的损坏和破裂；</w:t>
      </w:r>
    </w:p>
    <w:p w14:paraId="1EDDCDC2" w14:textId="4CD4B14F" w:rsidR="00FB6EE0" w:rsidRPr="002B5221" w:rsidRDefault="00FB6EE0" w:rsidP="00FB6EE0">
      <w:pPr>
        <w:pStyle w:val="af6"/>
        <w:ind w:firstLine="480"/>
      </w:pPr>
      <w:r w:rsidRPr="002B5221">
        <w:fldChar w:fldCharType="begin"/>
      </w:r>
      <w:r w:rsidRPr="002B5221">
        <w:instrText xml:space="preserve"> </w:instrText>
      </w:r>
      <w:r w:rsidRPr="002B5221">
        <w:rPr>
          <w:rFonts w:hint="eastAsia"/>
        </w:rPr>
        <w:instrText>= 5 \* GB3</w:instrText>
      </w:r>
      <w:r w:rsidRPr="002B5221">
        <w:instrText xml:space="preserve"> </w:instrText>
      </w:r>
      <w:r w:rsidRPr="002B5221">
        <w:fldChar w:fldCharType="separate"/>
      </w:r>
      <w:r w:rsidRPr="002B5221">
        <w:rPr>
          <w:rFonts w:hint="eastAsia"/>
          <w:noProof/>
        </w:rPr>
        <w:t>⑤</w:t>
      </w:r>
      <w:r w:rsidRPr="002B5221">
        <w:fldChar w:fldCharType="end"/>
      </w:r>
      <w:r w:rsidRPr="002B5221">
        <w:t>破裂和泄露后，无泄露和修复检测或监控措施，造成对周围环境的重大影响；</w:t>
      </w:r>
    </w:p>
    <w:p w14:paraId="0E2F65D6" w14:textId="6429A5EA" w:rsidR="00FB6EE0" w:rsidRPr="002B5221" w:rsidRDefault="00FB6EE0" w:rsidP="00FB6EE0">
      <w:pPr>
        <w:pStyle w:val="af6"/>
        <w:ind w:firstLine="480"/>
      </w:pPr>
      <w:r w:rsidRPr="002B5221">
        <w:lastRenderedPageBreak/>
        <w:fldChar w:fldCharType="begin"/>
      </w:r>
      <w:r w:rsidRPr="002B5221">
        <w:instrText xml:space="preserve"> </w:instrText>
      </w:r>
      <w:r w:rsidRPr="002B5221">
        <w:rPr>
          <w:rFonts w:hint="eastAsia"/>
        </w:rPr>
        <w:instrText>= 6 \* GB3</w:instrText>
      </w:r>
      <w:r w:rsidRPr="002B5221">
        <w:instrText xml:space="preserve"> </w:instrText>
      </w:r>
      <w:r w:rsidRPr="002B5221">
        <w:fldChar w:fldCharType="separate"/>
      </w:r>
      <w:r w:rsidRPr="002B5221">
        <w:rPr>
          <w:rFonts w:hint="eastAsia"/>
          <w:noProof/>
        </w:rPr>
        <w:t>⑥</w:t>
      </w:r>
      <w:r w:rsidRPr="002B5221">
        <w:fldChar w:fldCharType="end"/>
      </w:r>
      <w:r w:rsidRPr="002B5221">
        <w:t>储罐附近以及周围由于其他火源造成的风险。</w:t>
      </w:r>
    </w:p>
    <w:p w14:paraId="4D6EF47D" w14:textId="77777777" w:rsidR="00E579B9" w:rsidRDefault="006A1398">
      <w:pPr>
        <w:pStyle w:val="3"/>
        <w:ind w:firstLine="560"/>
      </w:pPr>
      <w:r>
        <w:t>5.3.8</w:t>
      </w:r>
      <w:r>
        <w:rPr>
          <w:rFonts w:hint="eastAsia"/>
        </w:rPr>
        <w:t>环境风险防范措施</w:t>
      </w:r>
    </w:p>
    <w:p w14:paraId="34A63F8B" w14:textId="77777777" w:rsidR="00E579B9" w:rsidRDefault="006A1398">
      <w:r>
        <w:t>5.3.8.1</w:t>
      </w:r>
      <w:r>
        <w:rPr>
          <w:rFonts w:hint="eastAsia"/>
        </w:rPr>
        <w:t>露天采区风险防范措施</w:t>
      </w:r>
    </w:p>
    <w:p w14:paraId="68E0930E" w14:textId="77777777" w:rsidR="00E579B9" w:rsidRDefault="006A1398">
      <w:r>
        <w:rPr>
          <w:rFonts w:hint="eastAsia"/>
        </w:rPr>
        <w:t>（</w:t>
      </w:r>
      <w:r>
        <w:t>1</w:t>
      </w:r>
      <w:r>
        <w:rPr>
          <w:rFonts w:hint="eastAsia"/>
        </w:rPr>
        <w:t>）评价要求建设单位严格按照设计要求，采取自上而下的开采方式，严禁平推</w:t>
      </w:r>
      <w:r>
        <w:rPr>
          <w:rFonts w:hint="eastAsia"/>
          <w:spacing w:val="-2"/>
        </w:rPr>
        <w:t>式掏底作业；建立健全边坡管理制度和检查制度，对不稳定地段在暴雨后及时检查，发</w:t>
      </w:r>
      <w:r>
        <w:rPr>
          <w:rFonts w:hint="eastAsia"/>
        </w:rPr>
        <w:t>现异常及时处理；按设计形成边坡角，不得超挖。</w:t>
      </w:r>
    </w:p>
    <w:p w14:paraId="0A767EF1" w14:textId="77777777" w:rsidR="00E579B9" w:rsidRDefault="006A1398">
      <w:r>
        <w:rPr>
          <w:rFonts w:hint="eastAsia"/>
        </w:rPr>
        <w:t>（</w:t>
      </w:r>
      <w:r>
        <w:t>2</w:t>
      </w:r>
      <w:r>
        <w:rPr>
          <w:rFonts w:hint="eastAsia"/>
        </w:rPr>
        <w:t>）在距坠落基本面</w:t>
      </w:r>
      <w:r>
        <w:t>2m</w:t>
      </w:r>
      <w:r>
        <w:rPr>
          <w:rFonts w:hint="eastAsia"/>
        </w:rPr>
        <w:t>以上或则坡度超过</w:t>
      </w:r>
      <w:r>
        <w:t>30</w:t>
      </w:r>
      <w:r>
        <w:rPr>
          <w:rFonts w:hint="eastAsia"/>
        </w:rPr>
        <w:t>°的坡面上作业时，应当使用安全绳或安全带，安全绳应当拴在牢固地点上，严禁站在危石浮石上及悬空作业。</w:t>
      </w:r>
    </w:p>
    <w:p w14:paraId="7EF0AAE1" w14:textId="77777777" w:rsidR="00E579B9" w:rsidRDefault="006A1398">
      <w:r>
        <w:rPr>
          <w:rFonts w:hint="eastAsia"/>
        </w:rPr>
        <w:t>（</w:t>
      </w:r>
      <w:r>
        <w:t>3</w:t>
      </w:r>
      <w:r>
        <w:rPr>
          <w:rFonts w:hint="eastAsia"/>
        </w:rPr>
        <w:t>）露采区按设计要求设置截排水沟，防止雨水大量汇入采场及对边坡冲刷。</w:t>
      </w:r>
    </w:p>
    <w:p w14:paraId="71D876F1" w14:textId="77777777" w:rsidR="00E579B9" w:rsidRDefault="006A1398">
      <w:r>
        <w:t>5.3.8.2</w:t>
      </w:r>
      <w:r>
        <w:rPr>
          <w:rFonts w:hint="eastAsia"/>
        </w:rPr>
        <w:t>表土临时堆场安全防范措施</w:t>
      </w:r>
    </w:p>
    <w:p w14:paraId="1857E979" w14:textId="77777777" w:rsidR="00E579B9" w:rsidRDefault="006A1398">
      <w:pPr>
        <w:ind w:firstLine="472"/>
      </w:pPr>
      <w:r>
        <w:rPr>
          <w:rFonts w:hint="eastAsia"/>
          <w:spacing w:val="-2"/>
        </w:rPr>
        <w:t>依据安全预评价及水保方案的计算结果，表土临时堆场及其拦渣坝、截水沟、边坡</w:t>
      </w:r>
      <w:r>
        <w:rPr>
          <w:rFonts w:hint="eastAsia"/>
          <w:spacing w:val="-1"/>
        </w:rPr>
        <w:t>的稳定性均满足规范要求，考虑矿山边开采边治</w:t>
      </w:r>
      <w:r>
        <w:rPr>
          <w:rFonts w:hint="eastAsia"/>
        </w:rPr>
        <w:t>理，即每形成一级台阶，便覆土以恢复植被，因此表土堆场最大堆土量约</w:t>
      </w:r>
      <w:r>
        <w:rPr>
          <w:rFonts w:hint="eastAsia"/>
        </w:rPr>
        <w:t>2.5</w:t>
      </w:r>
      <w:r>
        <w:rPr>
          <w:rFonts w:hint="eastAsia"/>
        </w:rPr>
        <w:t>万</w:t>
      </w:r>
      <w:r>
        <w:t>m</w:t>
      </w:r>
      <w:r>
        <w:rPr>
          <w:position w:val="8"/>
          <w:sz w:val="15"/>
          <w:szCs w:val="15"/>
        </w:rPr>
        <w:t>3</w:t>
      </w:r>
      <w:r>
        <w:rPr>
          <w:rFonts w:hint="eastAsia"/>
          <w:color w:val="FF0000"/>
        </w:rPr>
        <w:t>。</w:t>
      </w:r>
      <w:r>
        <w:rPr>
          <w:rFonts w:hint="eastAsia"/>
        </w:rPr>
        <w:t>设</w:t>
      </w:r>
      <w:r>
        <w:rPr>
          <w:rFonts w:hint="eastAsia"/>
          <w:spacing w:val="-2"/>
        </w:rPr>
        <w:t>计表土临时堆场位于矿区南部废弃采场一平坦空地处，将剥离的表土充填至表土临时堆</w:t>
      </w:r>
      <w:r>
        <w:rPr>
          <w:rFonts w:hint="eastAsia"/>
          <w:spacing w:val="-1"/>
        </w:rPr>
        <w:t>场中。表土临时堆场顶面标高按</w:t>
      </w:r>
      <w:r>
        <w:rPr>
          <w:spacing w:val="-1"/>
        </w:rPr>
        <w:t>+420m</w:t>
      </w:r>
      <w:r>
        <w:rPr>
          <w:rFonts w:hint="eastAsia"/>
          <w:spacing w:val="-1"/>
        </w:rPr>
        <w:t>设计，表土临时堆场占地面积约</w:t>
      </w:r>
      <w:r>
        <w:rPr>
          <w:rFonts w:hint="eastAsia"/>
          <w:spacing w:val="-1"/>
        </w:rPr>
        <w:t>100</w:t>
      </w:r>
      <w:r>
        <w:rPr>
          <w:spacing w:val="-1"/>
        </w:rPr>
        <w:t>00m</w:t>
      </w:r>
      <w:r>
        <w:rPr>
          <w:spacing w:val="-1"/>
          <w:position w:val="8"/>
          <w:sz w:val="15"/>
          <w:szCs w:val="15"/>
        </w:rPr>
        <w:t>2</w:t>
      </w:r>
      <w:r>
        <w:rPr>
          <w:rFonts w:hint="eastAsia"/>
          <w:spacing w:val="-1"/>
        </w:rPr>
        <w:t>，设计表</w:t>
      </w:r>
      <w:r>
        <w:rPr>
          <w:rFonts w:hint="eastAsia"/>
        </w:rPr>
        <w:t>土最大堆高</w:t>
      </w:r>
      <w:r>
        <w:t>3m</w:t>
      </w:r>
      <w:r>
        <w:rPr>
          <w:rFonts w:hint="eastAsia"/>
        </w:rPr>
        <w:t>，边坡比</w:t>
      </w:r>
      <w:r>
        <w:t>1</w:t>
      </w:r>
      <w:r>
        <w:rPr>
          <w:rFonts w:hint="eastAsia"/>
        </w:rPr>
        <w:t>：</w:t>
      </w:r>
      <w:r>
        <w:t>1.5</w:t>
      </w:r>
      <w:r>
        <w:rPr>
          <w:rFonts w:hint="eastAsia"/>
        </w:rPr>
        <w:t>，容积约</w:t>
      </w:r>
      <w:r>
        <w:t>0.8</w:t>
      </w:r>
      <w:r>
        <w:rPr>
          <w:rFonts w:hint="eastAsia"/>
        </w:rPr>
        <w:t>万</w:t>
      </w:r>
      <w:r>
        <w:t>m</w:t>
      </w:r>
      <w:r>
        <w:rPr>
          <w:position w:val="8"/>
          <w:sz w:val="15"/>
          <w:szCs w:val="15"/>
        </w:rPr>
        <w:t>3</w:t>
      </w:r>
      <w:r>
        <w:rPr>
          <w:rFonts w:hint="eastAsia"/>
        </w:rPr>
        <w:t>，大于矿山</w:t>
      </w:r>
      <w:r>
        <w:t>0.6</w:t>
      </w:r>
      <w:r>
        <w:rPr>
          <w:rFonts w:hint="eastAsia"/>
        </w:rPr>
        <w:t>万</w:t>
      </w:r>
      <w:r>
        <w:t>m</w:t>
      </w:r>
      <w:r>
        <w:rPr>
          <w:position w:val="8"/>
          <w:sz w:val="15"/>
          <w:szCs w:val="15"/>
        </w:rPr>
        <w:t>3</w:t>
      </w:r>
      <w:r>
        <w:rPr>
          <w:rFonts w:hint="eastAsia"/>
        </w:rPr>
        <w:t>的最大堆土量，可以满足该矿山表土堆放要求。</w:t>
      </w:r>
    </w:p>
    <w:p w14:paraId="7FA48C69" w14:textId="77777777" w:rsidR="00E579B9" w:rsidRDefault="006A1398">
      <w:r>
        <w:rPr>
          <w:rFonts w:hint="eastAsia"/>
        </w:rPr>
        <w:t>针对表土临时堆场，环评对企业作出以下要求：</w:t>
      </w:r>
    </w:p>
    <w:p w14:paraId="66ABA6F5" w14:textId="77777777" w:rsidR="00E579B9" w:rsidRDefault="006A1398">
      <w:r>
        <w:rPr>
          <w:rFonts w:hint="eastAsia"/>
        </w:rPr>
        <w:t>（</w:t>
      </w:r>
      <w:r>
        <w:rPr>
          <w:rFonts w:hint="eastAsia"/>
        </w:rPr>
        <w:t>1</w:t>
      </w:r>
      <w:r>
        <w:rPr>
          <w:rFonts w:hint="eastAsia"/>
        </w:rPr>
        <w:t>）表土临时堆场应严格按照设计、安评和水保要求进行建设，并且要符合《金</w:t>
      </w:r>
      <w:r>
        <w:rPr>
          <w:rFonts w:hint="eastAsia"/>
          <w:spacing w:val="-11"/>
        </w:rPr>
        <w:t>属非金属矿山表土临时堆场安全生产规则》（</w:t>
      </w:r>
      <w:r>
        <w:rPr>
          <w:spacing w:val="-11"/>
        </w:rPr>
        <w:t>AQ2005-2005</w:t>
      </w:r>
      <w:r>
        <w:rPr>
          <w:rFonts w:hint="eastAsia"/>
          <w:spacing w:val="-11"/>
        </w:rPr>
        <w:t>）、《金属非金属露天矿山安全</w:t>
      </w:r>
      <w:r>
        <w:rPr>
          <w:rFonts w:hint="eastAsia"/>
          <w:spacing w:val="-13"/>
        </w:rPr>
        <w:t>规程》（</w:t>
      </w:r>
      <w:r>
        <w:rPr>
          <w:spacing w:val="-13"/>
        </w:rPr>
        <w:t>GB16423-2006</w:t>
      </w:r>
      <w:r>
        <w:rPr>
          <w:rFonts w:hint="eastAsia"/>
          <w:spacing w:val="-13"/>
        </w:rPr>
        <w:t>）、《冶金矿山表土临时堆场设计规范》（</w:t>
      </w:r>
      <w:r>
        <w:rPr>
          <w:spacing w:val="-13"/>
        </w:rPr>
        <w:t>GB51119-2015</w:t>
      </w:r>
      <w:r>
        <w:rPr>
          <w:rFonts w:hint="eastAsia"/>
          <w:spacing w:val="-13"/>
        </w:rPr>
        <w:t>）、《一般</w:t>
      </w:r>
      <w:r>
        <w:rPr>
          <w:rFonts w:hint="eastAsia"/>
          <w:spacing w:val="-3"/>
        </w:rPr>
        <w:t>工业固体废物贮存、处置场污染控制标准》（</w:t>
      </w:r>
      <w:r>
        <w:rPr>
          <w:spacing w:val="-3"/>
        </w:rPr>
        <w:t>GB18599-2001</w:t>
      </w:r>
      <w:r>
        <w:rPr>
          <w:rFonts w:hint="eastAsia"/>
          <w:spacing w:val="-3"/>
        </w:rPr>
        <w:t>）及修改单等的要求，严格</w:t>
      </w:r>
      <w:r>
        <w:rPr>
          <w:rFonts w:hint="eastAsia"/>
        </w:rPr>
        <w:t>设计和施工。</w:t>
      </w:r>
    </w:p>
    <w:p w14:paraId="6230E6EF" w14:textId="77777777" w:rsidR="00E579B9" w:rsidRDefault="006A1398">
      <w:pPr>
        <w:rPr>
          <w:rFonts w:ascii="宋体" w:hAnsi="宋体" w:cs="Times New Roman"/>
          <w:kern w:val="0"/>
          <w:szCs w:val="24"/>
        </w:rPr>
      </w:pPr>
      <w:r>
        <w:rPr>
          <w:rFonts w:ascii="宋体" w:hAnsi="宋体" w:cs="Times New Roman" w:hint="eastAsia"/>
          <w:kern w:val="0"/>
          <w:szCs w:val="24"/>
        </w:rPr>
        <w:t>（</w:t>
      </w:r>
      <w:r>
        <w:rPr>
          <w:rFonts w:cs="Times New Roman"/>
          <w:kern w:val="0"/>
          <w:szCs w:val="24"/>
        </w:rPr>
        <w:t>2</w:t>
      </w:r>
      <w:r>
        <w:rPr>
          <w:rFonts w:ascii="宋体" w:hAnsi="宋体" w:cs="Times New Roman" w:hint="eastAsia"/>
          <w:kern w:val="0"/>
          <w:szCs w:val="24"/>
        </w:rPr>
        <w:t>）在管理和使用过程中，要参照《金属非金属矿山表土临时堆场安全生产规则》（</w:t>
      </w:r>
      <w:r>
        <w:rPr>
          <w:rFonts w:cs="Times New Roman"/>
          <w:kern w:val="0"/>
          <w:szCs w:val="24"/>
        </w:rPr>
        <w:t>AQ2005-2005</w:t>
      </w:r>
      <w:r>
        <w:rPr>
          <w:rFonts w:ascii="宋体" w:hAnsi="宋体" w:cs="Times New Roman" w:hint="eastAsia"/>
          <w:kern w:val="0"/>
          <w:szCs w:val="24"/>
        </w:rPr>
        <w:t>）进行操作，要设置必要的安全管理机构，建立完善的安全管理体系，</w:t>
      </w:r>
      <w:r>
        <w:rPr>
          <w:rFonts w:ascii="宋体" w:hAnsi="宋体" w:cs="Times New Roman" w:hint="eastAsia"/>
          <w:spacing w:val="-2"/>
          <w:kern w:val="0"/>
          <w:szCs w:val="24"/>
        </w:rPr>
        <w:t>制定并严格遵守安全操作规程，配备相应的专职管理及检查人</w:t>
      </w:r>
      <w:r>
        <w:rPr>
          <w:rFonts w:ascii="宋体" w:hAnsi="宋体" w:cs="Times New Roman" w:hint="eastAsia"/>
          <w:spacing w:val="-2"/>
          <w:kern w:val="0"/>
          <w:szCs w:val="24"/>
        </w:rPr>
        <w:lastRenderedPageBreak/>
        <w:t>员，并对员工加强职业安</w:t>
      </w:r>
      <w:r>
        <w:rPr>
          <w:rFonts w:ascii="宋体" w:hAnsi="宋体" w:cs="Times New Roman" w:hint="eastAsia"/>
          <w:kern w:val="0"/>
          <w:szCs w:val="24"/>
        </w:rPr>
        <w:t>全教育：在管理和使用过程中要进行定期巡査，出现的问题及时处理，杜绝隐患遗留。</w:t>
      </w:r>
    </w:p>
    <w:p w14:paraId="0918482D" w14:textId="77777777" w:rsidR="00E579B9" w:rsidRDefault="006A1398">
      <w:pPr>
        <w:rPr>
          <w:rFonts w:ascii="宋体" w:hAnsi="宋体" w:cs="Times New Roman"/>
          <w:kern w:val="0"/>
          <w:szCs w:val="24"/>
        </w:rPr>
      </w:pPr>
      <w:r>
        <w:rPr>
          <w:rFonts w:ascii="宋体" w:hAnsi="宋体" w:cs="Times New Roman" w:hint="eastAsia"/>
          <w:kern w:val="0"/>
          <w:szCs w:val="24"/>
        </w:rPr>
        <w:t>（</w:t>
      </w:r>
      <w:r>
        <w:rPr>
          <w:rFonts w:cs="Times New Roman"/>
          <w:kern w:val="0"/>
          <w:szCs w:val="24"/>
        </w:rPr>
        <w:t>3</w:t>
      </w:r>
      <w:r>
        <w:rPr>
          <w:rFonts w:ascii="宋体" w:hAnsi="宋体" w:cs="Times New Roman" w:hint="eastAsia"/>
          <w:kern w:val="0"/>
          <w:szCs w:val="24"/>
        </w:rPr>
        <w:t>）表土临时堆场设置完善的排水系统。表土临时堆场风险源项主要是洪水，因</w:t>
      </w:r>
      <w:r>
        <w:rPr>
          <w:rFonts w:ascii="宋体" w:hAnsi="宋体" w:cs="Times New Roman" w:hint="eastAsia"/>
          <w:spacing w:val="-5"/>
          <w:kern w:val="0"/>
          <w:szCs w:val="24"/>
        </w:rPr>
        <w:t>此，其风险减缓措施首先应是修筑浆砌石挡墙、截排水沟，并在运营期保证排水沟畅通，</w:t>
      </w:r>
      <w:r>
        <w:rPr>
          <w:rFonts w:ascii="宋体" w:hAnsi="宋体" w:cs="Times New Roman" w:hint="eastAsia"/>
          <w:kern w:val="0"/>
          <w:szCs w:val="24"/>
        </w:rPr>
        <w:t>以减少洪水对表土临时堆场的冲刷，提高挡墙的抗洪能力，防止滑坡风险的发生。表土临时堆场排水沟必须按暴雨重现期进行校核，挡石坝必须严格按照设计规范要求进行设计，并保证施工质量。</w:t>
      </w:r>
    </w:p>
    <w:p w14:paraId="0395A8AA" w14:textId="77777777" w:rsidR="00E579B9" w:rsidRDefault="006A1398">
      <w:pPr>
        <w:rPr>
          <w:rFonts w:ascii="宋体" w:hAnsi="宋体" w:cs="Times New Roman"/>
          <w:kern w:val="0"/>
          <w:szCs w:val="24"/>
        </w:rPr>
      </w:pPr>
      <w:r>
        <w:rPr>
          <w:rFonts w:ascii="宋体" w:hAnsi="宋体" w:cs="Times New Roman" w:hint="eastAsia"/>
          <w:kern w:val="0"/>
          <w:szCs w:val="24"/>
        </w:rPr>
        <w:t>（</w:t>
      </w:r>
      <w:r>
        <w:rPr>
          <w:rFonts w:cs="Times New Roman"/>
          <w:kern w:val="0"/>
          <w:szCs w:val="24"/>
        </w:rPr>
        <w:t>4</w:t>
      </w:r>
      <w:r>
        <w:rPr>
          <w:rFonts w:ascii="宋体" w:hAnsi="宋体" w:cs="Times New Roman" w:hint="eastAsia"/>
          <w:kern w:val="0"/>
          <w:szCs w:val="24"/>
        </w:rPr>
        <w:t>）严格按设计和水土保持方案的要求修筑截排水沟，将表土临时堆场以外的雨水拦截，使其不进入场内。</w:t>
      </w:r>
    </w:p>
    <w:p w14:paraId="1F742BB8" w14:textId="77777777" w:rsidR="00E579B9" w:rsidRDefault="006A1398">
      <w:pPr>
        <w:rPr>
          <w:rFonts w:ascii="宋体" w:hAnsi="宋体" w:cs="Times New Roman"/>
          <w:kern w:val="0"/>
          <w:szCs w:val="24"/>
        </w:rPr>
      </w:pPr>
      <w:r>
        <w:rPr>
          <w:rFonts w:ascii="宋体" w:hAnsi="宋体" w:cs="Times New Roman" w:hint="eastAsia"/>
          <w:kern w:val="0"/>
          <w:szCs w:val="24"/>
        </w:rPr>
        <w:t>（</w:t>
      </w:r>
      <w:r>
        <w:rPr>
          <w:rFonts w:cs="Times New Roman"/>
          <w:kern w:val="0"/>
          <w:szCs w:val="24"/>
        </w:rPr>
        <w:t>5</w:t>
      </w:r>
      <w:r>
        <w:rPr>
          <w:rFonts w:ascii="宋体" w:hAnsi="宋体" w:cs="Times New Roman" w:hint="eastAsia"/>
          <w:kern w:val="0"/>
          <w:szCs w:val="24"/>
        </w:rPr>
        <w:t>）在表土临时堆场堆放的固体废物严格限制为剥离表土，其他危险固体废物或生活垃圾混入。</w:t>
      </w:r>
    </w:p>
    <w:p w14:paraId="46BE00E5" w14:textId="77777777" w:rsidR="00E579B9" w:rsidRDefault="006A1398">
      <w:r>
        <w:rPr>
          <w:rFonts w:hint="eastAsia"/>
        </w:rPr>
        <w:t>（</w:t>
      </w:r>
      <w:r>
        <w:t>6</w:t>
      </w:r>
      <w:r>
        <w:rPr>
          <w:rFonts w:hint="eastAsia"/>
        </w:rPr>
        <w:t>）废石堆放过程中，对废石边坡进行削坡治理，确定合理的边坡参数，形成平台，保证边坡稳定，避免出现滑坡事故。同时在边坡铺设草皮或种植灌木，防止雨水冲刷造成水土流失。表土临时堆场服务期满后应及时封场，场地平整后覆土植树，恢复植被，重构生态系统。</w:t>
      </w:r>
    </w:p>
    <w:p w14:paraId="02351CE0" w14:textId="77777777" w:rsidR="00E579B9" w:rsidRDefault="006A1398">
      <w:r>
        <w:rPr>
          <w:rFonts w:hint="eastAsia"/>
        </w:rPr>
        <w:t>（</w:t>
      </w:r>
      <w:r>
        <w:rPr>
          <w:rFonts w:hint="eastAsia"/>
        </w:rPr>
        <w:t>7</w:t>
      </w:r>
      <w:r>
        <w:rPr>
          <w:rFonts w:hint="eastAsia"/>
        </w:rPr>
        <w:t>）建议将废石堆置平台修成</w:t>
      </w:r>
      <w:r>
        <w:rPr>
          <w:rFonts w:hint="eastAsia"/>
        </w:rPr>
        <w:t>2%-3%</w:t>
      </w:r>
      <w:r>
        <w:rPr>
          <w:rFonts w:hint="eastAsia"/>
        </w:rPr>
        <w:t>的反坡，使水流向坡根处的排水沟而排出界外，从而分散平台本身的汇水，使其不致侵蚀或冲刷边坡。一旦临时表土场封场，其顶部平台上的排水系统要与坡面排水系统相连，形成完善的排水系统。</w:t>
      </w:r>
    </w:p>
    <w:p w14:paraId="4AA15C05" w14:textId="77777777" w:rsidR="00E579B9" w:rsidRDefault="006A1398">
      <w:r>
        <w:rPr>
          <w:rFonts w:hint="eastAsia"/>
        </w:rPr>
        <w:t>（</w:t>
      </w:r>
      <w:r>
        <w:rPr>
          <w:rFonts w:hint="eastAsia"/>
        </w:rPr>
        <w:t>8</w:t>
      </w:r>
      <w:r>
        <w:rPr>
          <w:rFonts w:hint="eastAsia"/>
        </w:rPr>
        <w:t>）临时表土场周围必须设置环保及安全等图形标志，环境保护图形标志应按</w:t>
      </w:r>
      <w:r>
        <w:rPr>
          <w:rFonts w:hint="eastAsia"/>
        </w:rPr>
        <w:t>GB15562.2</w:t>
      </w:r>
      <w:r>
        <w:rPr>
          <w:rFonts w:hint="eastAsia"/>
        </w:rPr>
        <w:t>规定进行检查和维护。</w:t>
      </w:r>
    </w:p>
    <w:p w14:paraId="2B5410D3" w14:textId="77777777" w:rsidR="00E579B9" w:rsidRDefault="006A1398">
      <w:r>
        <w:t>5.3.8.3</w:t>
      </w:r>
      <w:r>
        <w:rPr>
          <w:rFonts w:hint="eastAsia"/>
        </w:rPr>
        <w:t>爆破风险影响措施</w:t>
      </w:r>
    </w:p>
    <w:p w14:paraId="53163370" w14:textId="2CCEEDFB" w:rsidR="00E579B9" w:rsidRPr="002B5221" w:rsidRDefault="006A1398">
      <w:r>
        <w:rPr>
          <w:rFonts w:hint="eastAsia"/>
        </w:rPr>
        <w:t>由于爆破作业危险性较大，易对爆破人员和危险区内其他人员造成危害，因此，爆破警戒范围四周要设置明显的警示标志，爆破作业必须按照爆破规程操作。爆破作业前，移动设备和非爆破作业人员全部撤离到爆破警戒线以外的安全地带，设备停机停电，爆破现场由爆破员按照规定进行布线、装药、填塞。起爆前，要发出声响警报和视觉信号，撤走爆破警戒范围内所有无关人员，并在通往爆破警戒线区的道路设置岗哨，禁止一切车辆和人员进入。通过联系确认安全的情况下，由爆破员进行联线、起爆。爆破成功并发出信号解除</w:t>
      </w:r>
      <w:r w:rsidRPr="002B5221">
        <w:rPr>
          <w:rFonts w:hint="eastAsia"/>
        </w:rPr>
        <w:lastRenderedPageBreak/>
        <w:t>警戒后，人员方能进入作业场地，检查供电系统、设备设施，确认完好方可恢复供电。采取上述措施后，爆破对周围环境的影响较小。</w:t>
      </w:r>
    </w:p>
    <w:p w14:paraId="4F97E602" w14:textId="77777777" w:rsidR="00FB6EE0" w:rsidRPr="002B5221" w:rsidRDefault="00FB6EE0" w:rsidP="00FB6EE0">
      <w:pPr>
        <w:pStyle w:val="af6"/>
        <w:ind w:firstLine="480"/>
      </w:pPr>
      <w:r w:rsidRPr="002B5221">
        <w:rPr>
          <w:rFonts w:hint="eastAsia"/>
        </w:rPr>
        <w:t>5.3.8.4</w:t>
      </w:r>
      <w:r w:rsidRPr="002B5221">
        <w:t>柴油储罐风险防范措施</w:t>
      </w:r>
    </w:p>
    <w:p w14:paraId="115FA7FB" w14:textId="77777777" w:rsidR="00FB6EE0" w:rsidRPr="002B5221" w:rsidRDefault="00FB6EE0" w:rsidP="00FB6EE0">
      <w:pPr>
        <w:pStyle w:val="af6"/>
        <w:ind w:firstLine="480"/>
      </w:pPr>
      <w:r w:rsidRPr="002B5221">
        <w:t>（</w:t>
      </w:r>
      <w:r w:rsidRPr="002B5221">
        <w:t>1</w:t>
      </w:r>
      <w:r w:rsidRPr="002B5221">
        <w:t>）柴油使用及贮存过程中风险防范措施</w:t>
      </w:r>
    </w:p>
    <w:p w14:paraId="1DBC0614" w14:textId="5C37CCBF" w:rsidR="00FB6EE0" w:rsidRPr="002B5221" w:rsidRDefault="00FB6EE0" w:rsidP="00FB6EE0">
      <w:pPr>
        <w:pStyle w:val="af6"/>
        <w:ind w:firstLine="480"/>
      </w:pPr>
      <w:r w:rsidRPr="002B5221">
        <w:t>1</w:t>
      </w:r>
      <w:r w:rsidRPr="002B5221">
        <w:t>）加强储罐材料质量保障，安装储罐泄露和检测系统和监控措施，一旦发生泄露，第一时间发现并采取应急方案；</w:t>
      </w:r>
    </w:p>
    <w:p w14:paraId="5141E217" w14:textId="6BB9B0F5" w:rsidR="00FB6EE0" w:rsidRPr="002B5221" w:rsidRDefault="00FB6EE0" w:rsidP="00FB6EE0">
      <w:pPr>
        <w:pStyle w:val="af6"/>
        <w:ind w:firstLine="480"/>
      </w:pPr>
      <w:r w:rsidRPr="002B5221">
        <w:t>2</w:t>
      </w:r>
      <w:r w:rsidRPr="002B5221">
        <w:t>）柴油储罐专门间内安装泄漏报警和监控措施，同时在贮存间附近设置底部防渗事故池，贮存间地面按照《危险废物贮存污染控制标准》（</w:t>
      </w:r>
      <w:r w:rsidRPr="002B5221">
        <w:t>GB18597-2001</w:t>
      </w:r>
      <w:r w:rsidRPr="002B5221">
        <w:t>）及</w:t>
      </w:r>
      <w:r w:rsidRPr="002B5221">
        <w:t>2013</w:t>
      </w:r>
      <w:r w:rsidRPr="002B5221">
        <w:t>修改单要求做好地面防渗，防止泄露造成对周围土壤、地下水的污染；</w:t>
      </w:r>
    </w:p>
    <w:p w14:paraId="678B685E" w14:textId="5699AA23" w:rsidR="00FB6EE0" w:rsidRPr="002B5221" w:rsidRDefault="00FB6EE0" w:rsidP="00FB6EE0">
      <w:pPr>
        <w:pStyle w:val="af6"/>
        <w:ind w:firstLine="480"/>
      </w:pPr>
      <w:r w:rsidRPr="002B5221">
        <w:t>3</w:t>
      </w:r>
      <w:r w:rsidRPr="002B5221">
        <w:t>）柴油储罐专门间建筑结构应采用钢筋混凝土结构，强化构筑物稳定性和抗震性，同时防止外界车辆的意外撞击，鉴于车间内操作设备及机械车辆的振动影响，评价还建议提高贮存间的建设等级和防渗等级；</w:t>
      </w:r>
    </w:p>
    <w:p w14:paraId="36986075" w14:textId="546C7BB8" w:rsidR="00FB6EE0" w:rsidRPr="002B5221" w:rsidRDefault="007908DF" w:rsidP="00FB6EE0">
      <w:pPr>
        <w:pStyle w:val="af6"/>
        <w:ind w:firstLine="480"/>
      </w:pPr>
      <w:r w:rsidRPr="002B5221">
        <w:rPr>
          <w:rFonts w:hint="eastAsia"/>
        </w:rPr>
        <w:t>4</w:t>
      </w:r>
      <w:r w:rsidRPr="002B5221">
        <w:rPr>
          <w:rFonts w:hint="eastAsia"/>
        </w:rPr>
        <w:t>）防火，除了在使用的现场要禁明火以外，储存的地方尤其要禁火禁止吸</w:t>
      </w:r>
      <w:r w:rsidR="00FB6EE0" w:rsidRPr="002B5221">
        <w:t>烟。</w:t>
      </w:r>
    </w:p>
    <w:p w14:paraId="0EB94139" w14:textId="77777777" w:rsidR="00FB6EE0" w:rsidRPr="002B5221" w:rsidRDefault="00FB6EE0" w:rsidP="00FB6EE0">
      <w:pPr>
        <w:pStyle w:val="af6"/>
        <w:ind w:firstLine="480"/>
      </w:pPr>
      <w:r w:rsidRPr="002B5221">
        <w:t>5</w:t>
      </w:r>
      <w:r w:rsidRPr="002B5221">
        <w:t>）防泄漏，每次使用完后，要检查阀门是否关闭。</w:t>
      </w:r>
    </w:p>
    <w:p w14:paraId="7407DD94" w14:textId="6020F3F4" w:rsidR="00FB6EE0" w:rsidRPr="002B5221" w:rsidRDefault="00FB6EE0" w:rsidP="00FB6EE0">
      <w:pPr>
        <w:pStyle w:val="af6"/>
        <w:ind w:firstLine="480"/>
      </w:pPr>
      <w:r w:rsidRPr="002B5221">
        <w:t>6</w:t>
      </w:r>
      <w:r w:rsidRPr="002B5221">
        <w:t>）操作注意事项：密闭操作，加强通风。远离火种、热源，工作场所严禁吸烟。配备相应品种和数量的消防器材及泄漏应急处理设备。</w:t>
      </w:r>
    </w:p>
    <w:p w14:paraId="6CCC679B" w14:textId="0AA8A51D" w:rsidR="00FB6EE0" w:rsidRPr="002B5221" w:rsidRDefault="00FB6EE0" w:rsidP="00FB6EE0">
      <w:pPr>
        <w:pStyle w:val="af6"/>
        <w:ind w:firstLine="480"/>
      </w:pPr>
      <w:r w:rsidRPr="002B5221">
        <w:t>7</w:t>
      </w:r>
      <w:r w:rsidRPr="002B5221">
        <w:t>）储存注意事项：储存于阴凉、通风的库房。远离火种、热源。库温不宜超过</w:t>
      </w:r>
      <w:r w:rsidRPr="002B5221">
        <w:t>30</w:t>
      </w:r>
      <w:r w:rsidRPr="002B5221">
        <w:tab/>
        <w:t>℃</w:t>
      </w:r>
      <w:r w:rsidRPr="002B5221">
        <w:t>。保持容器密封。应与氧化剂、酸类、碱金属等分开存放，切忌混储。采用防爆型照明、通风设施。禁止使用易产生火花的机械设备和工具。</w:t>
      </w:r>
    </w:p>
    <w:p w14:paraId="78AF946D" w14:textId="77777777" w:rsidR="00FB6EE0" w:rsidRPr="002B5221" w:rsidRDefault="00FB6EE0" w:rsidP="00FB6EE0">
      <w:pPr>
        <w:pStyle w:val="af6"/>
        <w:ind w:firstLine="480"/>
      </w:pPr>
      <w:r w:rsidRPr="002B5221">
        <w:t>（</w:t>
      </w:r>
      <w:r w:rsidRPr="002B5221">
        <w:t>2</w:t>
      </w:r>
      <w:r w:rsidRPr="002B5221">
        <w:t>）防火措施</w:t>
      </w:r>
    </w:p>
    <w:p w14:paraId="02DE01D4" w14:textId="77777777" w:rsidR="00FB6EE0" w:rsidRPr="002B5221" w:rsidRDefault="00FB6EE0" w:rsidP="00FB6EE0">
      <w:pPr>
        <w:pStyle w:val="af6"/>
        <w:ind w:firstLine="480"/>
      </w:pPr>
      <w:r w:rsidRPr="002B5221">
        <w:t>1</w:t>
      </w:r>
      <w:r w:rsidRPr="002B5221">
        <w:t>）在柴油专门贮存间附近应设置手提式干粉灭火器；</w:t>
      </w:r>
    </w:p>
    <w:p w14:paraId="19F8C89B" w14:textId="77777777" w:rsidR="00FB6EE0" w:rsidRPr="002B5221" w:rsidRDefault="00FB6EE0" w:rsidP="00FB6EE0">
      <w:pPr>
        <w:pStyle w:val="af6"/>
        <w:ind w:firstLine="480"/>
      </w:pPr>
      <w:r w:rsidRPr="002B5221">
        <w:t>2</w:t>
      </w:r>
      <w:r w:rsidRPr="002B5221">
        <w:t>）危废暂存处应设置手提式干粉灭火器。</w:t>
      </w:r>
    </w:p>
    <w:p w14:paraId="7834AAB0" w14:textId="77777777" w:rsidR="00FB6EE0" w:rsidRPr="002B5221" w:rsidRDefault="00FB6EE0" w:rsidP="00FB6EE0">
      <w:pPr>
        <w:pStyle w:val="af6"/>
        <w:ind w:firstLine="480"/>
      </w:pPr>
      <w:r w:rsidRPr="002B5221">
        <w:t>（</w:t>
      </w:r>
      <w:r w:rsidRPr="002B5221">
        <w:t>3</w:t>
      </w:r>
      <w:r w:rsidRPr="002B5221">
        <w:t>）环境管理措施</w:t>
      </w:r>
    </w:p>
    <w:p w14:paraId="1785249D" w14:textId="77777777" w:rsidR="00FB6EE0" w:rsidRPr="002B5221" w:rsidRDefault="00FB6EE0" w:rsidP="00FB6EE0">
      <w:pPr>
        <w:pStyle w:val="af6"/>
        <w:ind w:firstLine="480"/>
      </w:pPr>
      <w:r w:rsidRPr="002B5221">
        <w:t>1</w:t>
      </w:r>
      <w:r w:rsidRPr="002B5221">
        <w:t>）加强环境保护设施的日常维护和管理以及人员的培训工作；</w:t>
      </w:r>
    </w:p>
    <w:p w14:paraId="69DA6C7B" w14:textId="77777777" w:rsidR="00FB6EE0" w:rsidRPr="002B5221" w:rsidRDefault="00FB6EE0" w:rsidP="00FB6EE0">
      <w:pPr>
        <w:pStyle w:val="af6"/>
        <w:ind w:firstLine="480"/>
      </w:pPr>
      <w:r w:rsidRPr="002B5221">
        <w:t>2</w:t>
      </w:r>
      <w:r w:rsidRPr="002B5221">
        <w:t>）完善环保设施运行管理台账及运行记录，配备专人管理；</w:t>
      </w:r>
    </w:p>
    <w:p w14:paraId="7B809587" w14:textId="77777777" w:rsidR="00FB6EE0" w:rsidRPr="002B5221" w:rsidRDefault="00FB6EE0" w:rsidP="00FB6EE0">
      <w:pPr>
        <w:pStyle w:val="af6"/>
        <w:ind w:firstLine="480"/>
      </w:pPr>
      <w:r w:rsidRPr="002B5221">
        <w:t>3</w:t>
      </w:r>
      <w:r w:rsidRPr="002B5221">
        <w:t>）设置危险标识，加强防腐防渗措施的日常管理；</w:t>
      </w:r>
    </w:p>
    <w:p w14:paraId="6B90955E" w14:textId="5397E6E6" w:rsidR="005A21C8" w:rsidRPr="002B5221" w:rsidRDefault="00FB6EE0" w:rsidP="005A21C8">
      <w:pPr>
        <w:pStyle w:val="af6"/>
        <w:ind w:firstLine="480"/>
      </w:pPr>
      <w:r w:rsidRPr="002B5221">
        <w:lastRenderedPageBreak/>
        <w:t>4</w:t>
      </w:r>
      <w:r w:rsidRPr="002B5221">
        <w:t>）完善环境保护突发事故应急预案</w:t>
      </w:r>
    </w:p>
    <w:p w14:paraId="15C01FCA" w14:textId="77777777" w:rsidR="00E579B9" w:rsidRDefault="006A1398">
      <w:pPr>
        <w:pStyle w:val="3"/>
        <w:ind w:firstLine="560"/>
      </w:pPr>
      <w:r>
        <w:t>5.3.9</w:t>
      </w:r>
      <w:r>
        <w:rPr>
          <w:rFonts w:hint="eastAsia"/>
        </w:rPr>
        <w:t>风险应急预案</w:t>
      </w:r>
    </w:p>
    <w:p w14:paraId="06904288" w14:textId="77777777" w:rsidR="00E579B9" w:rsidRDefault="006A1398">
      <w:r>
        <w:rPr>
          <w:rFonts w:hint="eastAsia"/>
        </w:rPr>
        <w:t>根据国家环保局（</w:t>
      </w:r>
      <w:r>
        <w:rPr>
          <w:rFonts w:hint="eastAsia"/>
        </w:rPr>
        <w:t>90</w:t>
      </w:r>
      <w:r>
        <w:rPr>
          <w:rFonts w:hint="eastAsia"/>
        </w:rPr>
        <w:t>）环管字第</w:t>
      </w:r>
      <w:r>
        <w:rPr>
          <w:rFonts w:hint="eastAsia"/>
        </w:rPr>
        <w:t>057</w:t>
      </w:r>
      <w:r>
        <w:rPr>
          <w:rFonts w:hint="eastAsia"/>
        </w:rPr>
        <w:t>号文的要求，通过对污染事故的风险评价，各有关企业应制定重大的环境污染事故发生的工作计划，消除事故隐患的实施及突发性</w:t>
      </w:r>
      <w:r>
        <w:rPr>
          <w:rFonts w:hint="eastAsia"/>
        </w:rPr>
        <w:t>+</w:t>
      </w:r>
      <w:r>
        <w:rPr>
          <w:rFonts w:hint="eastAsia"/>
        </w:rPr>
        <w:t>事故的应急办法等。目前本项目已编制完成安全评价报告，评价建议成立完善企业内部急救指挥小组，和当地其它相关事故应急救援部门建立正常的定期联系等。</w:t>
      </w:r>
    </w:p>
    <w:p w14:paraId="67550D15" w14:textId="77777777" w:rsidR="00E579B9" w:rsidRDefault="006A1398">
      <w:r>
        <w:rPr>
          <w:rFonts w:hint="eastAsia"/>
        </w:rPr>
        <w:t>在此，评价仅根据临时表土场及周围环境状况，提出一些针对临时表土场的简单的风险急预案：</w:t>
      </w:r>
    </w:p>
    <w:p w14:paraId="44E3C8E1" w14:textId="77777777" w:rsidR="00E579B9" w:rsidRDefault="006A1398">
      <w:r>
        <w:rPr>
          <w:rFonts w:hint="eastAsia"/>
        </w:rPr>
        <w:t>（</w:t>
      </w:r>
      <w:r>
        <w:rPr>
          <w:rFonts w:hint="eastAsia"/>
        </w:rPr>
        <w:t>1</w:t>
      </w:r>
      <w:r>
        <w:rPr>
          <w:rFonts w:hint="eastAsia"/>
        </w:rPr>
        <w:t>）应急计划区</w:t>
      </w:r>
    </w:p>
    <w:p w14:paraId="719E28F1" w14:textId="77777777" w:rsidR="00E579B9" w:rsidRDefault="006A1398">
      <w:r>
        <w:rPr>
          <w:rFonts w:hint="eastAsia"/>
        </w:rPr>
        <w:t>根据项目特点，应急计划区的危险目标是临时表土场。</w:t>
      </w:r>
    </w:p>
    <w:p w14:paraId="5B959125" w14:textId="77777777" w:rsidR="00E579B9" w:rsidRDefault="006A1398">
      <w:r>
        <w:rPr>
          <w:rFonts w:hint="eastAsia"/>
        </w:rPr>
        <w:t>（</w:t>
      </w:r>
      <w:r>
        <w:rPr>
          <w:rFonts w:hint="eastAsia"/>
        </w:rPr>
        <w:t>2</w:t>
      </w:r>
      <w:r>
        <w:rPr>
          <w:rFonts w:hint="eastAsia"/>
        </w:rPr>
        <w:t>）应急组织机构和人员</w:t>
      </w:r>
    </w:p>
    <w:p w14:paraId="13EE325A" w14:textId="77777777" w:rsidR="00E579B9" w:rsidRDefault="006A1398">
      <w:r>
        <w:rPr>
          <w:rFonts w:hint="eastAsia"/>
        </w:rPr>
        <w:t>企业内设安全科，配置至少</w:t>
      </w:r>
      <w:r>
        <w:rPr>
          <w:rFonts w:hint="eastAsia"/>
        </w:rPr>
        <w:t>2</w:t>
      </w:r>
      <w:r>
        <w:rPr>
          <w:rFonts w:hint="eastAsia"/>
        </w:rPr>
        <w:t>名专职工作人员，建立应急领导小组，矿长为组长，主管安全的副矿长任副组长，各工班领导和安全科成员为组员，并与社会应急组织机构建立联系制度。</w:t>
      </w:r>
    </w:p>
    <w:p w14:paraId="340E6E7A" w14:textId="77777777" w:rsidR="00E579B9" w:rsidRDefault="006A1398">
      <w:r>
        <w:rPr>
          <w:rFonts w:hint="eastAsia"/>
        </w:rPr>
        <w:t>（</w:t>
      </w:r>
      <w:r>
        <w:rPr>
          <w:rFonts w:hint="eastAsia"/>
        </w:rPr>
        <w:t>3</w:t>
      </w:r>
      <w:r>
        <w:rPr>
          <w:rFonts w:hint="eastAsia"/>
        </w:rPr>
        <w:t>）预案分级响应</w:t>
      </w:r>
    </w:p>
    <w:p w14:paraId="28B1189C" w14:textId="77777777" w:rsidR="00E579B9" w:rsidRDefault="006A1398">
      <w:r>
        <w:rPr>
          <w:rFonts w:hint="eastAsia"/>
        </w:rPr>
        <w:t>应急预案领导小组应制定风险事故详细应急预案级别及分级响应程序，并加强演练。</w:t>
      </w:r>
    </w:p>
    <w:p w14:paraId="2D09EDCB" w14:textId="77777777" w:rsidR="00E579B9" w:rsidRDefault="006A1398">
      <w:r>
        <w:rPr>
          <w:rFonts w:hint="eastAsia"/>
        </w:rPr>
        <w:t>（</w:t>
      </w:r>
      <w:r>
        <w:rPr>
          <w:rFonts w:hint="eastAsia"/>
        </w:rPr>
        <w:t>4</w:t>
      </w:r>
      <w:r>
        <w:rPr>
          <w:rFonts w:hint="eastAsia"/>
        </w:rPr>
        <w:t>）应急救援保障</w:t>
      </w:r>
    </w:p>
    <w:p w14:paraId="70F44568" w14:textId="77777777" w:rsidR="00E579B9" w:rsidRDefault="006A1398">
      <w:r>
        <w:rPr>
          <w:rFonts w:hint="eastAsia"/>
        </w:rPr>
        <w:t>建立兼职救援队伍，明确救援人员的职责，并与就近救护队或者其他具备救护条件的单位签订救护协议。根据临时表土场事故特点，应明确事故时指挥车辆、推土机、铲车等，并经常维护保养，使其处于随即可用的正常状态。</w:t>
      </w:r>
    </w:p>
    <w:p w14:paraId="66179D9E" w14:textId="77777777" w:rsidR="00E579B9" w:rsidRDefault="006A1398">
      <w:r>
        <w:rPr>
          <w:rFonts w:hint="eastAsia"/>
        </w:rPr>
        <w:t>（</w:t>
      </w:r>
      <w:r>
        <w:rPr>
          <w:rFonts w:hint="eastAsia"/>
        </w:rPr>
        <w:t>5</w:t>
      </w:r>
      <w:r>
        <w:rPr>
          <w:rFonts w:hint="eastAsia"/>
        </w:rPr>
        <w:t>）应急环境监测、抢险、救援及控制措施</w:t>
      </w:r>
    </w:p>
    <w:p w14:paraId="33069389" w14:textId="77777777" w:rsidR="00E579B9" w:rsidRDefault="006A1398">
      <w:r>
        <w:rPr>
          <w:rFonts w:hint="eastAsia"/>
        </w:rPr>
        <w:t>①发生事故后，应立即通知应急机构所有人员，相关部门及人员到达事故现场，成立现场指挥部；</w:t>
      </w:r>
    </w:p>
    <w:p w14:paraId="1E56C025" w14:textId="77777777" w:rsidR="00E579B9" w:rsidRDefault="006A1398">
      <w:r>
        <w:rPr>
          <w:rFonts w:hint="eastAsia"/>
        </w:rPr>
        <w:t>②立即调动所有救援设施迅速到达事故现场参加救援工作，并在</w:t>
      </w:r>
      <w:r>
        <w:rPr>
          <w:rFonts w:hint="eastAsia"/>
        </w:rPr>
        <w:t>1</w:t>
      </w:r>
      <w:r>
        <w:rPr>
          <w:rFonts w:hint="eastAsia"/>
        </w:rPr>
        <w:t>小时内向当地安监部门报告；</w:t>
      </w:r>
    </w:p>
    <w:p w14:paraId="011608F6" w14:textId="77777777" w:rsidR="00E579B9" w:rsidRDefault="006A1398">
      <w:r>
        <w:rPr>
          <w:rFonts w:hint="eastAsia"/>
        </w:rPr>
        <w:t>③立即向有关部门及社会应急组织机构报告，及时参加救援工作；</w:t>
      </w:r>
    </w:p>
    <w:p w14:paraId="45627DB7" w14:textId="77777777" w:rsidR="00E579B9" w:rsidRDefault="006A1398">
      <w:r>
        <w:rPr>
          <w:rFonts w:hint="eastAsia"/>
        </w:rPr>
        <w:lastRenderedPageBreak/>
        <w:t>④针对事故原因和事故状况，采取有效的控制措施，防止事态的进一步扩大。</w:t>
      </w:r>
    </w:p>
    <w:p w14:paraId="6E7D9FBC" w14:textId="77777777" w:rsidR="00E579B9" w:rsidRDefault="006A1398">
      <w:r>
        <w:rPr>
          <w:rFonts w:hint="eastAsia"/>
        </w:rPr>
        <w:t>（</w:t>
      </w:r>
      <w:r>
        <w:rPr>
          <w:rFonts w:hint="eastAsia"/>
        </w:rPr>
        <w:t>6</w:t>
      </w:r>
      <w:r>
        <w:rPr>
          <w:rFonts w:hint="eastAsia"/>
        </w:rPr>
        <w:t>）应急防护措施、清除泄漏措施</w:t>
      </w:r>
    </w:p>
    <w:p w14:paraId="6465D4D3" w14:textId="77777777" w:rsidR="00E579B9" w:rsidRDefault="006A1398">
      <w:r>
        <w:rPr>
          <w:rFonts w:hint="eastAsia"/>
        </w:rPr>
        <w:t>①事故发生后，应组织强有力的抢险队伍，及时修复临时表土场拦渣坝，使其达到设计要求；</w:t>
      </w:r>
    </w:p>
    <w:p w14:paraId="31A2814A" w14:textId="77777777" w:rsidR="00E579B9" w:rsidRDefault="006A1398">
      <w:r>
        <w:rPr>
          <w:rFonts w:hint="eastAsia"/>
        </w:rPr>
        <w:t>②对事故下泄的废石及时清理，保持自然冲沟排水畅通，不影响行洪，避免进一步对地表水体的污染。</w:t>
      </w:r>
    </w:p>
    <w:p w14:paraId="4246B72B" w14:textId="77777777" w:rsidR="00E579B9" w:rsidRDefault="006A1398">
      <w:r>
        <w:rPr>
          <w:rFonts w:hint="eastAsia"/>
        </w:rPr>
        <w:t>（</w:t>
      </w:r>
      <w:r>
        <w:rPr>
          <w:rFonts w:hint="eastAsia"/>
        </w:rPr>
        <w:t>7</w:t>
      </w:r>
      <w:r>
        <w:rPr>
          <w:rFonts w:hint="eastAsia"/>
        </w:rPr>
        <w:t>）应急培训计划</w:t>
      </w:r>
    </w:p>
    <w:p w14:paraId="2DEDCACF" w14:textId="77777777" w:rsidR="00E579B9" w:rsidRDefault="006A1398">
      <w:r>
        <w:rPr>
          <w:rFonts w:hint="eastAsia"/>
        </w:rPr>
        <w:t>应制定应急培训计划，定期对职工进行培训，并进行应急能力的演练。</w:t>
      </w:r>
      <w:r>
        <w:rPr>
          <w:rFonts w:hint="eastAsia"/>
          <w:lang w:val="en-GB"/>
        </w:rPr>
        <w:t>应急预案一年至少演练两次，现场处置方案应演练经常化。</w:t>
      </w:r>
    </w:p>
    <w:p w14:paraId="168A270A" w14:textId="77777777" w:rsidR="00E579B9" w:rsidRDefault="006A1398">
      <w:r>
        <w:rPr>
          <w:rFonts w:hint="eastAsia"/>
        </w:rPr>
        <w:t>（</w:t>
      </w:r>
      <w:r>
        <w:rPr>
          <w:rFonts w:hint="eastAsia"/>
        </w:rPr>
        <w:t>8</w:t>
      </w:r>
      <w:r>
        <w:rPr>
          <w:rFonts w:hint="eastAsia"/>
        </w:rPr>
        <w:t>）公众教育和信息</w:t>
      </w:r>
    </w:p>
    <w:p w14:paraId="4D087B2E" w14:textId="77777777" w:rsidR="00E579B9" w:rsidRDefault="006A1398">
      <w:r>
        <w:rPr>
          <w:rFonts w:hint="eastAsia"/>
        </w:rPr>
        <w:t>对附近公众经常进行有关临时表土场安全方面的宣传，不能在临时表土场从事有关影响安全运行的活动，及时向社会通报有关信息。</w:t>
      </w:r>
    </w:p>
    <w:p w14:paraId="596A77AA" w14:textId="77777777" w:rsidR="00E579B9" w:rsidRDefault="006A1398">
      <w:pPr>
        <w:pStyle w:val="3"/>
        <w:ind w:firstLine="560"/>
      </w:pPr>
      <w:bookmarkStart w:id="282" w:name="_Toc267863110"/>
      <w:bookmarkStart w:id="283" w:name="_Toc329806867"/>
      <w:r>
        <w:t>5.3.10</w:t>
      </w:r>
      <w:r>
        <w:rPr>
          <w:rFonts w:hint="eastAsia"/>
        </w:rPr>
        <w:t>风险评价小结</w:t>
      </w:r>
      <w:bookmarkEnd w:id="282"/>
      <w:bookmarkEnd w:id="283"/>
    </w:p>
    <w:p w14:paraId="647D9A6F" w14:textId="77777777" w:rsidR="00E579B9" w:rsidRDefault="006A1398">
      <w:r>
        <w:rPr>
          <w:rFonts w:hint="eastAsia"/>
        </w:rPr>
        <w:t>本项目环境风险主要为临时表土场溃坝风险，虽然项目存在事故风险的可能性，但建设单位只要按照设计要求严格施工，并认真执行评价所提出的各项综合风险防范措施后，可把事故发生的概率降至最低。采取有效的风险应急预案，可使工程风险事故的环境影响控制在可接受范围内。</w:t>
      </w:r>
    </w:p>
    <w:p w14:paraId="419A80D2" w14:textId="77777777" w:rsidR="00E579B9" w:rsidRPr="005A21C8" w:rsidRDefault="00E579B9"/>
    <w:p w14:paraId="5F4CD2BA" w14:textId="77777777" w:rsidR="00E579B9" w:rsidRDefault="00E579B9"/>
    <w:p w14:paraId="6B577CD7" w14:textId="77777777" w:rsidR="00E579B9" w:rsidRDefault="00E579B9">
      <w:pPr>
        <w:sectPr w:rsidR="00E579B9">
          <w:footerReference w:type="default" r:id="rId69"/>
          <w:pgSz w:w="11906" w:h="16838"/>
          <w:pgMar w:top="1440" w:right="1800" w:bottom="1440" w:left="1800" w:header="851" w:footer="992" w:gutter="0"/>
          <w:cols w:space="425"/>
          <w:docGrid w:type="lines" w:linePitch="312"/>
        </w:sectPr>
      </w:pPr>
    </w:p>
    <w:p w14:paraId="165D21C5" w14:textId="77777777" w:rsidR="00E579B9" w:rsidRDefault="006A1398">
      <w:pPr>
        <w:pStyle w:val="1"/>
      </w:pPr>
      <w:bookmarkStart w:id="284" w:name="_Toc33021809"/>
      <w:r>
        <w:lastRenderedPageBreak/>
        <w:t>第</w:t>
      </w:r>
      <w:r>
        <w:rPr>
          <w:rFonts w:hint="eastAsia"/>
        </w:rPr>
        <w:t>六</w:t>
      </w:r>
      <w:r>
        <w:t>章生态环境现状调查及影响评价</w:t>
      </w:r>
      <w:bookmarkEnd w:id="213"/>
      <w:bookmarkEnd w:id="214"/>
      <w:bookmarkEnd w:id="215"/>
      <w:bookmarkEnd w:id="216"/>
      <w:bookmarkEnd w:id="217"/>
      <w:bookmarkEnd w:id="218"/>
      <w:bookmarkEnd w:id="219"/>
      <w:bookmarkEnd w:id="284"/>
    </w:p>
    <w:p w14:paraId="0DE53825" w14:textId="77777777" w:rsidR="00E579B9" w:rsidRDefault="006A1398">
      <w:pPr>
        <w:pStyle w:val="2"/>
        <w:ind w:firstLine="560"/>
      </w:pPr>
      <w:bookmarkStart w:id="285" w:name="_Toc531939379"/>
      <w:bookmarkStart w:id="286" w:name="_Toc181088835"/>
      <w:bookmarkStart w:id="287" w:name="_Toc531939590"/>
      <w:bookmarkStart w:id="288" w:name="_Toc304130812"/>
      <w:bookmarkStart w:id="289" w:name="_Toc181089241"/>
      <w:bookmarkStart w:id="290" w:name="_Toc180680500"/>
      <w:bookmarkStart w:id="291" w:name="_Toc187038740"/>
      <w:bookmarkStart w:id="292" w:name="_Toc33021810"/>
      <w:bookmarkStart w:id="293" w:name="_Toc162358839"/>
      <w:r>
        <w:t>6.1</w:t>
      </w:r>
      <w:r>
        <w:t>评价目的、方法</w:t>
      </w:r>
      <w:bookmarkEnd w:id="285"/>
      <w:bookmarkEnd w:id="286"/>
      <w:bookmarkEnd w:id="287"/>
      <w:bookmarkEnd w:id="288"/>
      <w:bookmarkEnd w:id="289"/>
      <w:bookmarkEnd w:id="290"/>
      <w:bookmarkEnd w:id="291"/>
      <w:bookmarkEnd w:id="292"/>
    </w:p>
    <w:p w14:paraId="2DA7920C" w14:textId="77777777" w:rsidR="00E579B9" w:rsidRDefault="006A1398">
      <w:pPr>
        <w:pStyle w:val="3"/>
        <w:ind w:firstLine="560"/>
      </w:pPr>
      <w:bookmarkStart w:id="294" w:name="_Toc162358841"/>
      <w:bookmarkStart w:id="295" w:name="_Toc531939591"/>
      <w:bookmarkStart w:id="296" w:name="_Toc181088836"/>
      <w:bookmarkStart w:id="297" w:name="_Toc181089242"/>
      <w:bookmarkStart w:id="298" w:name="_Toc180680501"/>
      <w:bookmarkStart w:id="299" w:name="_Toc531939380"/>
      <w:bookmarkStart w:id="300" w:name="_Toc187038741"/>
      <w:r>
        <w:t>6.1.1</w:t>
      </w:r>
      <w:bookmarkEnd w:id="294"/>
      <w:r>
        <w:t>评价目的</w:t>
      </w:r>
      <w:bookmarkEnd w:id="295"/>
      <w:bookmarkEnd w:id="296"/>
      <w:bookmarkEnd w:id="297"/>
      <w:bookmarkEnd w:id="298"/>
      <w:bookmarkEnd w:id="299"/>
      <w:bookmarkEnd w:id="300"/>
    </w:p>
    <w:p w14:paraId="109AAF74" w14:textId="77777777" w:rsidR="00E579B9" w:rsidRDefault="006A1398">
      <w:r>
        <w:rPr>
          <w:rFonts w:ascii="宋体" w:hAnsi="宋体" w:cs="宋体" w:hint="eastAsia"/>
        </w:rPr>
        <w:t>①</w:t>
      </w:r>
      <w:r>
        <w:t>通过对拟建项目所在地区生态环境现场调查和资料分析，对项目所在地区的生态环境现状做出评价。</w:t>
      </w:r>
    </w:p>
    <w:p w14:paraId="1949A77F" w14:textId="77777777" w:rsidR="00E579B9" w:rsidRDefault="006A1398">
      <w:r>
        <w:rPr>
          <w:rFonts w:ascii="宋体" w:hAnsi="宋体" w:cs="宋体" w:hint="eastAsia"/>
        </w:rPr>
        <w:t>②</w:t>
      </w:r>
      <w:r>
        <w:t>在生态环境现状分析和评价的基础上，预测该项目在建设期</w:t>
      </w:r>
      <w:r>
        <w:rPr>
          <w:rFonts w:hint="eastAsia"/>
        </w:rPr>
        <w:t>、</w:t>
      </w:r>
      <w:r>
        <w:t>营运期</w:t>
      </w:r>
      <w:r>
        <w:rPr>
          <w:rFonts w:hint="eastAsia"/>
        </w:rPr>
        <w:t>和闭矿期</w:t>
      </w:r>
      <w:r>
        <w:t>对生态环境</w:t>
      </w:r>
      <w:r>
        <w:rPr>
          <w:rFonts w:hint="eastAsia"/>
        </w:rPr>
        <w:t>可能</w:t>
      </w:r>
      <w:r>
        <w:t>产生</w:t>
      </w:r>
      <w:r>
        <w:rPr>
          <w:rFonts w:hint="eastAsia"/>
        </w:rPr>
        <w:t>的</w:t>
      </w:r>
      <w:r>
        <w:t>有利和不利影响，使工程项目的有利影响得到合理和充分的利用，使不利影响在采取积极措施后得到减缓或消除，尽可能地将本项目开发对区域生态环境的影响降至最</w:t>
      </w:r>
      <w:r>
        <w:rPr>
          <w:rFonts w:hint="eastAsia"/>
        </w:rPr>
        <w:t>小</w:t>
      </w:r>
      <w:r>
        <w:t>。</w:t>
      </w:r>
    </w:p>
    <w:p w14:paraId="39AB6903" w14:textId="77777777" w:rsidR="00E579B9" w:rsidRDefault="006A1398">
      <w:pPr>
        <w:pStyle w:val="af3"/>
        <w:ind w:left="360" w:firstLineChars="0" w:firstLine="0"/>
      </w:pP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t>为工程建设项目、设计部门以及环境管理决策部门提供生态环境方面的科学依据。</w:t>
      </w:r>
    </w:p>
    <w:p w14:paraId="7FE86291" w14:textId="77777777" w:rsidR="00E579B9" w:rsidRDefault="006A1398">
      <w:pPr>
        <w:pStyle w:val="af3"/>
        <w:ind w:left="360" w:firstLineChars="0" w:firstLine="0"/>
      </w:pP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t>使项目所在地区社会、经济、环境协调发展。</w:t>
      </w:r>
    </w:p>
    <w:p w14:paraId="111A43A6" w14:textId="77777777" w:rsidR="00E579B9" w:rsidRDefault="006A1398">
      <w:r>
        <w:rPr>
          <w:rFonts w:hint="eastAsia"/>
        </w:rPr>
        <w:t>生态环境影响评价的目的就是将项目开发对区域生态系统的影响降至最低，使区域植被得到有效保护，将工程对生态环境造成的负面影响降至最低、防止因工程建设导致区域生态平衡和景观的恶化。</w:t>
      </w:r>
    </w:p>
    <w:p w14:paraId="37A1EB3B" w14:textId="77777777" w:rsidR="00E579B9" w:rsidRDefault="006A1398">
      <w:pPr>
        <w:pStyle w:val="3"/>
        <w:ind w:firstLine="560"/>
      </w:pPr>
      <w:bookmarkStart w:id="301" w:name="_Toc531939381"/>
      <w:bookmarkStart w:id="302" w:name="_Toc531939592"/>
      <w:r>
        <w:t>6.1.2</w:t>
      </w:r>
      <w:r>
        <w:t>评价总体思路及调查方法</w:t>
      </w:r>
      <w:bookmarkEnd w:id="301"/>
      <w:bookmarkEnd w:id="302"/>
    </w:p>
    <w:p w14:paraId="59CA0B8D" w14:textId="77777777" w:rsidR="00E579B9" w:rsidRDefault="006A1398">
      <w:r>
        <w:t>本项目生态评价采取</w:t>
      </w:r>
      <w:r>
        <w:t>“</w:t>
      </w:r>
      <w:r>
        <w:t>以点为主，点线结合，反映全面</w:t>
      </w:r>
      <w:r>
        <w:t>”</w:t>
      </w:r>
      <w:r>
        <w:t>的原则，按照生态学的要求，以实地调查为主，同时运用类比分析、定性分析与定量分析相结合的方法进行。</w:t>
      </w:r>
    </w:p>
    <w:p w14:paraId="372A0740" w14:textId="77777777" w:rsidR="00E579B9" w:rsidRDefault="006A1398">
      <w:r>
        <w:t>在评价范围内按照生态环境调查内容的要求，采用资料收集</w:t>
      </w:r>
      <w:r>
        <w:rPr>
          <w:rFonts w:hint="eastAsia"/>
        </w:rPr>
        <w:t>、</w:t>
      </w:r>
      <w:r>
        <w:t>野外样方调查</w:t>
      </w:r>
      <w:r>
        <w:rPr>
          <w:rFonts w:hint="eastAsia"/>
        </w:rPr>
        <w:t>、</w:t>
      </w:r>
      <w:r>
        <w:rPr>
          <w:rFonts w:hint="eastAsia"/>
          <w:color w:val="000000" w:themeColor="text1"/>
          <w:spacing w:val="-2"/>
        </w:rPr>
        <w:t>核查</w:t>
      </w:r>
      <w:r>
        <w:rPr>
          <w:spacing w:val="-2"/>
        </w:rPr>
        <w:t>相结合的方</w:t>
      </w:r>
      <w:r>
        <w:t>法。首先搜集了当地的</w:t>
      </w:r>
      <w:bookmarkStart w:id="303" w:name="_Hlk528329049"/>
      <w:r>
        <w:t>土地利用现状、植被覆盖状况、农业生产状况等方面的现状资料</w:t>
      </w:r>
      <w:bookmarkEnd w:id="303"/>
      <w:r>
        <w:t>，并进行了整理分类，完成生态评价的基础资料收集。其次，按照工程三级项目生态环境现状调查要求，对已收集的基础资料及信息进行识别判断，不能够全面反映评价区域生态特征或信息不充足时，采用现场勘</w:t>
      </w:r>
      <w:r>
        <w:rPr>
          <w:rFonts w:hint="eastAsia"/>
        </w:rPr>
        <w:t>察</w:t>
      </w:r>
      <w:r>
        <w:t>和类比分析的方法进行补充。</w:t>
      </w:r>
    </w:p>
    <w:p w14:paraId="6264F2B9" w14:textId="77777777" w:rsidR="00E579B9" w:rsidRDefault="006A1398">
      <w:pPr>
        <w:pStyle w:val="3"/>
        <w:ind w:firstLine="560"/>
      </w:pPr>
      <w:bookmarkStart w:id="304" w:name="_Toc181089244"/>
      <w:bookmarkStart w:id="305" w:name="_Toc162358842"/>
      <w:bookmarkStart w:id="306" w:name="_Toc531939382"/>
      <w:bookmarkStart w:id="307" w:name="_Toc531939593"/>
      <w:bookmarkStart w:id="308" w:name="_Toc180680503"/>
      <w:bookmarkStart w:id="309" w:name="_Toc181088838"/>
      <w:bookmarkStart w:id="310" w:name="_Toc187038743"/>
      <w:bookmarkStart w:id="311" w:name="_Toc181089243"/>
      <w:bookmarkStart w:id="312" w:name="_Toc181088837"/>
      <w:bookmarkStart w:id="313" w:name="_Toc180680502"/>
      <w:bookmarkStart w:id="314" w:name="_Toc187038742"/>
      <w:r>
        <w:t>6.1.3</w:t>
      </w:r>
      <w:bookmarkEnd w:id="304"/>
      <w:bookmarkEnd w:id="305"/>
      <w:bookmarkEnd w:id="306"/>
      <w:bookmarkEnd w:id="307"/>
      <w:bookmarkEnd w:id="308"/>
      <w:bookmarkEnd w:id="309"/>
      <w:bookmarkEnd w:id="310"/>
      <w:r>
        <w:t>评价因子及评价等级</w:t>
      </w:r>
    </w:p>
    <w:p w14:paraId="55C08031" w14:textId="77777777" w:rsidR="00E579B9" w:rsidRDefault="006A1398">
      <w:r>
        <w:lastRenderedPageBreak/>
        <w:t>对生态完整性的评价主要是以植被作为指示物的评价，这是由于在自然生态过程中，植被的变化可以综合反应自然体系的功能状况和变化趋势。结合项目所在地生态环境现状调查及工程产排污特征分析，可以确定本项目拟建区的生态敏感问题为水土流失。因此，本项目生态评价的重点因子是工程建设可能造成区域自然体系的生态完整性受损和稳定状况变化，即重点进行生态完整性评价。</w:t>
      </w:r>
    </w:p>
    <w:p w14:paraId="5502C199" w14:textId="77777777" w:rsidR="00E579B9" w:rsidRDefault="006A1398">
      <w:pPr>
        <w:rPr>
          <w:kern w:val="0"/>
        </w:rPr>
      </w:pPr>
      <w:r>
        <w:t>项目所在区域不属于特殊生态敏感区和重要生态敏感区，应属于一般区域</w:t>
      </w:r>
      <w:r>
        <w:rPr>
          <w:szCs w:val="28"/>
        </w:rPr>
        <w:t>。项目总占地面积</w:t>
      </w:r>
      <w:r>
        <w:rPr>
          <w:szCs w:val="28"/>
        </w:rPr>
        <w:t>0.</w:t>
      </w:r>
      <w:r>
        <w:rPr>
          <w:rFonts w:hint="eastAsia"/>
          <w:szCs w:val="28"/>
        </w:rPr>
        <w:t>3425km</w:t>
      </w:r>
      <w:r>
        <w:rPr>
          <w:rFonts w:hint="eastAsia"/>
          <w:szCs w:val="28"/>
          <w:vertAlign w:val="superscript"/>
        </w:rPr>
        <w:t>2</w:t>
      </w:r>
      <w:r>
        <w:rPr>
          <w:szCs w:val="28"/>
        </w:rPr>
        <w:t>，</w:t>
      </w:r>
      <w:r>
        <w:rPr>
          <w:kern w:val="0"/>
        </w:rPr>
        <w:t>根据《环境影响评价技术导则生态影响》（</w:t>
      </w:r>
      <w:r>
        <w:rPr>
          <w:kern w:val="0"/>
        </w:rPr>
        <w:t>HJ19-2011</w:t>
      </w:r>
      <w:r>
        <w:rPr>
          <w:kern w:val="0"/>
        </w:rPr>
        <w:t>），本次生态环境评价等级为三级。</w:t>
      </w:r>
    </w:p>
    <w:p w14:paraId="65C9F6B4" w14:textId="77777777" w:rsidR="00E579B9" w:rsidRDefault="006A1398">
      <w:pPr>
        <w:pStyle w:val="3"/>
        <w:ind w:firstLine="560"/>
      </w:pPr>
      <w:r>
        <w:rPr>
          <w:rFonts w:hint="eastAsia"/>
        </w:rPr>
        <w:t>6.1.4</w:t>
      </w:r>
      <w:r>
        <w:rPr>
          <w:rFonts w:hint="eastAsia"/>
        </w:rPr>
        <w:t>评价范围</w:t>
      </w:r>
    </w:p>
    <w:p w14:paraId="100A355B" w14:textId="77777777" w:rsidR="00E579B9" w:rsidRDefault="006A1398">
      <w:pPr>
        <w:ind w:firstLine="488"/>
      </w:pPr>
      <w:r>
        <w:rPr>
          <w:rFonts w:hint="eastAsia"/>
          <w:bCs/>
          <w:spacing w:val="2"/>
        </w:rPr>
        <w:t>根据《环境影响评价技术导则生态影响》</w:t>
      </w:r>
      <w:r>
        <w:rPr>
          <w:bCs/>
          <w:spacing w:val="2"/>
        </w:rPr>
        <w:t>(HJ19-2011)</w:t>
      </w:r>
      <w:r>
        <w:rPr>
          <w:rFonts w:hint="eastAsia"/>
          <w:bCs/>
          <w:spacing w:val="2"/>
        </w:rPr>
        <w:t>中关于生态环境影响评价范围的规定，评价工作范围依据评价项目对生态因子的影响方式、影响程度和生态因子之间的相互影响和相互依存关系确定。</w:t>
      </w:r>
      <w:r>
        <w:t>根据工程特点和生态环境的连通性、完整性及影响方式，本次生态</w:t>
      </w:r>
      <w:r>
        <w:rPr>
          <w:kern w:val="0"/>
        </w:rPr>
        <w:t>评价范围</w:t>
      </w:r>
      <w:r>
        <w:t>充分考虑生态完整性，根据山势走向、植被分布情况，</w:t>
      </w:r>
      <w:r>
        <w:rPr>
          <w:rFonts w:cs="Times New Roman"/>
          <w:szCs w:val="21"/>
        </w:rPr>
        <w:t>结合矿区周围地形地貌，矿区范围向外扩展</w:t>
      </w:r>
      <w:r>
        <w:rPr>
          <w:rFonts w:cs="Times New Roman"/>
          <w:szCs w:val="21"/>
        </w:rPr>
        <w:t>500</w:t>
      </w:r>
      <w:r>
        <w:rPr>
          <w:rFonts w:cs="Times New Roman" w:hint="eastAsia"/>
          <w:szCs w:val="21"/>
        </w:rPr>
        <w:t>-1000</w:t>
      </w:r>
      <w:r>
        <w:rPr>
          <w:rFonts w:cs="Times New Roman"/>
          <w:szCs w:val="21"/>
        </w:rPr>
        <w:t>m</w:t>
      </w:r>
      <w:r>
        <w:rPr>
          <w:rFonts w:cs="Times New Roman"/>
          <w:szCs w:val="21"/>
        </w:rPr>
        <w:t>左右，面积约</w:t>
      </w:r>
      <w:r>
        <w:rPr>
          <w:rFonts w:cs="Times New Roman" w:hint="eastAsia"/>
          <w:szCs w:val="21"/>
        </w:rPr>
        <w:t>295h</w:t>
      </w:r>
      <w:r>
        <w:rPr>
          <w:rFonts w:cs="Times New Roman"/>
          <w:szCs w:val="21"/>
        </w:rPr>
        <w:t>m</w:t>
      </w:r>
      <w:r>
        <w:rPr>
          <w:rFonts w:cs="Times New Roman"/>
          <w:szCs w:val="21"/>
          <w:vertAlign w:val="superscript"/>
        </w:rPr>
        <w:t>2</w:t>
      </w:r>
      <w:r>
        <w:rPr>
          <w:rFonts w:cs="Times New Roman" w:hint="eastAsia"/>
          <w:szCs w:val="21"/>
        </w:rPr>
        <w:t>。</w:t>
      </w:r>
      <w:r>
        <w:t>根据驻马店市生态功能区划图，项目位于规划的</w:t>
      </w:r>
      <w:r>
        <w:rPr>
          <w:rFonts w:hint="eastAsia"/>
        </w:rPr>
        <w:t>水土</w:t>
      </w:r>
      <w:r>
        <w:t>保持重要区域内。</w:t>
      </w:r>
    </w:p>
    <w:p w14:paraId="72AD8EFD" w14:textId="77777777" w:rsidR="00E579B9" w:rsidRDefault="006A1398">
      <w:pPr>
        <w:pStyle w:val="3"/>
        <w:ind w:firstLine="560"/>
      </w:pPr>
      <w:r>
        <w:rPr>
          <w:rFonts w:hint="eastAsia"/>
        </w:rPr>
        <w:t>6</w:t>
      </w:r>
      <w:r>
        <w:t>.1.5</w:t>
      </w:r>
      <w:r>
        <w:t>评价因子</w:t>
      </w:r>
    </w:p>
    <w:p w14:paraId="07538330" w14:textId="77777777" w:rsidR="00E579B9" w:rsidRDefault="006A1398">
      <w:r>
        <w:t>生态环境现状调查因子主要为：土壤、植被、水土流失、生态系统类型、主要动植物种类等。</w:t>
      </w:r>
    </w:p>
    <w:p w14:paraId="29DC84E8" w14:textId="77777777" w:rsidR="00E579B9" w:rsidRDefault="006A1398">
      <w:r>
        <w:t>生态环境影响评价因子主要为：植被、水土流失等。</w:t>
      </w:r>
    </w:p>
    <w:p w14:paraId="0BE3822A" w14:textId="77777777" w:rsidR="00E579B9" w:rsidRDefault="006A1398">
      <w:pPr>
        <w:pStyle w:val="2"/>
        <w:ind w:firstLine="560"/>
        <w:rPr>
          <w:sz w:val="24"/>
        </w:rPr>
      </w:pPr>
      <w:bookmarkStart w:id="315" w:name="_Toc162358844"/>
      <w:bookmarkStart w:id="316" w:name="_Toc304130813"/>
      <w:bookmarkStart w:id="317" w:name="_Toc531939594"/>
      <w:bookmarkStart w:id="318" w:name="_Toc180680506"/>
      <w:bookmarkStart w:id="319" w:name="_Toc187038746"/>
      <w:bookmarkStart w:id="320" w:name="_Toc531939383"/>
      <w:bookmarkStart w:id="321" w:name="_Toc181089247"/>
      <w:bookmarkStart w:id="322" w:name="_Toc181088841"/>
      <w:bookmarkStart w:id="323" w:name="_Toc33021811"/>
      <w:bookmarkEnd w:id="293"/>
      <w:bookmarkEnd w:id="311"/>
      <w:bookmarkEnd w:id="312"/>
      <w:bookmarkEnd w:id="313"/>
      <w:bookmarkEnd w:id="314"/>
      <w:r>
        <w:rPr>
          <w:rFonts w:hint="eastAsia"/>
        </w:rPr>
        <w:t>6.2</w:t>
      </w:r>
      <w:bookmarkStart w:id="324" w:name="_Hlk531470533"/>
      <w:r>
        <w:t>生态环境现状</w:t>
      </w:r>
      <w:bookmarkEnd w:id="324"/>
      <w:r>
        <w:t>调查</w:t>
      </w:r>
      <w:bookmarkEnd w:id="315"/>
      <w:r>
        <w:t>及评价</w:t>
      </w:r>
      <w:bookmarkEnd w:id="316"/>
      <w:bookmarkEnd w:id="317"/>
      <w:bookmarkEnd w:id="318"/>
      <w:bookmarkEnd w:id="319"/>
      <w:bookmarkEnd w:id="320"/>
      <w:bookmarkEnd w:id="321"/>
      <w:bookmarkEnd w:id="322"/>
      <w:bookmarkEnd w:id="323"/>
    </w:p>
    <w:p w14:paraId="32053C7B" w14:textId="77777777" w:rsidR="00E579B9" w:rsidRDefault="006A1398">
      <w:pPr>
        <w:pStyle w:val="3"/>
        <w:ind w:firstLine="560"/>
      </w:pPr>
      <w:bookmarkStart w:id="325" w:name="_Toc180680507"/>
      <w:bookmarkStart w:id="326" w:name="_Toc187038747"/>
      <w:bookmarkStart w:id="327" w:name="_Toc181089248"/>
      <w:bookmarkStart w:id="328" w:name="_Toc531939595"/>
      <w:bookmarkStart w:id="329" w:name="_Toc531939384"/>
      <w:bookmarkStart w:id="330" w:name="_Toc181088842"/>
      <w:r>
        <w:rPr>
          <w:rFonts w:hint="eastAsia"/>
        </w:rPr>
        <w:t>6.2</w:t>
      </w:r>
      <w:r>
        <w:t>.1</w:t>
      </w:r>
      <w:r>
        <w:t>项目所在地区域生态环境现状调查</w:t>
      </w:r>
      <w:bookmarkEnd w:id="325"/>
      <w:bookmarkEnd w:id="326"/>
      <w:bookmarkEnd w:id="327"/>
      <w:bookmarkEnd w:id="328"/>
      <w:bookmarkEnd w:id="329"/>
      <w:bookmarkEnd w:id="330"/>
    </w:p>
    <w:p w14:paraId="0DEE0F81" w14:textId="77777777" w:rsidR="00E579B9" w:rsidRDefault="006A1398">
      <w:pPr>
        <w:pStyle w:val="226"/>
        <w:rPr>
          <w:rFonts w:cs="Times New Roman"/>
          <w:kern w:val="0"/>
        </w:rPr>
      </w:pPr>
      <w:r>
        <w:rPr>
          <w:rFonts w:cs="Times New Roman"/>
          <w:kern w:val="0"/>
        </w:rPr>
        <w:t>本次生态现状调查评价，</w:t>
      </w:r>
      <w:r>
        <w:rPr>
          <w:rFonts w:cs="Times New Roman" w:hint="eastAsia"/>
          <w:kern w:val="0"/>
        </w:rPr>
        <w:t>主要有查阅相关文献资料并结合现场调查走访等</w:t>
      </w:r>
      <w:r>
        <w:rPr>
          <w:rFonts w:cs="Times New Roman"/>
          <w:kern w:val="0"/>
        </w:rPr>
        <w:t>。根据现状调查和资料整理所得的数据对项目区域土地利用、植被、动物现状进行定性和定量相结合的评价，分析影响评价区环境的主要功能及其主要生态问题，评价本项目建设活动对评价区的生态影响。</w:t>
      </w:r>
    </w:p>
    <w:p w14:paraId="00D59305" w14:textId="77777777" w:rsidR="00E579B9" w:rsidRDefault="006A1398">
      <w:r>
        <w:rPr>
          <w:rFonts w:hint="eastAsia"/>
        </w:rPr>
        <w:t>6.2</w:t>
      </w:r>
      <w:r>
        <w:t>.1.1</w:t>
      </w:r>
      <w:r>
        <w:t>地形地貌</w:t>
      </w:r>
    </w:p>
    <w:p w14:paraId="1C75E16A" w14:textId="77777777" w:rsidR="00E579B9" w:rsidRDefault="006A1398">
      <w:r>
        <w:rPr>
          <w:rFonts w:hint="eastAsia"/>
        </w:rPr>
        <w:lastRenderedPageBreak/>
        <w:t>区内地形地貌以低山、丘陵为主，西高东低，地形起伏相对较大。区内地形地貌以低山、丘陵为主，西高东低，地形起伏相对较大，海拔最高点</w:t>
      </w:r>
      <w:r>
        <w:rPr>
          <w:rFonts w:hint="eastAsia"/>
        </w:rPr>
        <w:t>610</w:t>
      </w:r>
      <w:r>
        <w:rPr>
          <w:rFonts w:hint="eastAsia"/>
        </w:rPr>
        <w:t>米，最低点</w:t>
      </w:r>
      <w:r>
        <w:rPr>
          <w:rFonts w:hint="eastAsia"/>
        </w:rPr>
        <w:t>230</w:t>
      </w:r>
      <w:r>
        <w:rPr>
          <w:rFonts w:hint="eastAsia"/>
        </w:rPr>
        <w:t>米左右，最大相对高差约</w:t>
      </w:r>
      <w:r>
        <w:rPr>
          <w:rFonts w:hint="eastAsia"/>
        </w:rPr>
        <w:t>380</w:t>
      </w:r>
      <w:r>
        <w:rPr>
          <w:rFonts w:hint="eastAsia"/>
        </w:rPr>
        <w:t>米。矿区内总的地形走势为西高东低，海拔最高点约</w:t>
      </w:r>
      <w:r>
        <w:rPr>
          <w:rFonts w:hint="eastAsia"/>
        </w:rPr>
        <w:t>530</w:t>
      </w:r>
      <w:r>
        <w:rPr>
          <w:rFonts w:hint="eastAsia"/>
        </w:rPr>
        <w:t>米，最低点约</w:t>
      </w:r>
      <w:r>
        <w:rPr>
          <w:rFonts w:hint="eastAsia"/>
        </w:rPr>
        <w:t>270</w:t>
      </w:r>
      <w:r>
        <w:rPr>
          <w:rFonts w:hint="eastAsia"/>
        </w:rPr>
        <w:t>米，最大相对高差约</w:t>
      </w:r>
      <w:r>
        <w:rPr>
          <w:rFonts w:hint="eastAsia"/>
        </w:rPr>
        <w:t>160</w:t>
      </w:r>
      <w:r>
        <w:rPr>
          <w:rFonts w:hint="eastAsia"/>
        </w:rPr>
        <w:t>米。</w:t>
      </w:r>
    </w:p>
    <w:p w14:paraId="715554A1" w14:textId="77777777" w:rsidR="00E579B9" w:rsidRDefault="006A1398">
      <w:pPr>
        <w:spacing w:line="480" w:lineRule="exact"/>
      </w:pPr>
      <w:r>
        <w:t>矿山开采将会对开采区的地形、地貌造成一定的破坏，主要表现在</w:t>
      </w:r>
      <w:r>
        <w:rPr>
          <w:rFonts w:hint="eastAsia"/>
        </w:rPr>
        <w:t>露天开采、表土堆存</w:t>
      </w:r>
      <w:r>
        <w:t>等系列变化，开采区原有的地形、地貌发生变化，也导致矿区景观生态结构发生变化。矿山资源为不可再生资源，其开采会使资源的可利用量大大减少。</w:t>
      </w:r>
    </w:p>
    <w:p w14:paraId="719CA7DF" w14:textId="77777777" w:rsidR="00E579B9" w:rsidRDefault="006A1398">
      <w:pPr>
        <w:spacing w:line="480" w:lineRule="exact"/>
      </w:pPr>
      <w:r>
        <w:t>根据设计，矿山开采完毕后将形成山坡露天采场，根据设计及水土保持要求，闭矿后，立即对采区进行生态恢复，对</w:t>
      </w:r>
      <w:r>
        <w:rPr>
          <w:kern w:val="0"/>
        </w:rPr>
        <w:t>采区进行平整并覆土绿化，</w:t>
      </w:r>
      <w:r>
        <w:t>可以补偿对地形、地貌的影响。</w:t>
      </w:r>
    </w:p>
    <w:p w14:paraId="21E11684" w14:textId="77777777" w:rsidR="00E579B9" w:rsidRDefault="006A1398">
      <w:r>
        <w:rPr>
          <w:rFonts w:hint="eastAsia"/>
        </w:rPr>
        <w:t>6.2.1.2</w:t>
      </w:r>
      <w:r>
        <w:rPr>
          <w:rFonts w:hint="eastAsia"/>
        </w:rPr>
        <w:t>水资源状况</w:t>
      </w:r>
    </w:p>
    <w:p w14:paraId="53298D36" w14:textId="77777777" w:rsidR="00E579B9" w:rsidRDefault="006A1398">
      <w:r>
        <w:rPr>
          <w:rFonts w:hint="eastAsia"/>
        </w:rPr>
        <w:t>（</w:t>
      </w:r>
      <w:r>
        <w:rPr>
          <w:rFonts w:hint="eastAsia"/>
        </w:rPr>
        <w:t>1</w:t>
      </w:r>
      <w:r>
        <w:rPr>
          <w:rFonts w:hint="eastAsia"/>
        </w:rPr>
        <w:t>）地表水</w:t>
      </w:r>
    </w:p>
    <w:p w14:paraId="7C1B207D" w14:textId="77777777" w:rsidR="00E579B9" w:rsidRDefault="006A1398">
      <w:pPr>
        <w:rPr>
          <w:highlight w:val="yellow"/>
        </w:rPr>
      </w:pPr>
      <w:r>
        <w:rPr>
          <w:rFonts w:hint="eastAsia"/>
        </w:rPr>
        <w:t>本区属淮河水系和白河水系上游源区。矿区处于分水岭西南坡，沿地形切割的沟谷，自西北向东南流向，属季节性河流。矿区内地表水体不发育，无大的河流、沟渠，仅发育一些冲沟，且多为干沟。</w:t>
      </w:r>
    </w:p>
    <w:p w14:paraId="37BA4D60" w14:textId="77777777" w:rsidR="00E579B9" w:rsidRDefault="006A1398">
      <w:r>
        <w:rPr>
          <w:rFonts w:hint="eastAsia"/>
        </w:rPr>
        <w:t>（</w:t>
      </w:r>
      <w:r>
        <w:t>2</w:t>
      </w:r>
      <w:r>
        <w:rPr>
          <w:rFonts w:hint="eastAsia"/>
        </w:rPr>
        <w:t>）地下水</w:t>
      </w:r>
    </w:p>
    <w:p w14:paraId="0137405C" w14:textId="77777777" w:rsidR="00E579B9" w:rsidRDefault="006A1398">
      <w:r>
        <w:rPr>
          <w:rFonts w:hint="eastAsia"/>
        </w:rPr>
        <w:t>本区地下水类型为中深层承压水，水流量很小。矿区周边村庄均有汲水井水量丰富。</w:t>
      </w:r>
      <w:r>
        <w:t>本矿区受</w:t>
      </w:r>
      <w:bookmarkStart w:id="331" w:name="_Hlk531164968"/>
      <w:r>
        <w:t>地形</w:t>
      </w:r>
      <w:bookmarkEnd w:id="331"/>
      <w:r>
        <w:t>及岩层产状的控制，地下水总体自</w:t>
      </w:r>
      <w:r>
        <w:rPr>
          <w:rFonts w:hint="eastAsia"/>
        </w:rPr>
        <w:t>西南向东北。</w:t>
      </w:r>
    </w:p>
    <w:p w14:paraId="3FACACCA" w14:textId="77777777" w:rsidR="00E579B9" w:rsidRDefault="006A1398">
      <w:bookmarkStart w:id="332" w:name="_Toc181088844"/>
      <w:bookmarkStart w:id="333" w:name="_Toc180680509"/>
      <w:bookmarkStart w:id="334" w:name="_Toc181089250"/>
      <w:bookmarkStart w:id="335" w:name="_Toc183091478"/>
      <w:bookmarkStart w:id="336" w:name="_Toc187038749"/>
      <w:bookmarkStart w:id="337" w:name="_Toc181090529"/>
      <w:r>
        <w:rPr>
          <w:rFonts w:hint="eastAsia"/>
        </w:rPr>
        <w:t>6.2.1.3</w:t>
      </w:r>
      <w:r>
        <w:rPr>
          <w:rFonts w:hint="eastAsia"/>
        </w:rPr>
        <w:t>生态系统现状调查</w:t>
      </w:r>
      <w:bookmarkEnd w:id="332"/>
      <w:bookmarkEnd w:id="333"/>
      <w:bookmarkEnd w:id="334"/>
      <w:bookmarkEnd w:id="335"/>
      <w:bookmarkEnd w:id="336"/>
      <w:bookmarkEnd w:id="337"/>
    </w:p>
    <w:p w14:paraId="5E6D9108" w14:textId="77777777" w:rsidR="00E579B9" w:rsidRDefault="006A1398">
      <w:r>
        <w:t>根据实地调查，</w:t>
      </w:r>
      <w:r>
        <w:rPr>
          <w:rFonts w:hint="eastAsia"/>
        </w:rPr>
        <w:t>本次</w:t>
      </w:r>
      <w:r>
        <w:t>评价区共有</w:t>
      </w:r>
      <w:r>
        <w:rPr>
          <w:rFonts w:hint="eastAsia"/>
        </w:rPr>
        <w:t>林地</w:t>
      </w:r>
      <w:r>
        <w:t>生态系统、草地生态系统、</w:t>
      </w:r>
      <w:r>
        <w:rPr>
          <w:rFonts w:hint="eastAsia"/>
        </w:rPr>
        <w:t>农田</w:t>
      </w:r>
      <w:r>
        <w:t>生态系统、村镇生态系统、路际生态系统等</w:t>
      </w:r>
      <w:r>
        <w:rPr>
          <w:rFonts w:hint="eastAsia"/>
        </w:rPr>
        <w:t>5</w:t>
      </w:r>
      <w:r>
        <w:t>种生态系统类型。</w:t>
      </w:r>
      <w:r>
        <w:rPr>
          <w:rFonts w:hint="eastAsia"/>
        </w:rPr>
        <w:t>其中以林</w:t>
      </w:r>
      <w:r>
        <w:t>地</w:t>
      </w:r>
      <w:r>
        <w:rPr>
          <w:rFonts w:hint="eastAsia"/>
        </w:rPr>
        <w:t>生态系统为主，分布广，遍布评价区各地</w:t>
      </w:r>
      <w:r>
        <w:t>，评价区内生态系统类型及特征见表</w:t>
      </w:r>
      <w:r>
        <w:rPr>
          <w:rFonts w:hint="eastAsia"/>
        </w:rPr>
        <w:t>6.2</w:t>
      </w:r>
      <w:r>
        <w:t>-1</w:t>
      </w:r>
      <w:r>
        <w:t>。</w:t>
      </w:r>
    </w:p>
    <w:p w14:paraId="2C61C86F" w14:textId="77777777" w:rsidR="00E579B9" w:rsidRDefault="006A1398">
      <w:pPr>
        <w:pStyle w:val="21"/>
      </w:pPr>
      <w:r>
        <w:t>表</w:t>
      </w:r>
      <w:r>
        <w:rPr>
          <w:rFonts w:hint="eastAsia"/>
        </w:rPr>
        <w:t>6.2</w:t>
      </w:r>
      <w:r>
        <w:t>-1</w:t>
      </w:r>
      <w:r>
        <w:t>评价区生态系统类型及特征表</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988"/>
        <w:gridCol w:w="3362"/>
        <w:gridCol w:w="2838"/>
      </w:tblGrid>
      <w:tr w:rsidR="00E579B9" w14:paraId="655A687D" w14:textId="77777777">
        <w:trPr>
          <w:trHeight w:val="285"/>
          <w:tblHeader/>
        </w:trPr>
        <w:tc>
          <w:tcPr>
            <w:tcW w:w="758" w:type="dxa"/>
            <w:shd w:val="clear" w:color="auto" w:fill="auto"/>
            <w:vAlign w:val="center"/>
          </w:tcPr>
          <w:p w14:paraId="3E530CB6" w14:textId="77777777" w:rsidR="00E579B9" w:rsidRDefault="006A1398">
            <w:pPr>
              <w:pStyle w:val="aa"/>
            </w:pPr>
            <w:r>
              <w:t>序号</w:t>
            </w:r>
          </w:p>
        </w:tc>
        <w:tc>
          <w:tcPr>
            <w:tcW w:w="1988" w:type="dxa"/>
            <w:shd w:val="clear" w:color="auto" w:fill="auto"/>
            <w:vAlign w:val="center"/>
          </w:tcPr>
          <w:p w14:paraId="131B7969" w14:textId="77777777" w:rsidR="00E579B9" w:rsidRDefault="006A1398">
            <w:pPr>
              <w:pStyle w:val="aa"/>
            </w:pPr>
            <w:r>
              <w:t>生态系统类型</w:t>
            </w:r>
          </w:p>
        </w:tc>
        <w:tc>
          <w:tcPr>
            <w:tcW w:w="3362" w:type="dxa"/>
            <w:shd w:val="clear" w:color="auto" w:fill="auto"/>
            <w:vAlign w:val="center"/>
          </w:tcPr>
          <w:p w14:paraId="200D7C13" w14:textId="77777777" w:rsidR="00E579B9" w:rsidRDefault="006A1398">
            <w:pPr>
              <w:pStyle w:val="aa"/>
            </w:pPr>
            <w:r>
              <w:t>主要物种</w:t>
            </w:r>
          </w:p>
        </w:tc>
        <w:tc>
          <w:tcPr>
            <w:tcW w:w="2838" w:type="dxa"/>
            <w:shd w:val="clear" w:color="auto" w:fill="auto"/>
            <w:vAlign w:val="center"/>
          </w:tcPr>
          <w:p w14:paraId="405DB0F4" w14:textId="77777777" w:rsidR="00E579B9" w:rsidRDefault="006A1398">
            <w:pPr>
              <w:pStyle w:val="aa"/>
            </w:pPr>
            <w:r>
              <w:t>分布</w:t>
            </w:r>
          </w:p>
        </w:tc>
      </w:tr>
      <w:tr w:rsidR="00E579B9" w14:paraId="29C0EC62" w14:textId="77777777">
        <w:trPr>
          <w:trHeight w:val="285"/>
        </w:trPr>
        <w:tc>
          <w:tcPr>
            <w:tcW w:w="758" w:type="dxa"/>
            <w:shd w:val="clear" w:color="auto" w:fill="auto"/>
            <w:vAlign w:val="center"/>
          </w:tcPr>
          <w:p w14:paraId="58677A2C" w14:textId="77777777" w:rsidR="00E579B9" w:rsidRDefault="006A1398">
            <w:pPr>
              <w:pStyle w:val="aa"/>
            </w:pPr>
            <w:r>
              <w:t>1</w:t>
            </w:r>
          </w:p>
        </w:tc>
        <w:tc>
          <w:tcPr>
            <w:tcW w:w="1988" w:type="dxa"/>
            <w:shd w:val="clear" w:color="auto" w:fill="auto"/>
            <w:vAlign w:val="center"/>
          </w:tcPr>
          <w:p w14:paraId="14C6C001" w14:textId="77777777" w:rsidR="00E579B9" w:rsidRDefault="006A1398">
            <w:pPr>
              <w:pStyle w:val="aa"/>
            </w:pPr>
            <w:r>
              <w:t>林地生态系统</w:t>
            </w:r>
          </w:p>
        </w:tc>
        <w:tc>
          <w:tcPr>
            <w:tcW w:w="3362" w:type="dxa"/>
            <w:shd w:val="clear" w:color="auto" w:fill="auto"/>
            <w:vAlign w:val="center"/>
          </w:tcPr>
          <w:p w14:paraId="27C0ADEC" w14:textId="77777777" w:rsidR="00E579B9" w:rsidRDefault="006A1398">
            <w:pPr>
              <w:pStyle w:val="aa"/>
            </w:pPr>
            <w:r>
              <w:t>杨、榆、柳、槐、泡桐等乔木以及酸枣丛</w:t>
            </w:r>
            <w:r>
              <w:rPr>
                <w:rFonts w:hint="eastAsia"/>
              </w:rPr>
              <w:t>、牡荆丛</w:t>
            </w:r>
            <w:r>
              <w:t>等灌木</w:t>
            </w:r>
          </w:p>
        </w:tc>
        <w:tc>
          <w:tcPr>
            <w:tcW w:w="2838" w:type="dxa"/>
            <w:shd w:val="clear" w:color="auto" w:fill="auto"/>
            <w:vAlign w:val="center"/>
          </w:tcPr>
          <w:p w14:paraId="25DCFC1F" w14:textId="77777777" w:rsidR="00E579B9" w:rsidRDefault="006A1398">
            <w:pPr>
              <w:pStyle w:val="aa"/>
            </w:pPr>
            <w:r>
              <w:rPr>
                <w:rFonts w:hint="eastAsia"/>
              </w:rPr>
              <w:t>广泛</w:t>
            </w:r>
            <w:r>
              <w:t>分布于评价区</w:t>
            </w:r>
          </w:p>
        </w:tc>
      </w:tr>
      <w:tr w:rsidR="00E579B9" w14:paraId="7B1F2C6E" w14:textId="77777777">
        <w:trPr>
          <w:trHeight w:val="285"/>
        </w:trPr>
        <w:tc>
          <w:tcPr>
            <w:tcW w:w="758" w:type="dxa"/>
            <w:shd w:val="clear" w:color="auto" w:fill="auto"/>
            <w:vAlign w:val="center"/>
          </w:tcPr>
          <w:p w14:paraId="69392B23" w14:textId="77777777" w:rsidR="00E579B9" w:rsidRDefault="006A1398">
            <w:pPr>
              <w:pStyle w:val="aa"/>
            </w:pPr>
            <w:r>
              <w:t>2</w:t>
            </w:r>
          </w:p>
        </w:tc>
        <w:tc>
          <w:tcPr>
            <w:tcW w:w="1988" w:type="dxa"/>
            <w:shd w:val="clear" w:color="auto" w:fill="auto"/>
            <w:vAlign w:val="center"/>
          </w:tcPr>
          <w:p w14:paraId="5138DF1E" w14:textId="77777777" w:rsidR="00E579B9" w:rsidRDefault="006A1398">
            <w:pPr>
              <w:pStyle w:val="aa"/>
            </w:pPr>
            <w:r>
              <w:t>草地生态系统</w:t>
            </w:r>
          </w:p>
        </w:tc>
        <w:tc>
          <w:tcPr>
            <w:tcW w:w="3362" w:type="dxa"/>
            <w:shd w:val="clear" w:color="auto" w:fill="auto"/>
            <w:vAlign w:val="center"/>
          </w:tcPr>
          <w:p w14:paraId="0DD44FFA" w14:textId="77777777" w:rsidR="00E579B9" w:rsidRDefault="006A1398">
            <w:pPr>
              <w:pStyle w:val="aa"/>
            </w:pPr>
            <w:r>
              <w:rPr>
                <w:rFonts w:hint="eastAsia"/>
              </w:rPr>
              <w:t>狗尾巴草、白茅、棒槌草、两耳草、茅草、白草等</w:t>
            </w:r>
          </w:p>
        </w:tc>
        <w:tc>
          <w:tcPr>
            <w:tcW w:w="2838" w:type="dxa"/>
            <w:shd w:val="clear" w:color="auto" w:fill="auto"/>
            <w:vAlign w:val="center"/>
          </w:tcPr>
          <w:p w14:paraId="250CE7A3" w14:textId="77777777" w:rsidR="00E579B9" w:rsidRDefault="006A1398">
            <w:pPr>
              <w:pStyle w:val="aa"/>
            </w:pPr>
            <w:r>
              <w:rPr>
                <w:rFonts w:hint="eastAsia"/>
              </w:rPr>
              <w:t>呈斑块</w:t>
            </w:r>
            <w:r>
              <w:t>分布于评价区内</w:t>
            </w:r>
          </w:p>
        </w:tc>
      </w:tr>
      <w:tr w:rsidR="00E579B9" w14:paraId="1120B414" w14:textId="77777777">
        <w:trPr>
          <w:trHeight w:val="285"/>
        </w:trPr>
        <w:tc>
          <w:tcPr>
            <w:tcW w:w="758" w:type="dxa"/>
            <w:shd w:val="clear" w:color="auto" w:fill="auto"/>
            <w:vAlign w:val="center"/>
          </w:tcPr>
          <w:p w14:paraId="75F87E74" w14:textId="77777777" w:rsidR="00E579B9" w:rsidRDefault="006A1398">
            <w:pPr>
              <w:pStyle w:val="aa"/>
            </w:pPr>
            <w:r>
              <w:t>3</w:t>
            </w:r>
          </w:p>
        </w:tc>
        <w:tc>
          <w:tcPr>
            <w:tcW w:w="1988" w:type="dxa"/>
            <w:shd w:val="clear" w:color="auto" w:fill="auto"/>
            <w:vAlign w:val="center"/>
          </w:tcPr>
          <w:p w14:paraId="59182A24" w14:textId="77777777" w:rsidR="00E579B9" w:rsidRDefault="006A1398">
            <w:pPr>
              <w:pStyle w:val="aa"/>
            </w:pPr>
            <w:r>
              <w:t>农田生态系统</w:t>
            </w:r>
          </w:p>
        </w:tc>
        <w:tc>
          <w:tcPr>
            <w:tcW w:w="3362" w:type="dxa"/>
            <w:shd w:val="clear" w:color="auto" w:fill="auto"/>
            <w:vAlign w:val="center"/>
          </w:tcPr>
          <w:p w14:paraId="0F15869D" w14:textId="77777777" w:rsidR="00E579B9" w:rsidRDefault="006A1398">
            <w:pPr>
              <w:pStyle w:val="aa"/>
            </w:pPr>
            <w:r>
              <w:t>小麦、玉米、大豆、花生等</w:t>
            </w:r>
          </w:p>
        </w:tc>
        <w:tc>
          <w:tcPr>
            <w:tcW w:w="2838" w:type="dxa"/>
            <w:shd w:val="clear" w:color="auto" w:fill="auto"/>
            <w:vAlign w:val="center"/>
          </w:tcPr>
          <w:p w14:paraId="47D9FF37" w14:textId="77777777" w:rsidR="00E579B9" w:rsidRDefault="006A1398">
            <w:pPr>
              <w:pStyle w:val="aa"/>
            </w:pPr>
            <w:r>
              <w:rPr>
                <w:rFonts w:hint="eastAsia"/>
              </w:rPr>
              <w:t>呈斑块</w:t>
            </w:r>
            <w:r>
              <w:t>分布于评价区内</w:t>
            </w:r>
          </w:p>
        </w:tc>
      </w:tr>
      <w:tr w:rsidR="00E579B9" w14:paraId="1AA39BD7" w14:textId="77777777">
        <w:trPr>
          <w:trHeight w:val="285"/>
        </w:trPr>
        <w:tc>
          <w:tcPr>
            <w:tcW w:w="758" w:type="dxa"/>
            <w:shd w:val="clear" w:color="auto" w:fill="auto"/>
            <w:vAlign w:val="center"/>
          </w:tcPr>
          <w:p w14:paraId="2EA9279A" w14:textId="77777777" w:rsidR="00E579B9" w:rsidRDefault="006A1398">
            <w:pPr>
              <w:pStyle w:val="aa"/>
            </w:pPr>
            <w:r>
              <w:lastRenderedPageBreak/>
              <w:t>4</w:t>
            </w:r>
          </w:p>
        </w:tc>
        <w:tc>
          <w:tcPr>
            <w:tcW w:w="1988" w:type="dxa"/>
            <w:shd w:val="clear" w:color="auto" w:fill="auto"/>
            <w:vAlign w:val="center"/>
          </w:tcPr>
          <w:p w14:paraId="2A610B99" w14:textId="77777777" w:rsidR="00E579B9" w:rsidRDefault="006A1398">
            <w:pPr>
              <w:pStyle w:val="aa"/>
            </w:pPr>
            <w:r>
              <w:t>村镇态系统</w:t>
            </w:r>
          </w:p>
        </w:tc>
        <w:tc>
          <w:tcPr>
            <w:tcW w:w="3362" w:type="dxa"/>
            <w:shd w:val="clear" w:color="auto" w:fill="auto"/>
            <w:vAlign w:val="center"/>
          </w:tcPr>
          <w:p w14:paraId="6806BF73" w14:textId="77777777" w:rsidR="00E579B9" w:rsidRDefault="006A1398">
            <w:pPr>
              <w:pStyle w:val="aa"/>
            </w:pPr>
            <w:r>
              <w:rPr>
                <w:rFonts w:hint="eastAsia"/>
              </w:rPr>
              <w:t>人和绿色植物</w:t>
            </w:r>
          </w:p>
        </w:tc>
        <w:tc>
          <w:tcPr>
            <w:tcW w:w="2838" w:type="dxa"/>
            <w:shd w:val="clear" w:color="auto" w:fill="auto"/>
            <w:vAlign w:val="center"/>
          </w:tcPr>
          <w:p w14:paraId="65EB9AEE" w14:textId="77777777" w:rsidR="00E579B9" w:rsidRDefault="006A1398">
            <w:pPr>
              <w:pStyle w:val="aa"/>
            </w:pPr>
            <w:r>
              <w:t>呈斑块状散布于评价区内</w:t>
            </w:r>
          </w:p>
        </w:tc>
      </w:tr>
      <w:tr w:rsidR="00E579B9" w14:paraId="37080D6C" w14:textId="77777777">
        <w:trPr>
          <w:trHeight w:val="285"/>
        </w:trPr>
        <w:tc>
          <w:tcPr>
            <w:tcW w:w="758" w:type="dxa"/>
            <w:shd w:val="clear" w:color="auto" w:fill="auto"/>
            <w:vAlign w:val="center"/>
          </w:tcPr>
          <w:p w14:paraId="119E58DB" w14:textId="77777777" w:rsidR="00E579B9" w:rsidRDefault="006A1398">
            <w:pPr>
              <w:pStyle w:val="aa"/>
            </w:pPr>
            <w:r>
              <w:t>5</w:t>
            </w:r>
          </w:p>
        </w:tc>
        <w:tc>
          <w:tcPr>
            <w:tcW w:w="1988" w:type="dxa"/>
            <w:shd w:val="clear" w:color="auto" w:fill="auto"/>
            <w:vAlign w:val="center"/>
          </w:tcPr>
          <w:p w14:paraId="02C3838F" w14:textId="77777777" w:rsidR="00E579B9" w:rsidRDefault="006A1398">
            <w:pPr>
              <w:pStyle w:val="aa"/>
            </w:pPr>
            <w:r>
              <w:t>路际生态系统</w:t>
            </w:r>
          </w:p>
        </w:tc>
        <w:tc>
          <w:tcPr>
            <w:tcW w:w="3362" w:type="dxa"/>
            <w:shd w:val="clear" w:color="auto" w:fill="auto"/>
            <w:vAlign w:val="center"/>
          </w:tcPr>
          <w:p w14:paraId="219AA8B1" w14:textId="77777777" w:rsidR="00E579B9" w:rsidRDefault="006A1398">
            <w:pPr>
              <w:pStyle w:val="aa"/>
            </w:pPr>
            <w:r>
              <w:t>人与绿色植物</w:t>
            </w:r>
          </w:p>
        </w:tc>
        <w:tc>
          <w:tcPr>
            <w:tcW w:w="2838" w:type="dxa"/>
            <w:shd w:val="clear" w:color="auto" w:fill="auto"/>
            <w:vAlign w:val="center"/>
          </w:tcPr>
          <w:p w14:paraId="45465A6E" w14:textId="77777777" w:rsidR="00E579B9" w:rsidRDefault="006A1398">
            <w:pPr>
              <w:pStyle w:val="aa"/>
            </w:pPr>
            <w:r>
              <w:rPr>
                <w:rFonts w:hint="eastAsia"/>
              </w:rPr>
              <w:t>线性分布于评价区内</w:t>
            </w:r>
          </w:p>
        </w:tc>
      </w:tr>
    </w:tbl>
    <w:p w14:paraId="4AF7AB72" w14:textId="77777777" w:rsidR="00E579B9" w:rsidRDefault="006A1398">
      <w:bookmarkStart w:id="338" w:name="_Toc145151481"/>
      <w:bookmarkStart w:id="339" w:name="_Toc145155221"/>
      <w:bookmarkStart w:id="340" w:name="_Toc145154859"/>
      <w:bookmarkStart w:id="341" w:name="_Toc145246737"/>
      <w:bookmarkStart w:id="342" w:name="_Toc170030686"/>
      <w:bookmarkStart w:id="343" w:name="_Toc142393162"/>
      <w:bookmarkStart w:id="344" w:name="_Toc142392164"/>
      <w:bookmarkStart w:id="345" w:name="_Toc142391849"/>
      <w:r>
        <w:rPr>
          <w:rFonts w:hint="eastAsia"/>
        </w:rPr>
        <w:t>6.2.1.4</w:t>
      </w:r>
      <w:r>
        <w:rPr>
          <w:rFonts w:hint="eastAsia"/>
        </w:rPr>
        <w:t>植被现状</w:t>
      </w:r>
      <w:bookmarkEnd w:id="338"/>
      <w:bookmarkEnd w:id="339"/>
      <w:bookmarkEnd w:id="340"/>
      <w:bookmarkEnd w:id="341"/>
      <w:bookmarkEnd w:id="342"/>
      <w:r>
        <w:rPr>
          <w:rFonts w:hint="eastAsia"/>
        </w:rPr>
        <w:t>调查</w:t>
      </w:r>
    </w:p>
    <w:p w14:paraId="1A790BA2" w14:textId="77777777" w:rsidR="00E579B9" w:rsidRDefault="006A1398">
      <w:r>
        <w:rPr>
          <w:rFonts w:hint="eastAsia"/>
        </w:rPr>
        <w:t>项目区</w:t>
      </w:r>
      <w:r>
        <w:t>地处低山丘陵区，</w:t>
      </w:r>
      <w:r>
        <w:rPr>
          <w:rFonts w:hint="eastAsia"/>
        </w:rPr>
        <w:t>地面植被包括天然植被和人工植被两类。植</w:t>
      </w:r>
      <w:r>
        <w:t>被类型分为乔木、灌木、</w:t>
      </w:r>
      <w:r>
        <w:rPr>
          <w:rFonts w:hint="eastAsia"/>
        </w:rPr>
        <w:t>草本植物、</w:t>
      </w:r>
      <w:r>
        <w:t>农作物</w:t>
      </w:r>
      <w:r>
        <w:rPr>
          <w:rFonts w:hint="eastAsia"/>
        </w:rPr>
        <w:t>，其中以灌木为主，天然草类主要有黄倍草、白羊草、芥草、</w:t>
      </w:r>
      <w:r>
        <w:t>狗尾巴草等</w:t>
      </w:r>
      <w:r>
        <w:rPr>
          <w:rFonts w:hint="eastAsia"/>
        </w:rPr>
        <w:t>，广泛分布于矿区内</w:t>
      </w:r>
      <w:r>
        <w:t>。主要乔木树种有</w:t>
      </w:r>
      <w:r>
        <w:rPr>
          <w:rFonts w:hint="eastAsia"/>
        </w:rPr>
        <w:t>杨、泡桐、柳、榆</w:t>
      </w:r>
      <w:r>
        <w:t>等</w:t>
      </w:r>
      <w:r>
        <w:rPr>
          <w:rFonts w:hint="eastAsia"/>
        </w:rPr>
        <w:t>，基本为人工种植</w:t>
      </w:r>
      <w:r>
        <w:t>。</w:t>
      </w:r>
      <w:r>
        <w:rPr>
          <w:rFonts w:hint="eastAsia"/>
        </w:rPr>
        <w:t>农作物包括粮食作物和经济作物，</w:t>
      </w:r>
      <w:r>
        <w:t>粮食作物主要</w:t>
      </w:r>
      <w:r>
        <w:rPr>
          <w:rFonts w:hint="eastAsia"/>
        </w:rPr>
        <w:t>有小麦、玉米以及少量水稻等，经济作物主要有大豆、花生、油菜、烟叶、棉花、芝麻等。</w:t>
      </w:r>
    </w:p>
    <w:p w14:paraId="30C009D0" w14:textId="77777777" w:rsidR="00E579B9" w:rsidRDefault="006A1398">
      <w:r>
        <w:rPr>
          <w:noProof/>
        </w:rPr>
        <w:drawing>
          <wp:anchor distT="0" distB="0" distL="114300" distR="114300" simplePos="0" relativeHeight="251743232" behindDoc="0" locked="0" layoutInCell="1" allowOverlap="1" wp14:anchorId="0B0C7790" wp14:editId="78538A34">
            <wp:simplePos x="0" y="0"/>
            <wp:positionH relativeFrom="margin">
              <wp:align>right</wp:align>
            </wp:positionH>
            <wp:positionV relativeFrom="paragraph">
              <wp:posOffset>17780</wp:posOffset>
            </wp:positionV>
            <wp:extent cx="2519045" cy="2130425"/>
            <wp:effectExtent l="0" t="0" r="0" b="317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519045" cy="2130425"/>
                    </a:xfrm>
                    <a:prstGeom prst="rect">
                      <a:avLst/>
                    </a:prstGeom>
                    <a:noFill/>
                    <a:ln>
                      <a:noFill/>
                    </a:ln>
                  </pic:spPr>
                </pic:pic>
              </a:graphicData>
            </a:graphic>
          </wp:anchor>
        </w:drawing>
      </w:r>
      <w:r>
        <w:rPr>
          <w:noProof/>
        </w:rPr>
        <w:drawing>
          <wp:inline distT="0" distB="0" distL="0" distR="0" wp14:anchorId="37E9E441" wp14:editId="22E652BA">
            <wp:extent cx="2519680" cy="2155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520000" cy="2156400"/>
                    </a:xfrm>
                    <a:prstGeom prst="rect">
                      <a:avLst/>
                    </a:prstGeom>
                    <a:noFill/>
                    <a:ln>
                      <a:noFill/>
                    </a:ln>
                  </pic:spPr>
                </pic:pic>
              </a:graphicData>
            </a:graphic>
          </wp:inline>
        </w:drawing>
      </w:r>
    </w:p>
    <w:p w14:paraId="524540BC" w14:textId="77777777" w:rsidR="00E579B9" w:rsidRDefault="006A1398">
      <w:pPr>
        <w:pStyle w:val="21"/>
        <w:jc w:val="center"/>
      </w:pPr>
      <w:r>
        <w:rPr>
          <w:rFonts w:hint="eastAsia"/>
        </w:rPr>
        <w:t>图</w:t>
      </w:r>
      <w:r>
        <w:rPr>
          <w:rFonts w:hint="eastAsia"/>
        </w:rPr>
        <w:t>6.2-1</w:t>
      </w:r>
      <w:r>
        <w:rPr>
          <w:rFonts w:hint="eastAsia"/>
        </w:rPr>
        <w:t>植被现状照片</w:t>
      </w:r>
    </w:p>
    <w:p w14:paraId="45D153C6" w14:textId="77777777" w:rsidR="00E579B9" w:rsidRDefault="006A1398">
      <w:bookmarkStart w:id="346" w:name="_Toc170030689"/>
      <w:r>
        <w:rPr>
          <w:rFonts w:hint="eastAsia"/>
        </w:rPr>
        <w:t>6.2.1.5</w:t>
      </w:r>
      <w:r>
        <w:rPr>
          <w:rFonts w:hint="eastAsia"/>
        </w:rPr>
        <w:t>野生动物现状</w:t>
      </w:r>
      <w:bookmarkEnd w:id="346"/>
    </w:p>
    <w:p w14:paraId="0A87A6DA" w14:textId="77777777" w:rsidR="00E579B9" w:rsidRDefault="006A1398">
      <w:r>
        <w:rPr>
          <w:rFonts w:hint="eastAsia"/>
        </w:rPr>
        <w:t>矿区周边人类活动频繁，动物种类较为简单，主要有野兔、鼠类、麻雀、喜鹊等。昆虫类主要有小麦蚜虫、红蜘蛛等。由于人为活动干扰，动物种群和数量分布极不稳定，很难形成稳定的种群。经过资料收集和现场调查，评价区内无特别需要保护或稀有保护动物。</w:t>
      </w:r>
    </w:p>
    <w:p w14:paraId="1118BD75" w14:textId="77777777" w:rsidR="00E579B9" w:rsidRDefault="006A1398">
      <w:bookmarkStart w:id="347" w:name="_Toc170030690"/>
      <w:r>
        <w:rPr>
          <w:rFonts w:hint="eastAsia"/>
        </w:rPr>
        <w:t>6.2.1.6</w:t>
      </w:r>
      <w:r>
        <w:rPr>
          <w:rFonts w:hint="eastAsia"/>
        </w:rPr>
        <w:t>土地利用现状</w:t>
      </w:r>
      <w:bookmarkEnd w:id="347"/>
    </w:p>
    <w:p w14:paraId="7D28F72F" w14:textId="77777777" w:rsidR="00E579B9" w:rsidRDefault="006A1398">
      <w:pPr>
        <w:rPr>
          <w:bCs/>
          <w:color w:val="000000" w:themeColor="text1"/>
        </w:rPr>
      </w:pPr>
      <w:r>
        <w:t>参照</w:t>
      </w:r>
      <w:r>
        <w:rPr>
          <w:rFonts w:hint="eastAsia"/>
        </w:rPr>
        <w:t>驻马店市</w:t>
      </w:r>
      <w:r>
        <w:t>土地利用总体规划、</w:t>
      </w:r>
      <w:r>
        <w:rPr>
          <w:rFonts w:hint="eastAsia"/>
        </w:rPr>
        <w:t>沙河店镇</w:t>
      </w:r>
      <w:r>
        <w:t>土地利用现状图，根据实地调查，将项目区土地利用情况划分</w:t>
      </w:r>
      <w:r>
        <w:rPr>
          <w:rFonts w:hint="eastAsia"/>
        </w:rPr>
        <w:t>4</w:t>
      </w:r>
      <w:r>
        <w:t>个类型</w:t>
      </w:r>
      <w:r>
        <w:rPr>
          <w:rFonts w:hint="eastAsia"/>
        </w:rPr>
        <w:t>，分别为灌木林地、</w:t>
      </w:r>
      <w:r>
        <w:t>采矿用地、村庄、其它草地</w:t>
      </w:r>
      <w:r>
        <w:rPr>
          <w:rFonts w:hint="eastAsia"/>
          <w:bCs/>
          <w:color w:val="000000" w:themeColor="text1"/>
        </w:rPr>
        <w:t>。</w:t>
      </w:r>
      <w:r>
        <w:rPr>
          <w:bCs/>
          <w:color w:val="000000" w:themeColor="text1"/>
        </w:rPr>
        <w:t>评价区以</w:t>
      </w:r>
      <w:r>
        <w:rPr>
          <w:rFonts w:hint="eastAsia"/>
          <w:bCs/>
          <w:color w:val="000000" w:themeColor="text1"/>
        </w:rPr>
        <w:t>灌木</w:t>
      </w:r>
      <w:r>
        <w:rPr>
          <w:bCs/>
          <w:color w:val="000000" w:themeColor="text1"/>
        </w:rPr>
        <w:t>林地</w:t>
      </w:r>
      <w:r>
        <w:rPr>
          <w:rFonts w:hint="eastAsia"/>
          <w:bCs/>
          <w:color w:val="000000" w:themeColor="text1"/>
        </w:rPr>
        <w:t>为主</w:t>
      </w:r>
      <w:r>
        <w:rPr>
          <w:bCs/>
        </w:rPr>
        <w:t>，</w:t>
      </w:r>
      <w:r>
        <w:rPr>
          <w:rFonts w:hint="eastAsia"/>
          <w:bCs/>
        </w:rPr>
        <w:t>评价</w:t>
      </w:r>
      <w:r>
        <w:rPr>
          <w:bCs/>
        </w:rPr>
        <w:t>区土地利用分类及特征表</w:t>
      </w:r>
      <w:bookmarkStart w:id="348" w:name="_Hlk528438039"/>
      <w:r>
        <w:rPr>
          <w:rFonts w:hint="eastAsia"/>
          <w:bCs/>
        </w:rPr>
        <w:t>6.2</w:t>
      </w:r>
      <w:r>
        <w:rPr>
          <w:bCs/>
        </w:rPr>
        <w:t>-2</w:t>
      </w:r>
      <w:bookmarkEnd w:id="348"/>
      <w:r>
        <w:rPr>
          <w:rFonts w:hint="eastAsia"/>
          <w:bCs/>
        </w:rPr>
        <w:t>。</w:t>
      </w:r>
    </w:p>
    <w:p w14:paraId="279FC36E" w14:textId="77777777" w:rsidR="00E579B9" w:rsidRDefault="006A1398">
      <w:pPr>
        <w:pStyle w:val="21"/>
      </w:pPr>
      <w:r>
        <w:t>表</w:t>
      </w:r>
      <w:r>
        <w:rPr>
          <w:rFonts w:hint="eastAsia"/>
        </w:rPr>
        <w:t>6.2</w:t>
      </w:r>
      <w:r>
        <w:t>-2</w:t>
      </w:r>
      <w:r>
        <w:rPr>
          <w:rFonts w:hint="eastAsia"/>
        </w:rPr>
        <w:t>评价</w:t>
      </w:r>
      <w:r>
        <w:t>区土地利用分类及</w:t>
      </w:r>
      <w:r>
        <w:rPr>
          <w:rFonts w:hint="eastAsia"/>
        </w:rPr>
        <w:t>其面积和</w:t>
      </w:r>
      <w:r>
        <w:t>特征</w:t>
      </w:r>
      <w:r>
        <w:rPr>
          <w:rFonts w:hint="eastAsia"/>
        </w:rPr>
        <w:t>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2398"/>
        <w:gridCol w:w="2152"/>
        <w:gridCol w:w="2067"/>
      </w:tblGrid>
      <w:tr w:rsidR="00E579B9" w14:paraId="749791A8" w14:textId="77777777">
        <w:trPr>
          <w:trHeight w:val="320"/>
          <w:jc w:val="center"/>
        </w:trPr>
        <w:tc>
          <w:tcPr>
            <w:tcW w:w="2103" w:type="dxa"/>
            <w:vAlign w:val="center"/>
          </w:tcPr>
          <w:p w14:paraId="37192874" w14:textId="77777777" w:rsidR="00E579B9" w:rsidRDefault="006A1398">
            <w:pPr>
              <w:pStyle w:val="aa"/>
            </w:pPr>
            <w:r>
              <w:rPr>
                <w:rFonts w:hint="eastAsia"/>
              </w:rPr>
              <w:t>地类</w:t>
            </w:r>
            <w:r>
              <w:t>名称</w:t>
            </w:r>
          </w:p>
        </w:tc>
        <w:tc>
          <w:tcPr>
            <w:tcW w:w="2398" w:type="dxa"/>
            <w:vAlign w:val="center"/>
          </w:tcPr>
          <w:p w14:paraId="5B31CDA5" w14:textId="77777777" w:rsidR="00E579B9" w:rsidRDefault="006A1398">
            <w:pPr>
              <w:pStyle w:val="aa"/>
            </w:pPr>
            <w:r>
              <w:rPr>
                <w:rFonts w:hint="eastAsia"/>
              </w:rPr>
              <w:t>面积</w:t>
            </w:r>
            <w:r>
              <w:t>（</w:t>
            </w:r>
            <w:r>
              <w:rPr>
                <w:rFonts w:hint="eastAsia"/>
              </w:rPr>
              <w:t>平方米</w:t>
            </w:r>
            <w:r>
              <w:t>）</w:t>
            </w:r>
          </w:p>
        </w:tc>
        <w:tc>
          <w:tcPr>
            <w:tcW w:w="2152" w:type="dxa"/>
            <w:vAlign w:val="center"/>
          </w:tcPr>
          <w:p w14:paraId="20AB152D" w14:textId="77777777" w:rsidR="00E579B9" w:rsidRDefault="006A1398">
            <w:pPr>
              <w:pStyle w:val="aa"/>
            </w:pPr>
            <w:r>
              <w:rPr>
                <w:rFonts w:hint="eastAsia"/>
              </w:rPr>
              <w:t>面积</w:t>
            </w:r>
            <w:r>
              <w:t>（</w:t>
            </w:r>
            <w:r>
              <w:rPr>
                <w:rFonts w:hint="eastAsia"/>
              </w:rPr>
              <w:t>亩</w:t>
            </w:r>
            <w:r>
              <w:t>）</w:t>
            </w:r>
          </w:p>
        </w:tc>
        <w:tc>
          <w:tcPr>
            <w:tcW w:w="2067" w:type="dxa"/>
          </w:tcPr>
          <w:p w14:paraId="5E5817D8" w14:textId="77777777" w:rsidR="00E579B9" w:rsidRDefault="006A1398">
            <w:pPr>
              <w:pStyle w:val="aa"/>
            </w:pPr>
            <w:r>
              <w:t>比例</w:t>
            </w:r>
          </w:p>
        </w:tc>
      </w:tr>
      <w:tr w:rsidR="00E579B9" w14:paraId="020C0318" w14:textId="77777777">
        <w:trPr>
          <w:trHeight w:val="135"/>
          <w:jc w:val="center"/>
        </w:trPr>
        <w:tc>
          <w:tcPr>
            <w:tcW w:w="2103" w:type="dxa"/>
          </w:tcPr>
          <w:p w14:paraId="75BBD237" w14:textId="77777777" w:rsidR="00E579B9" w:rsidRDefault="006A1398">
            <w:pPr>
              <w:pStyle w:val="aa"/>
            </w:pPr>
            <w:r>
              <w:rPr>
                <w:rFonts w:hint="eastAsia"/>
              </w:rPr>
              <w:t>灌木</w:t>
            </w:r>
            <w:r>
              <w:t>林地</w:t>
            </w:r>
          </w:p>
        </w:tc>
        <w:tc>
          <w:tcPr>
            <w:tcW w:w="2398" w:type="dxa"/>
          </w:tcPr>
          <w:p w14:paraId="417C6F4F" w14:textId="77777777" w:rsidR="00E579B9" w:rsidRDefault="006A1398">
            <w:pPr>
              <w:pStyle w:val="aa"/>
            </w:pPr>
            <w:r>
              <w:rPr>
                <w:rFonts w:hint="eastAsia"/>
              </w:rPr>
              <w:t>2390975</w:t>
            </w:r>
          </w:p>
        </w:tc>
        <w:tc>
          <w:tcPr>
            <w:tcW w:w="2152" w:type="dxa"/>
          </w:tcPr>
          <w:p w14:paraId="5DC6EFC1" w14:textId="77777777" w:rsidR="00E579B9" w:rsidRDefault="006A1398">
            <w:pPr>
              <w:pStyle w:val="aa"/>
            </w:pPr>
            <w:r>
              <w:rPr>
                <w:rFonts w:hint="eastAsia"/>
              </w:rPr>
              <w:t>3586.44</w:t>
            </w:r>
          </w:p>
        </w:tc>
        <w:tc>
          <w:tcPr>
            <w:tcW w:w="2067" w:type="dxa"/>
          </w:tcPr>
          <w:p w14:paraId="33E8B8F3" w14:textId="77777777" w:rsidR="00E579B9" w:rsidRDefault="006A1398">
            <w:pPr>
              <w:pStyle w:val="aa"/>
            </w:pPr>
            <w:r>
              <w:rPr>
                <w:rFonts w:hint="eastAsia"/>
              </w:rPr>
              <w:t>81.05%</w:t>
            </w:r>
          </w:p>
        </w:tc>
      </w:tr>
      <w:tr w:rsidR="00E579B9" w14:paraId="2AA1B676" w14:textId="77777777">
        <w:trPr>
          <w:trHeight w:val="156"/>
          <w:jc w:val="center"/>
        </w:trPr>
        <w:tc>
          <w:tcPr>
            <w:tcW w:w="2103" w:type="dxa"/>
            <w:vAlign w:val="center"/>
          </w:tcPr>
          <w:p w14:paraId="21DF67C4" w14:textId="77777777" w:rsidR="00E579B9" w:rsidRDefault="006A1398">
            <w:pPr>
              <w:pStyle w:val="aa"/>
            </w:pPr>
            <w:r>
              <w:rPr>
                <w:rFonts w:hint="eastAsia"/>
              </w:rPr>
              <w:lastRenderedPageBreak/>
              <w:t>采矿用地</w:t>
            </w:r>
          </w:p>
        </w:tc>
        <w:tc>
          <w:tcPr>
            <w:tcW w:w="2398" w:type="dxa"/>
            <w:vAlign w:val="center"/>
          </w:tcPr>
          <w:p w14:paraId="129C9EF4" w14:textId="77777777" w:rsidR="00E579B9" w:rsidRDefault="006A1398">
            <w:pPr>
              <w:pStyle w:val="aa"/>
            </w:pPr>
            <w:r>
              <w:rPr>
                <w:rFonts w:hint="eastAsia"/>
              </w:rPr>
              <w:t>413295</w:t>
            </w:r>
          </w:p>
        </w:tc>
        <w:tc>
          <w:tcPr>
            <w:tcW w:w="2152" w:type="dxa"/>
            <w:vAlign w:val="center"/>
          </w:tcPr>
          <w:p w14:paraId="1D8AAB78" w14:textId="77777777" w:rsidR="00E579B9" w:rsidRDefault="006A1398">
            <w:pPr>
              <w:pStyle w:val="aa"/>
            </w:pPr>
            <w:r>
              <w:rPr>
                <w:rFonts w:hint="eastAsia"/>
              </w:rPr>
              <w:t>619.94</w:t>
            </w:r>
          </w:p>
        </w:tc>
        <w:tc>
          <w:tcPr>
            <w:tcW w:w="2067" w:type="dxa"/>
          </w:tcPr>
          <w:p w14:paraId="6BE0D03D" w14:textId="77777777" w:rsidR="00E579B9" w:rsidRDefault="006A1398">
            <w:pPr>
              <w:pStyle w:val="aa"/>
            </w:pPr>
            <w:r>
              <w:rPr>
                <w:rFonts w:hint="eastAsia"/>
              </w:rPr>
              <w:t>14</w:t>
            </w:r>
            <w:r>
              <w:t>.01</w:t>
            </w:r>
            <w:r>
              <w:rPr>
                <w:rFonts w:hint="eastAsia"/>
              </w:rPr>
              <w:t>%</w:t>
            </w:r>
          </w:p>
        </w:tc>
      </w:tr>
      <w:tr w:rsidR="00E579B9" w14:paraId="3B8A63DA" w14:textId="77777777">
        <w:trPr>
          <w:trHeight w:val="156"/>
          <w:jc w:val="center"/>
        </w:trPr>
        <w:tc>
          <w:tcPr>
            <w:tcW w:w="2103" w:type="dxa"/>
          </w:tcPr>
          <w:p w14:paraId="18E1A1EA" w14:textId="77777777" w:rsidR="00E579B9" w:rsidRDefault="006A1398">
            <w:pPr>
              <w:pStyle w:val="aa"/>
            </w:pPr>
            <w:r>
              <w:rPr>
                <w:rFonts w:hint="eastAsia"/>
              </w:rPr>
              <w:t>村庄</w:t>
            </w:r>
          </w:p>
        </w:tc>
        <w:tc>
          <w:tcPr>
            <w:tcW w:w="2398" w:type="dxa"/>
          </w:tcPr>
          <w:p w14:paraId="230D47B4" w14:textId="77777777" w:rsidR="00E579B9" w:rsidRDefault="006A1398">
            <w:pPr>
              <w:pStyle w:val="aa"/>
            </w:pPr>
            <w:r>
              <w:rPr>
                <w:rFonts w:hint="eastAsia"/>
              </w:rPr>
              <w:t>14750</w:t>
            </w:r>
          </w:p>
        </w:tc>
        <w:tc>
          <w:tcPr>
            <w:tcW w:w="2152" w:type="dxa"/>
          </w:tcPr>
          <w:p w14:paraId="4F8498FC" w14:textId="77777777" w:rsidR="00E579B9" w:rsidRDefault="006A1398">
            <w:pPr>
              <w:pStyle w:val="aa"/>
            </w:pPr>
            <w:r>
              <w:rPr>
                <w:rFonts w:hint="eastAsia"/>
              </w:rPr>
              <w:t>22.13</w:t>
            </w:r>
          </w:p>
        </w:tc>
        <w:tc>
          <w:tcPr>
            <w:tcW w:w="2067" w:type="dxa"/>
          </w:tcPr>
          <w:p w14:paraId="2CEDD829" w14:textId="77777777" w:rsidR="00E579B9" w:rsidRDefault="006A1398">
            <w:pPr>
              <w:pStyle w:val="aa"/>
            </w:pPr>
            <w:r>
              <w:rPr>
                <w:rFonts w:hint="eastAsia"/>
              </w:rPr>
              <w:t>0.5%</w:t>
            </w:r>
          </w:p>
        </w:tc>
      </w:tr>
      <w:tr w:rsidR="00E579B9" w14:paraId="56DC14A1" w14:textId="77777777">
        <w:trPr>
          <w:trHeight w:val="156"/>
          <w:jc w:val="center"/>
        </w:trPr>
        <w:tc>
          <w:tcPr>
            <w:tcW w:w="2103" w:type="dxa"/>
            <w:vAlign w:val="center"/>
          </w:tcPr>
          <w:p w14:paraId="47257C8F" w14:textId="77777777" w:rsidR="00E579B9" w:rsidRDefault="006A1398">
            <w:pPr>
              <w:pStyle w:val="aa"/>
            </w:pPr>
            <w:r>
              <w:rPr>
                <w:rFonts w:hint="eastAsia"/>
              </w:rPr>
              <w:t>其他</w:t>
            </w:r>
            <w:r>
              <w:t>草地</w:t>
            </w:r>
          </w:p>
        </w:tc>
        <w:tc>
          <w:tcPr>
            <w:tcW w:w="2398" w:type="dxa"/>
            <w:vAlign w:val="center"/>
          </w:tcPr>
          <w:p w14:paraId="0428560A" w14:textId="77777777" w:rsidR="00E579B9" w:rsidRDefault="006A1398">
            <w:pPr>
              <w:pStyle w:val="aa"/>
            </w:pPr>
            <w:r>
              <w:rPr>
                <w:rFonts w:hint="eastAsia"/>
              </w:rPr>
              <w:t>102365</w:t>
            </w:r>
          </w:p>
        </w:tc>
        <w:tc>
          <w:tcPr>
            <w:tcW w:w="2152" w:type="dxa"/>
            <w:vAlign w:val="center"/>
          </w:tcPr>
          <w:p w14:paraId="1A797A2D" w14:textId="77777777" w:rsidR="00E579B9" w:rsidRDefault="006A1398">
            <w:pPr>
              <w:pStyle w:val="aa"/>
            </w:pPr>
            <w:r>
              <w:rPr>
                <w:rFonts w:hint="eastAsia"/>
              </w:rPr>
              <w:t>153.55</w:t>
            </w:r>
          </w:p>
        </w:tc>
        <w:tc>
          <w:tcPr>
            <w:tcW w:w="2067" w:type="dxa"/>
          </w:tcPr>
          <w:p w14:paraId="4150E132" w14:textId="77777777" w:rsidR="00E579B9" w:rsidRDefault="006A1398">
            <w:pPr>
              <w:pStyle w:val="aa"/>
            </w:pPr>
            <w:r>
              <w:rPr>
                <w:rFonts w:hint="eastAsia"/>
              </w:rPr>
              <w:t>3.47%</w:t>
            </w:r>
          </w:p>
        </w:tc>
      </w:tr>
      <w:tr w:rsidR="00E579B9" w14:paraId="0436D467" w14:textId="77777777">
        <w:trPr>
          <w:trHeight w:val="156"/>
          <w:jc w:val="center"/>
        </w:trPr>
        <w:tc>
          <w:tcPr>
            <w:tcW w:w="2103" w:type="dxa"/>
            <w:vAlign w:val="center"/>
          </w:tcPr>
          <w:p w14:paraId="541039AE" w14:textId="77777777" w:rsidR="00E579B9" w:rsidRDefault="006A1398">
            <w:pPr>
              <w:pStyle w:val="aa"/>
            </w:pPr>
            <w:r>
              <w:rPr>
                <w:rFonts w:hint="eastAsia"/>
              </w:rPr>
              <w:t>道路</w:t>
            </w:r>
          </w:p>
        </w:tc>
        <w:tc>
          <w:tcPr>
            <w:tcW w:w="2398" w:type="dxa"/>
            <w:vAlign w:val="center"/>
          </w:tcPr>
          <w:p w14:paraId="0D81B636" w14:textId="77777777" w:rsidR="00E579B9" w:rsidRDefault="006A1398">
            <w:pPr>
              <w:pStyle w:val="aa"/>
            </w:pPr>
            <w:r>
              <w:rPr>
                <w:rFonts w:hint="eastAsia"/>
              </w:rPr>
              <w:t>28615</w:t>
            </w:r>
          </w:p>
        </w:tc>
        <w:tc>
          <w:tcPr>
            <w:tcW w:w="2152" w:type="dxa"/>
            <w:vAlign w:val="center"/>
          </w:tcPr>
          <w:p w14:paraId="4437DB9B" w14:textId="77777777" w:rsidR="00E579B9" w:rsidRDefault="006A1398">
            <w:pPr>
              <w:pStyle w:val="aa"/>
            </w:pPr>
            <w:r>
              <w:rPr>
                <w:rFonts w:hint="eastAsia"/>
              </w:rPr>
              <w:t>42.92</w:t>
            </w:r>
          </w:p>
        </w:tc>
        <w:tc>
          <w:tcPr>
            <w:tcW w:w="2067" w:type="dxa"/>
          </w:tcPr>
          <w:p w14:paraId="2DF0A6AC" w14:textId="77777777" w:rsidR="00E579B9" w:rsidRDefault="006A1398">
            <w:pPr>
              <w:pStyle w:val="aa"/>
            </w:pPr>
            <w:r>
              <w:rPr>
                <w:rFonts w:hint="eastAsia"/>
              </w:rPr>
              <w:t>0.97%</w:t>
            </w:r>
          </w:p>
        </w:tc>
      </w:tr>
      <w:tr w:rsidR="00E579B9" w14:paraId="506F1E37" w14:textId="77777777">
        <w:trPr>
          <w:trHeight w:val="156"/>
          <w:jc w:val="center"/>
        </w:trPr>
        <w:tc>
          <w:tcPr>
            <w:tcW w:w="2103" w:type="dxa"/>
            <w:vAlign w:val="center"/>
          </w:tcPr>
          <w:p w14:paraId="467F2492" w14:textId="77777777" w:rsidR="00E579B9" w:rsidRDefault="006A1398">
            <w:pPr>
              <w:pStyle w:val="aa"/>
            </w:pPr>
            <w:r>
              <w:rPr>
                <w:rFonts w:hint="eastAsia"/>
              </w:rPr>
              <w:t>总计</w:t>
            </w:r>
          </w:p>
        </w:tc>
        <w:tc>
          <w:tcPr>
            <w:tcW w:w="2398" w:type="dxa"/>
            <w:shd w:val="clear" w:color="auto" w:fill="auto"/>
            <w:vAlign w:val="center"/>
          </w:tcPr>
          <w:p w14:paraId="16AAD4E0" w14:textId="77777777" w:rsidR="00E579B9" w:rsidRDefault="006A1398">
            <w:pPr>
              <w:pStyle w:val="aa"/>
              <w:rPr>
                <w:rFonts w:cs="宋体"/>
                <w:kern w:val="0"/>
                <w:szCs w:val="24"/>
              </w:rPr>
            </w:pPr>
            <w:r>
              <w:rPr>
                <w:rFonts w:cs="宋体" w:hint="eastAsia"/>
                <w:kern w:val="0"/>
                <w:szCs w:val="24"/>
              </w:rPr>
              <w:t>2950000</w:t>
            </w:r>
          </w:p>
        </w:tc>
        <w:tc>
          <w:tcPr>
            <w:tcW w:w="2152" w:type="dxa"/>
            <w:shd w:val="clear" w:color="auto" w:fill="auto"/>
            <w:vAlign w:val="center"/>
          </w:tcPr>
          <w:p w14:paraId="32B55511" w14:textId="77777777" w:rsidR="00E579B9" w:rsidRDefault="006A1398">
            <w:pPr>
              <w:pStyle w:val="aa"/>
            </w:pPr>
            <w:r>
              <w:rPr>
                <w:rFonts w:hint="eastAsia"/>
              </w:rPr>
              <w:t>4424.98</w:t>
            </w:r>
          </w:p>
        </w:tc>
        <w:tc>
          <w:tcPr>
            <w:tcW w:w="2067" w:type="dxa"/>
          </w:tcPr>
          <w:p w14:paraId="718D2FC9" w14:textId="77777777" w:rsidR="00E579B9" w:rsidRDefault="006A1398">
            <w:pPr>
              <w:pStyle w:val="aa"/>
            </w:pPr>
            <w:r>
              <w:rPr>
                <w:rFonts w:hint="eastAsia"/>
              </w:rPr>
              <w:t>1</w:t>
            </w:r>
            <w:r>
              <w:t>00%</w:t>
            </w:r>
          </w:p>
        </w:tc>
      </w:tr>
    </w:tbl>
    <w:p w14:paraId="51E708E8" w14:textId="77777777" w:rsidR="00E579B9" w:rsidRDefault="00E579B9">
      <w:pPr>
        <w:pStyle w:val="21"/>
      </w:pPr>
    </w:p>
    <w:p w14:paraId="274D9FD3" w14:textId="77777777" w:rsidR="00E579B9" w:rsidRDefault="006A1398">
      <w:bookmarkStart w:id="349" w:name="_Toc145154862"/>
      <w:bookmarkStart w:id="350" w:name="_Toc145151484"/>
      <w:bookmarkStart w:id="351" w:name="_Toc145155224"/>
      <w:bookmarkStart w:id="352" w:name="_Toc145246740"/>
      <w:bookmarkStart w:id="353" w:name="_Toc170030691"/>
      <w:r>
        <w:rPr>
          <w:rFonts w:hint="eastAsia"/>
        </w:rPr>
        <w:t>本项目生态评价范围内土地利用类型以林地为主，遍布于评价区内，其次分布较广的是采矿</w:t>
      </w:r>
      <w:r>
        <w:t>用地</w:t>
      </w:r>
      <w:r>
        <w:rPr>
          <w:rFonts w:hint="eastAsia"/>
        </w:rPr>
        <w:t>。</w:t>
      </w:r>
      <w:r>
        <w:rPr>
          <w:snapToGrid w:val="0"/>
          <w:kern w:val="28"/>
        </w:rPr>
        <w:t>项目实施后，原有的用地性质均变为工矿用地，</w:t>
      </w:r>
      <w:r>
        <w:t>由于占地面积较大，工矿用地面积对土地利用现状结构产生一定影响，需在本项目施工期、运营期以及闭矿期采取生态保护及恢复整治措施。工程建设期根据平面布置对对矿区专用道路两侧进行绿化，种植单排乔木，间距</w:t>
      </w:r>
      <w:r>
        <w:t>2-3m</w:t>
      </w:r>
      <w:r>
        <w:t>；在矿山生产运行过程中，将采取本评价和水保方案提出的措施，及时对采场已开采的部分进行整治，露天采场边开采边治理，形成一个台阶治理一个台阶，未开采到但已剥离的采面应先采取覆盖抑尘网的措施，已开采完毕的台阶应在开采结束后及时进行生态恢复，覆土、绿化，播撒草籽，防止露采区地表裸露加大区域水土流失。同时根据工程特点，分期封闭采场，对露天采场进行复垦，满足生态恢复的需要，逐步恢复至原有生态。待闭矿后对采场进行封闭、平整覆土，对破碎站拆除设备，平整覆土，恢复其原有生态环境，同时对表土堆场采取生态恢复措施。</w:t>
      </w:r>
    </w:p>
    <w:p w14:paraId="67F91893" w14:textId="77777777" w:rsidR="00E579B9" w:rsidRDefault="006A1398">
      <w:r>
        <w:rPr>
          <w:rFonts w:hint="eastAsia"/>
        </w:rPr>
        <w:t>6.2.1.7</w:t>
      </w:r>
      <w:r>
        <w:rPr>
          <w:rFonts w:hint="eastAsia"/>
        </w:rPr>
        <w:t>土壤侵蚀</w:t>
      </w:r>
      <w:bookmarkEnd w:id="349"/>
      <w:bookmarkEnd w:id="350"/>
      <w:bookmarkEnd w:id="351"/>
      <w:bookmarkEnd w:id="352"/>
      <w:bookmarkEnd w:id="353"/>
    </w:p>
    <w:p w14:paraId="5A309EB6" w14:textId="77777777" w:rsidR="00E579B9" w:rsidRDefault="006A1398">
      <w:pPr>
        <w:pStyle w:val="226"/>
        <w:rPr>
          <w:rFonts w:cs="Times New Roman"/>
          <w:bCs/>
        </w:rPr>
      </w:pPr>
      <w:bookmarkStart w:id="354" w:name="_Toc170030692"/>
      <w:bookmarkStart w:id="355" w:name="_Toc145246741"/>
      <w:bookmarkStart w:id="356" w:name="_Toc145155225"/>
      <w:bookmarkStart w:id="357" w:name="_Toc145154863"/>
      <w:bookmarkStart w:id="358" w:name="_Toc145151485"/>
      <w:r>
        <w:rPr>
          <w:rFonts w:cs="Times New Roman"/>
          <w:kern w:val="0"/>
        </w:rPr>
        <w:t>根据实地调查及《河南省水土流失重点防治区划分图》可知，评价区水土流失防治分区为</w:t>
      </w:r>
      <w:r>
        <w:rPr>
          <w:rFonts w:cs="Times New Roman" w:hint="eastAsia"/>
          <w:kern w:val="0"/>
        </w:rPr>
        <w:t>省</w:t>
      </w:r>
      <w:r>
        <w:rPr>
          <w:rFonts w:cs="Times New Roman"/>
          <w:kern w:val="0"/>
        </w:rPr>
        <w:t>级水土流失重点治理区，详见附图</w:t>
      </w:r>
      <w:r>
        <w:rPr>
          <w:rFonts w:cs="Times New Roman" w:hint="eastAsia"/>
          <w:kern w:val="0"/>
        </w:rPr>
        <w:t>。</w:t>
      </w:r>
      <w:r>
        <w:rPr>
          <w:rFonts w:cs="Times New Roman"/>
          <w:bCs/>
        </w:rPr>
        <w:t>根据现场调查，本区属北方土石山区，土壤容许流失模数为</w:t>
      </w:r>
      <w:r>
        <w:rPr>
          <w:rFonts w:cs="Times New Roman"/>
          <w:bCs/>
        </w:rPr>
        <w:t>200t/</w:t>
      </w:r>
      <w:r>
        <w:rPr>
          <w:rFonts w:cs="Times New Roman"/>
          <w:bCs/>
        </w:rPr>
        <w:t>（</w:t>
      </w:r>
      <w:r>
        <w:rPr>
          <w:rFonts w:cs="Times New Roman"/>
          <w:bCs/>
        </w:rPr>
        <w:t>km</w:t>
      </w:r>
      <w:r>
        <w:rPr>
          <w:rFonts w:cs="Times New Roman"/>
          <w:bCs/>
          <w:vertAlign w:val="superscript"/>
        </w:rPr>
        <w:t>2</w:t>
      </w:r>
      <w:r>
        <w:rPr>
          <w:rFonts w:cs="Times New Roman"/>
          <w:bCs/>
        </w:rPr>
        <w:t>.a</w:t>
      </w:r>
      <w:r>
        <w:rPr>
          <w:rFonts w:cs="Times New Roman"/>
          <w:bCs/>
        </w:rPr>
        <w:t>），根据调查分析和当地有关资料，评价区域内未扰动区域原地貌侵蚀侵蚀模数为</w:t>
      </w:r>
      <w:r>
        <w:rPr>
          <w:rFonts w:cs="Times New Roman"/>
          <w:bCs/>
        </w:rPr>
        <w:t>200t/km</w:t>
      </w:r>
      <w:r>
        <w:rPr>
          <w:rFonts w:cs="Times New Roman"/>
          <w:bCs/>
          <w:vertAlign w:val="superscript"/>
        </w:rPr>
        <w:t>2</w:t>
      </w:r>
      <w:r>
        <w:rPr>
          <w:rFonts w:cs="Times New Roman"/>
          <w:bCs/>
        </w:rPr>
        <w:t>·a</w:t>
      </w:r>
      <w:r>
        <w:rPr>
          <w:rFonts w:cs="Times New Roman"/>
          <w:bCs/>
        </w:rPr>
        <w:t>，矿区内露采坑现状侵蚀模式约</w:t>
      </w:r>
      <w:r>
        <w:rPr>
          <w:rFonts w:cs="Times New Roman"/>
          <w:bCs/>
        </w:rPr>
        <w:t>3000t/km</w:t>
      </w:r>
      <w:r>
        <w:rPr>
          <w:rFonts w:cs="Times New Roman"/>
          <w:bCs/>
          <w:vertAlign w:val="superscript"/>
        </w:rPr>
        <w:t>2</w:t>
      </w:r>
      <w:r>
        <w:rPr>
          <w:rFonts w:cs="Times New Roman"/>
          <w:bCs/>
        </w:rPr>
        <w:t>·a</w:t>
      </w:r>
      <w:r>
        <w:rPr>
          <w:rFonts w:cs="Times New Roman"/>
          <w:bCs/>
        </w:rPr>
        <w:t>。区域侵蚀强度为轻度侵蚀级，以水力侵蚀为主。</w:t>
      </w:r>
    </w:p>
    <w:p w14:paraId="164587C2" w14:textId="77777777" w:rsidR="00E579B9" w:rsidRDefault="006A1398">
      <w:pPr>
        <w:pStyle w:val="226"/>
        <w:rPr>
          <w:rFonts w:cs="Times New Roman"/>
          <w:kern w:val="0"/>
        </w:rPr>
      </w:pPr>
      <w:r>
        <w:rPr>
          <w:rFonts w:cs="Times New Roman"/>
          <w:kern w:val="0"/>
        </w:rPr>
        <w:t>造成水土流失的原因有自然因素和人为因素两大类。自然因素：首先是气候因素，其中以暴雨影响较为突出，雨季降雨集中，强度大，旱季风力大，沙尘飞扬，极易产生严重的水土流失。其次地形地貌、土壤物理特性等也是导致水土流失的主要因素。林草植被覆盖率低，起不到防风保土保水作用。人为因素主要表现为人为活动频</w:t>
      </w:r>
      <w:r>
        <w:rPr>
          <w:rFonts w:cs="Times New Roman"/>
          <w:kern w:val="0"/>
        </w:rPr>
        <w:lastRenderedPageBreak/>
        <w:t>繁，不合理的土地利用及开发建设项目等破坏原有地表植被等造成新的人为水土流失。</w:t>
      </w:r>
    </w:p>
    <w:p w14:paraId="0475D693" w14:textId="77777777" w:rsidR="00E579B9" w:rsidRDefault="006A1398">
      <w:pPr>
        <w:rPr>
          <w:kern w:val="0"/>
        </w:rPr>
      </w:pPr>
      <w:r>
        <w:rPr>
          <w:rFonts w:hint="eastAsia"/>
        </w:rPr>
        <w:t>根据现场踏勘调查，项目拟建区沟壑多，地形较复杂，但植被郁闭度高，原状土地大部分为灌草地和林地，有轻微水土流失。</w:t>
      </w:r>
    </w:p>
    <w:p w14:paraId="37B5889D" w14:textId="77777777" w:rsidR="00E579B9" w:rsidRDefault="006A1398">
      <w:pPr>
        <w:pStyle w:val="4"/>
      </w:pPr>
      <w:r>
        <w:rPr>
          <w:rFonts w:hint="eastAsia"/>
        </w:rPr>
        <w:t>6.2.1.8</w:t>
      </w:r>
      <w:r>
        <w:rPr>
          <w:rFonts w:hint="eastAsia"/>
        </w:rPr>
        <w:t>土壤类型</w:t>
      </w:r>
      <w:bookmarkEnd w:id="354"/>
    </w:p>
    <w:p w14:paraId="4A46C640" w14:textId="77777777" w:rsidR="00E579B9" w:rsidRDefault="006A1398">
      <w:r>
        <w:rPr>
          <w:rFonts w:ascii="宋体" w:hAnsi="宋体" w:cs="Times New Roman" w:hint="eastAsia"/>
          <w:color w:val="000000"/>
          <w:szCs w:val="24"/>
        </w:rPr>
        <w:t>项目</w:t>
      </w:r>
      <w:r>
        <w:rPr>
          <w:rFonts w:ascii="宋体" w:hAnsi="宋体" w:cs="Times New Roman"/>
          <w:color w:val="000000"/>
          <w:szCs w:val="24"/>
        </w:rPr>
        <w:t>所在区域多为沙姜黑土，土壤理化性状良好，矿质营养元素全面而丰富，地下水水位</w:t>
      </w:r>
      <w:r>
        <w:rPr>
          <w:rFonts w:cs="Times New Roman"/>
          <w:color w:val="000000"/>
          <w:szCs w:val="24"/>
        </w:rPr>
        <w:t>6.5</w:t>
      </w:r>
      <w:r>
        <w:rPr>
          <w:rFonts w:ascii="宋体" w:hAnsi="宋体" w:cs="Times New Roman"/>
          <w:color w:val="000000"/>
          <w:szCs w:val="24"/>
        </w:rPr>
        <w:t>米，土壤</w:t>
      </w:r>
      <w:r>
        <w:rPr>
          <w:rFonts w:cs="Times New Roman"/>
          <w:color w:val="000000"/>
          <w:szCs w:val="24"/>
        </w:rPr>
        <w:t>pH</w:t>
      </w:r>
      <w:r>
        <w:rPr>
          <w:rFonts w:ascii="宋体" w:hAnsi="宋体" w:cs="Times New Roman"/>
          <w:color w:val="000000"/>
          <w:szCs w:val="24"/>
        </w:rPr>
        <w:t>值</w:t>
      </w:r>
      <w:r>
        <w:rPr>
          <w:rFonts w:cs="Times New Roman"/>
          <w:color w:val="000000"/>
          <w:szCs w:val="24"/>
        </w:rPr>
        <w:t>6.8~7.8</w:t>
      </w:r>
      <w:r>
        <w:rPr>
          <w:rFonts w:ascii="宋体" w:hAnsi="宋体" w:cs="Times New Roman"/>
          <w:color w:val="000000"/>
          <w:szCs w:val="24"/>
        </w:rPr>
        <w:t>。</w:t>
      </w:r>
      <w:r>
        <w:rPr>
          <w:rFonts w:hint="eastAsia"/>
        </w:rPr>
        <w:t>项目区所在地为西南部山区，区域地势较高，地表淋溶作用强盛，可溶性盐类基本淋失，形成了酸性和微酸性的棕壤和山地褐土，土层教薄，土地肥力较差，养分含量较少，</w:t>
      </w:r>
      <w:r>
        <w:t>耕层土壤满足不了作物高产对土壤养分的需求</w:t>
      </w:r>
      <w:r>
        <w:rPr>
          <w:rFonts w:hint="eastAsia"/>
        </w:rPr>
        <w:t>。</w:t>
      </w:r>
    </w:p>
    <w:p w14:paraId="18306F93" w14:textId="77777777" w:rsidR="00E579B9" w:rsidRDefault="006A1398">
      <w:pPr>
        <w:pStyle w:val="4"/>
      </w:pPr>
      <w:r>
        <w:rPr>
          <w:rFonts w:hint="eastAsia"/>
        </w:rPr>
        <w:t>6.2.1.9</w:t>
      </w:r>
      <w:r>
        <w:rPr>
          <w:rFonts w:hint="eastAsia"/>
        </w:rPr>
        <w:t>水土流失</w:t>
      </w:r>
    </w:p>
    <w:p w14:paraId="15352A94" w14:textId="77777777" w:rsidR="00E579B9" w:rsidRDefault="006A1398">
      <w:pPr>
        <w:ind w:firstLine="472"/>
      </w:pPr>
      <w:r>
        <w:rPr>
          <w:rFonts w:hint="eastAsia"/>
          <w:spacing w:val="-2"/>
        </w:rPr>
        <w:t>（</w:t>
      </w:r>
      <w:r>
        <w:rPr>
          <w:rFonts w:hint="eastAsia"/>
          <w:spacing w:val="-2"/>
        </w:rPr>
        <w:t>1</w:t>
      </w:r>
      <w:r>
        <w:rPr>
          <w:rFonts w:hint="eastAsia"/>
          <w:spacing w:val="-2"/>
        </w:rPr>
        <w:t>）</w:t>
      </w:r>
      <w:r>
        <w:rPr>
          <w:rFonts w:hint="eastAsia"/>
        </w:rPr>
        <w:t>水土流失现状</w:t>
      </w:r>
    </w:p>
    <w:p w14:paraId="33AF30E1" w14:textId="77777777" w:rsidR="00E579B9" w:rsidRDefault="006A1398">
      <w:pPr>
        <w:widowControl w:val="0"/>
        <w:spacing w:line="480" w:lineRule="exact"/>
        <w:jc w:val="both"/>
        <w:rPr>
          <w:rFonts w:ascii="宋体" w:hAnsi="宋体" w:cs="宋体"/>
          <w:bCs/>
          <w:szCs w:val="24"/>
        </w:rPr>
      </w:pPr>
      <w:r>
        <w:rPr>
          <w:rFonts w:ascii="宋体" w:hAnsi="宋体" w:cs="宋体"/>
          <w:bCs/>
          <w:szCs w:val="24"/>
        </w:rPr>
        <w:t>评价区地处</w:t>
      </w:r>
      <w:r>
        <w:rPr>
          <w:rFonts w:ascii="宋体" w:hAnsi="宋体" w:cs="宋体" w:hint="eastAsia"/>
          <w:bCs/>
          <w:szCs w:val="24"/>
        </w:rPr>
        <w:t>低山丘陵区</w:t>
      </w:r>
      <w:r>
        <w:rPr>
          <w:rFonts w:ascii="宋体" w:hAnsi="宋体" w:cs="宋体"/>
          <w:bCs/>
          <w:szCs w:val="24"/>
        </w:rPr>
        <w:t>，地形复杂。根据</w:t>
      </w:r>
      <w:r>
        <w:rPr>
          <w:rFonts w:ascii="宋体" w:hAnsi="宋体" w:cs="宋体" w:hint="eastAsia"/>
          <w:bCs/>
          <w:szCs w:val="24"/>
        </w:rPr>
        <w:t>河南省水土保持区划图</w:t>
      </w:r>
      <w:r>
        <w:rPr>
          <w:rFonts w:ascii="宋体" w:hAnsi="宋体" w:cs="宋体"/>
          <w:bCs/>
          <w:szCs w:val="24"/>
        </w:rPr>
        <w:t>，评价区位于</w:t>
      </w:r>
      <w:r>
        <w:rPr>
          <w:rFonts w:ascii="宋体" w:hAnsi="宋体" w:cs="宋体" w:hint="eastAsia"/>
          <w:bCs/>
          <w:szCs w:val="24"/>
        </w:rPr>
        <w:t>省级水土保持</w:t>
      </w:r>
      <w:r>
        <w:rPr>
          <w:rFonts w:ascii="宋体" w:hAnsi="宋体" w:cs="宋体"/>
          <w:bCs/>
          <w:szCs w:val="24"/>
        </w:rPr>
        <w:t>重要区域。</w:t>
      </w:r>
    </w:p>
    <w:p w14:paraId="62F2FBA8" w14:textId="77777777" w:rsidR="00E579B9" w:rsidRDefault="006A1398">
      <w:pPr>
        <w:widowControl w:val="0"/>
        <w:autoSpaceDE w:val="0"/>
        <w:autoSpaceDN w:val="0"/>
        <w:spacing w:line="480" w:lineRule="exact"/>
        <w:rPr>
          <w:rFonts w:ascii="宋体" w:hAnsi="宋体" w:cs="宋体"/>
          <w:bCs/>
          <w:kern w:val="0"/>
          <w:szCs w:val="24"/>
        </w:rPr>
      </w:pPr>
      <w:r>
        <w:rPr>
          <w:rFonts w:ascii="宋体" w:hAnsi="宋体" w:cs="宋体"/>
          <w:bCs/>
          <w:kern w:val="0"/>
          <w:szCs w:val="24"/>
        </w:rPr>
        <w:t>区域水土流失形式主要有两种：水力侵蚀和重力侵蚀，其中以水力侵蚀为主，局部有重力侵蚀发生。水力侵蚀的主要类型为面蚀和沟蚀。自然因素和人为因素是造成该地区水土流失的主要原因，自然因素有地形地貌、地面组成物质、植被及降雨等。</w:t>
      </w:r>
    </w:p>
    <w:p w14:paraId="1EAD46A8" w14:textId="77777777" w:rsidR="00E579B9" w:rsidRDefault="006A1398">
      <w:r>
        <w:rPr>
          <w:rFonts w:hint="eastAsia"/>
        </w:rPr>
        <w:t>（</w:t>
      </w:r>
      <w:r>
        <w:rPr>
          <w:rFonts w:hint="eastAsia"/>
        </w:rPr>
        <w:t>2</w:t>
      </w:r>
      <w:r>
        <w:rPr>
          <w:rFonts w:hint="eastAsia"/>
        </w:rPr>
        <w:t>）水土流失预测</w:t>
      </w:r>
    </w:p>
    <w:p w14:paraId="787C60B6" w14:textId="77777777" w:rsidR="00E579B9" w:rsidRDefault="006A1398">
      <w:r>
        <w:rPr>
          <w:rFonts w:hint="eastAsia"/>
        </w:rPr>
        <w:t>根据现场踏勘调查，项目拟建区沟壑多，地形较复杂，但植被郁闭度高，原状土地大部分为灌草地和林地，有轻微水土流失。经分析，矿区建设期挖填方量大，建设期可能造成水土流失。若对临时表土场不及时防护，水土流失将直接威胁农业生产、地表水域与行洪排涝。营运期形成的露天采坑及表土场堆存，可能造成采坑边缘地带及表土场水土流失增加明显。因此，若不及时对表土场和采坑边缘区进行防护和治理，遇到暴雨，地表将受到严重的冲刷，使大量泥沙涌入沟谷，降低其行洪、排洪能力。另外，土壤养分加速流失，植被失去赖以生存的物质基础，从而给当地生态可持续发展带来一系列的负面影响。</w:t>
      </w:r>
    </w:p>
    <w:p w14:paraId="56972379" w14:textId="77777777" w:rsidR="00E579B9" w:rsidRDefault="006A1398">
      <w:r>
        <w:rPr>
          <w:rFonts w:hint="eastAsia"/>
        </w:rPr>
        <w:lastRenderedPageBreak/>
        <w:t>（</w:t>
      </w:r>
      <w:r>
        <w:rPr>
          <w:rFonts w:hint="eastAsia"/>
        </w:rPr>
        <w:t>3</w:t>
      </w:r>
      <w:r>
        <w:rPr>
          <w:rFonts w:hint="eastAsia"/>
        </w:rPr>
        <w:t>）防治措施</w:t>
      </w:r>
    </w:p>
    <w:p w14:paraId="7F38AE72" w14:textId="77777777" w:rsidR="00E579B9" w:rsidRDefault="006A1398">
      <w:r>
        <w:rPr>
          <w:rFonts w:hint="eastAsia"/>
        </w:rPr>
        <w:t>本项目为减轻水土流失程度，在表土场坡底部周围设挡土墙、排水沟和块石护坡。另外，企业已经对排土终了的台面及坡面进行了覆盖防尘网和设置绿化防护屏障。绿化方式采用在表土场及时播撒草籽的方式。</w:t>
      </w:r>
    </w:p>
    <w:p w14:paraId="3C895548" w14:textId="77777777" w:rsidR="00E579B9" w:rsidRDefault="006A1398">
      <w:pPr>
        <w:pStyle w:val="3"/>
        <w:ind w:firstLine="560"/>
      </w:pPr>
      <w:bookmarkStart w:id="359" w:name="_Toc180680512"/>
      <w:bookmarkStart w:id="360" w:name="_Toc531939385"/>
      <w:bookmarkStart w:id="361" w:name="_Toc181088847"/>
      <w:bookmarkStart w:id="362" w:name="_Toc187038752"/>
      <w:bookmarkStart w:id="363" w:name="_Toc162358845"/>
      <w:bookmarkStart w:id="364" w:name="_Toc531939596"/>
      <w:bookmarkStart w:id="365" w:name="_Toc181089253"/>
      <w:bookmarkEnd w:id="355"/>
      <w:bookmarkEnd w:id="356"/>
      <w:bookmarkEnd w:id="357"/>
      <w:bookmarkEnd w:id="358"/>
      <w:r>
        <w:rPr>
          <w:rFonts w:hint="eastAsia"/>
        </w:rPr>
        <w:t>6.2</w:t>
      </w:r>
      <w:r>
        <w:t>.2</w:t>
      </w:r>
      <w:r>
        <w:t>生态环境现状评价</w:t>
      </w:r>
      <w:bookmarkEnd w:id="359"/>
      <w:bookmarkEnd w:id="360"/>
      <w:bookmarkEnd w:id="361"/>
      <w:bookmarkEnd w:id="362"/>
      <w:bookmarkEnd w:id="363"/>
      <w:bookmarkEnd w:id="364"/>
      <w:bookmarkEnd w:id="365"/>
    </w:p>
    <w:p w14:paraId="7B998D62" w14:textId="77777777" w:rsidR="00E579B9" w:rsidRDefault="006A1398">
      <w:bookmarkStart w:id="366" w:name="_Toc181090533"/>
      <w:bookmarkStart w:id="367" w:name="_Toc181090066"/>
      <w:bookmarkStart w:id="368" w:name="_Toc187038753"/>
      <w:bookmarkStart w:id="369" w:name="_Toc181089254"/>
      <w:bookmarkStart w:id="370" w:name="_Toc183091482"/>
      <w:bookmarkStart w:id="371" w:name="_Toc181088848"/>
      <w:bookmarkStart w:id="372" w:name="_Toc180680513"/>
      <w:r>
        <w:t>区域植被与其所处环境形成一个有机整体，特征群落尤其是植物在生态系统中发挥着重要作用，使生态系统各种功能处于平衡状态。</w:t>
      </w:r>
      <w:bookmarkEnd w:id="366"/>
      <w:bookmarkEnd w:id="367"/>
      <w:bookmarkEnd w:id="368"/>
      <w:bookmarkEnd w:id="369"/>
      <w:bookmarkEnd w:id="370"/>
      <w:bookmarkEnd w:id="371"/>
      <w:bookmarkEnd w:id="372"/>
    </w:p>
    <w:p w14:paraId="4CD1EDD3" w14:textId="77777777" w:rsidR="00E579B9" w:rsidRDefault="006A1398">
      <w:bookmarkStart w:id="373" w:name="_Toc180680514"/>
      <w:bookmarkStart w:id="374" w:name="_Toc181089255"/>
      <w:bookmarkStart w:id="375" w:name="_Toc187038754"/>
      <w:bookmarkStart w:id="376" w:name="_Toc181090067"/>
      <w:bookmarkStart w:id="377" w:name="_Toc181090534"/>
      <w:bookmarkStart w:id="378" w:name="_Toc181088849"/>
      <w:bookmarkStart w:id="379" w:name="_Toc183091483"/>
      <w:r>
        <w:t>评价区</w:t>
      </w:r>
      <w:r>
        <w:rPr>
          <w:rFonts w:hint="eastAsia"/>
        </w:rPr>
        <w:t>林地</w:t>
      </w:r>
      <w:r>
        <w:t>生态系统</w:t>
      </w:r>
      <w:r>
        <w:rPr>
          <w:rFonts w:hint="eastAsia"/>
        </w:rPr>
        <w:t>和草地生态系统</w:t>
      </w:r>
      <w:r>
        <w:t>是人工干预下的生态系统，同时也受到自然环境的制约，系统主要组成包括乔木、灌木及小型哺乳类、鸟类、昆虫等，这些组分结构相对和谐，不断进行着物质和能量交换，系统经过一定时期的发展过程，结构相对稳定，具有一定抗外界干扰的调节能力和抵抗力。其主要功能是为人类服务，能起到涵养水源、防风固土和保持水土的功能。</w:t>
      </w:r>
      <w:bookmarkEnd w:id="373"/>
      <w:bookmarkEnd w:id="374"/>
      <w:bookmarkEnd w:id="375"/>
      <w:bookmarkEnd w:id="376"/>
      <w:bookmarkEnd w:id="377"/>
      <w:bookmarkEnd w:id="378"/>
      <w:bookmarkEnd w:id="379"/>
    </w:p>
    <w:p w14:paraId="2C9D8FFF" w14:textId="77777777" w:rsidR="00E579B9" w:rsidRDefault="006A1398">
      <w:bookmarkStart w:id="380" w:name="_Toc181089256"/>
      <w:bookmarkStart w:id="381" w:name="_Toc180680515"/>
      <w:bookmarkStart w:id="382" w:name="_Toc181090535"/>
      <w:bookmarkStart w:id="383" w:name="_Toc181088850"/>
      <w:bookmarkStart w:id="384" w:name="_Toc187038755"/>
      <w:bookmarkStart w:id="385" w:name="_Toc181090068"/>
      <w:bookmarkStart w:id="386" w:name="_Toc183091484"/>
      <w:r>
        <w:t>区内农田生态系统是一种半自然的人工生态系统，系统</w:t>
      </w:r>
      <w:r>
        <w:rPr>
          <w:rFonts w:hint="eastAsia"/>
        </w:rPr>
        <w:t>内</w:t>
      </w:r>
      <w:r>
        <w:t>作物种类较</w:t>
      </w:r>
      <w:r>
        <w:rPr>
          <w:rFonts w:hint="eastAsia"/>
        </w:rPr>
        <w:t>为丰富，</w:t>
      </w:r>
      <w:r>
        <w:rPr>
          <w:rFonts w:hint="eastAsia"/>
          <w:color w:val="000000" w:themeColor="text1"/>
        </w:rPr>
        <w:t>主要包括小麦、玉米等粮食作物以及大豆、花生等经济作物</w:t>
      </w:r>
      <w:r>
        <w:rPr>
          <w:color w:val="000000" w:themeColor="text1"/>
        </w:rPr>
        <w:t>。</w:t>
      </w:r>
      <w:r>
        <w:t>农作物群落与其它生物群落相互作用，共同生存</w:t>
      </w:r>
      <w:r>
        <w:rPr>
          <w:rFonts w:hint="eastAsia"/>
        </w:rPr>
        <w:t>，</w:t>
      </w:r>
      <w:r>
        <w:t>农田生态系统</w:t>
      </w:r>
      <w:r>
        <w:rPr>
          <w:rFonts w:hint="eastAsia"/>
        </w:rPr>
        <w:t>较为</w:t>
      </w:r>
      <w:r>
        <w:t>稳定</w:t>
      </w:r>
      <w:bookmarkEnd w:id="380"/>
      <w:bookmarkEnd w:id="381"/>
      <w:bookmarkEnd w:id="382"/>
      <w:bookmarkEnd w:id="383"/>
      <w:bookmarkEnd w:id="384"/>
      <w:bookmarkEnd w:id="385"/>
      <w:bookmarkEnd w:id="386"/>
      <w:r>
        <w:rPr>
          <w:rFonts w:hint="eastAsia"/>
        </w:rPr>
        <w:t>。</w:t>
      </w:r>
    </w:p>
    <w:p w14:paraId="33A9E308" w14:textId="77777777" w:rsidR="00E579B9" w:rsidRDefault="006A1398">
      <w:pPr>
        <w:pStyle w:val="3"/>
        <w:ind w:firstLine="560"/>
        <w:rPr>
          <w:rFonts w:eastAsia="楷体_GB2312"/>
          <w:szCs w:val="24"/>
        </w:rPr>
      </w:pPr>
      <w:bookmarkStart w:id="387" w:name="_Toc170030693"/>
      <w:bookmarkStart w:id="388" w:name="_Toc181088869"/>
      <w:bookmarkStart w:id="389" w:name="_Toc181089275"/>
      <w:bookmarkStart w:id="390" w:name="_Toc531939597"/>
      <w:bookmarkStart w:id="391" w:name="_Toc531939386"/>
      <w:bookmarkStart w:id="392" w:name="_Toc180680534"/>
      <w:bookmarkStart w:id="393" w:name="_Toc187038756"/>
      <w:r>
        <w:rPr>
          <w:rFonts w:hint="eastAsia"/>
        </w:rPr>
        <w:t>6.2</w:t>
      </w:r>
      <w:r>
        <w:t>.3</w:t>
      </w:r>
      <w:r>
        <w:t>生态环境现状评价结论</w:t>
      </w:r>
      <w:bookmarkEnd w:id="387"/>
      <w:bookmarkEnd w:id="388"/>
      <w:bookmarkEnd w:id="389"/>
      <w:bookmarkEnd w:id="390"/>
      <w:bookmarkEnd w:id="391"/>
      <w:bookmarkEnd w:id="392"/>
      <w:bookmarkEnd w:id="393"/>
    </w:p>
    <w:p w14:paraId="177788FE" w14:textId="77777777" w:rsidR="00E579B9" w:rsidRDefault="006A1398">
      <w:r>
        <w:rPr>
          <w:rFonts w:hint="eastAsia"/>
        </w:rPr>
        <w:t>本项目生态环境现状评价结论如下：</w:t>
      </w:r>
    </w:p>
    <w:p w14:paraId="5FCF3F01" w14:textId="77777777" w:rsidR="00E579B9" w:rsidRDefault="006A1398">
      <w:r>
        <w:rPr>
          <w:rFonts w:hAnsi="宋体"/>
        </w:rPr>
        <w:t>①</w:t>
      </w:r>
      <w:r>
        <w:t>评价区地处低山丘陵区，区内共有</w:t>
      </w:r>
      <w:r>
        <w:t>6</w:t>
      </w:r>
      <w:r>
        <w:t>种生态系统类型，即</w:t>
      </w:r>
      <w:r>
        <w:rPr>
          <w:rFonts w:hint="eastAsia"/>
        </w:rPr>
        <w:t>林地</w:t>
      </w:r>
      <w:r>
        <w:t>生态系统、草地生态系统、</w:t>
      </w:r>
      <w:r>
        <w:rPr>
          <w:rFonts w:hint="eastAsia"/>
        </w:rPr>
        <w:t>农田</w:t>
      </w:r>
      <w:r>
        <w:t>生态系统、村镇生态系统、路际生态系统和水域生态系统</w:t>
      </w:r>
      <w:r>
        <w:rPr>
          <w:rFonts w:hint="eastAsia"/>
        </w:rPr>
        <w:t>，</w:t>
      </w:r>
      <w:r>
        <w:t>其中以</w:t>
      </w:r>
      <w:r>
        <w:rPr>
          <w:rFonts w:hint="eastAsia"/>
        </w:rPr>
        <w:t>林地</w:t>
      </w:r>
      <w:r>
        <w:t>生态系统为主，</w:t>
      </w:r>
      <w:r>
        <w:rPr>
          <w:rFonts w:hint="eastAsia"/>
        </w:rPr>
        <w:t>呈大面积或块状分布于评价区内</w:t>
      </w:r>
      <w:r>
        <w:t>。总体看，评价区生态环境比较完整。</w:t>
      </w:r>
    </w:p>
    <w:p w14:paraId="2CB0F530" w14:textId="77777777" w:rsidR="00E579B9" w:rsidRDefault="006A1398">
      <w:r>
        <w:rPr>
          <w:rFonts w:hAnsi="宋体"/>
        </w:rPr>
        <w:t>②</w:t>
      </w:r>
      <w:r>
        <w:t>评价区地处暖温带落叶阔叶林区，区域内植被类型分为灌草植被、农田植被、乔木植被类型。</w:t>
      </w:r>
    </w:p>
    <w:p w14:paraId="1BBAF487" w14:textId="77777777" w:rsidR="00E579B9" w:rsidRDefault="006A1398">
      <w:r>
        <w:t>评价区内落叶阔叶林基本为杨、柳、榆、桐等，呈</w:t>
      </w:r>
      <w:r>
        <w:rPr>
          <w:rFonts w:hint="eastAsia"/>
        </w:rPr>
        <w:t>块状</w:t>
      </w:r>
      <w:r>
        <w:t>分布。灌木丛主要是酸枣等群落，主要分布在丘陵岗地、山坡及沟谷两侧。草地植被</w:t>
      </w:r>
      <w:r>
        <w:rPr>
          <w:rFonts w:hint="eastAsia"/>
        </w:rPr>
        <w:t>广泛</w:t>
      </w:r>
      <w:r>
        <w:t>分布于山坡、山岭区域，主要类型有白羊草、</w:t>
      </w:r>
      <w:r>
        <w:rPr>
          <w:rFonts w:hint="eastAsia"/>
        </w:rPr>
        <w:t>羊胡子</w:t>
      </w:r>
      <w:r>
        <w:t>群落。伴生种有狗尾草等。农田植被</w:t>
      </w:r>
      <w:r>
        <w:rPr>
          <w:rFonts w:hint="eastAsia"/>
        </w:rPr>
        <w:t>呈</w:t>
      </w:r>
      <w:r>
        <w:t>块状</w:t>
      </w:r>
      <w:r>
        <w:rPr>
          <w:rFonts w:hint="eastAsia"/>
        </w:rPr>
        <w:t>分</w:t>
      </w:r>
      <w:r>
        <w:t>布于评价区内。</w:t>
      </w:r>
    </w:p>
    <w:p w14:paraId="6E439A75" w14:textId="77777777" w:rsidR="00E579B9" w:rsidRDefault="006A1398">
      <w:r>
        <w:rPr>
          <w:rFonts w:hAnsi="宋体"/>
        </w:rPr>
        <w:lastRenderedPageBreak/>
        <w:t>③</w:t>
      </w:r>
      <w:r>
        <w:rPr>
          <w:color w:val="000000" w:themeColor="text1"/>
        </w:rPr>
        <w:t>评价区地处暖温带的南</w:t>
      </w:r>
      <w:r>
        <w:rPr>
          <w:rFonts w:hint="eastAsia"/>
          <w:color w:val="000000" w:themeColor="text1"/>
        </w:rPr>
        <w:t>部</w:t>
      </w:r>
      <w:r>
        <w:rPr>
          <w:color w:val="000000" w:themeColor="text1"/>
        </w:rPr>
        <w:t>，</w:t>
      </w:r>
      <w:r>
        <w:rPr>
          <w:rFonts w:hint="eastAsia"/>
        </w:rPr>
        <w:t>矿区周边人类活动频繁，动物种类较为简单，主要有野兔、鼠类、麻雀、喜鹊等。经过资料收集和现场调查，评价区内无特别需要保护或稀有保护动物。</w:t>
      </w:r>
    </w:p>
    <w:p w14:paraId="32897C48" w14:textId="77777777" w:rsidR="00E579B9" w:rsidRDefault="006A1398">
      <w:r>
        <w:t>评价区林地包括乔木林地、灌木林地</w:t>
      </w:r>
      <w:r>
        <w:t>2</w:t>
      </w:r>
      <w:r>
        <w:t>种类型，乔木林</w:t>
      </w:r>
      <w:r>
        <w:rPr>
          <w:rFonts w:hint="eastAsia"/>
        </w:rPr>
        <w:t>，基本为人工种植，以农田林网的形式分布于项目区</w:t>
      </w:r>
      <w:r>
        <w:t>；</w:t>
      </w:r>
      <w:r>
        <w:rPr>
          <w:rFonts w:hint="eastAsia"/>
        </w:rPr>
        <w:t>灌木林主要分布在沟谷边坡，树种主要是荆条等</w:t>
      </w:r>
      <w:r>
        <w:t>；</w:t>
      </w:r>
      <w:r>
        <w:rPr>
          <w:rFonts w:hint="eastAsia"/>
        </w:rPr>
        <w:t>荒草与杂草相结合，广泛分布于评价区</w:t>
      </w:r>
      <w:r>
        <w:t>。此外，评价区内还有工矿用地、交通用地等。</w:t>
      </w:r>
    </w:p>
    <w:p w14:paraId="5F71A0B5" w14:textId="77777777" w:rsidR="00E579B9" w:rsidRDefault="006A1398">
      <w:r>
        <w:t>农作物种类以耐旱的物种为主，种植模式</w:t>
      </w:r>
      <w:r>
        <w:rPr>
          <w:color w:val="000000" w:themeColor="text1"/>
        </w:rPr>
        <w:t>为小麦－花生或小麦－玉米等</w:t>
      </w:r>
      <w:r>
        <w:t>。农业生产处于中等效率运转状态。</w:t>
      </w:r>
    </w:p>
    <w:p w14:paraId="252F35B1" w14:textId="77777777" w:rsidR="00E579B9" w:rsidRDefault="006A1398">
      <w:r>
        <w:rPr>
          <w:rFonts w:ascii="宋体" w:hAnsi="宋体" w:cs="宋体"/>
        </w:rPr>
        <w:fldChar w:fldCharType="begin"/>
      </w:r>
      <w:r>
        <w:rPr>
          <w:rFonts w:ascii="宋体" w:hAnsi="宋体" w:cs="宋体"/>
        </w:rPr>
        <w:instrText xml:space="preserve"> </w:instrText>
      </w:r>
      <w:r>
        <w:rPr>
          <w:rFonts w:ascii="宋体" w:hAnsi="宋体" w:cs="宋体" w:hint="eastAsia"/>
        </w:rPr>
        <w:instrText>= 4 \* GB3</w:instrText>
      </w:r>
      <w:r>
        <w:rPr>
          <w:rFonts w:ascii="宋体" w:hAnsi="宋体" w:cs="宋体"/>
        </w:rPr>
        <w:instrText xml:space="preserve"> </w:instrText>
      </w:r>
      <w:r>
        <w:rPr>
          <w:rFonts w:ascii="宋体" w:hAnsi="宋体" w:cs="宋体"/>
        </w:rPr>
        <w:fldChar w:fldCharType="separate"/>
      </w:r>
      <w:r>
        <w:rPr>
          <w:rFonts w:ascii="宋体" w:hAnsi="宋体" w:cs="宋体" w:hint="eastAsia"/>
        </w:rPr>
        <w:t>④</w:t>
      </w:r>
      <w:r>
        <w:rPr>
          <w:rFonts w:ascii="宋体" w:hAnsi="宋体" w:cs="宋体"/>
        </w:rPr>
        <w:fldChar w:fldCharType="end"/>
      </w:r>
      <w:r>
        <w:t>评价区</w:t>
      </w:r>
      <w:r>
        <w:rPr>
          <w:rFonts w:hint="eastAsia"/>
        </w:rPr>
        <w:t>地形特征以丘陵、岗地为主</w:t>
      </w:r>
      <w:r>
        <w:t>，根据实地调查及</w:t>
      </w:r>
      <w:r>
        <w:rPr>
          <w:rFonts w:hint="eastAsia"/>
        </w:rPr>
        <w:t>驻马店市</w:t>
      </w:r>
      <w:r>
        <w:t>水土流失现状图可知，评价区属于</w:t>
      </w:r>
      <w:r>
        <w:rPr>
          <w:rFonts w:hint="eastAsia"/>
        </w:rPr>
        <w:t>驻马店市水土</w:t>
      </w:r>
      <w:r>
        <w:t>保持重要区域</w:t>
      </w:r>
      <w:r>
        <w:rPr>
          <w:rFonts w:hint="eastAsia"/>
        </w:rPr>
        <w:t>。</w:t>
      </w:r>
    </w:p>
    <w:p w14:paraId="1F2B9D65" w14:textId="77777777" w:rsidR="00E579B9" w:rsidRDefault="006A1398">
      <w:r>
        <w:t>综上所述，评价范围内生态系统随着采石场的开采受到一定程度破坏，部分未开采区域天然植被保护较好，生态功能具有一定的完整性、稳定性和可持续性。总体来说，评价区生态环境处于中等水平。</w:t>
      </w:r>
    </w:p>
    <w:p w14:paraId="6741FA37" w14:textId="77777777" w:rsidR="00E579B9" w:rsidRDefault="006A1398">
      <w:r>
        <w:rPr>
          <w:rFonts w:hint="eastAsia"/>
        </w:rPr>
        <w:t>根据实地调查地表现状条件下没有地裂缝、塌陷、崩塌等现象，也无滑坡、泥石流等其他地质灾害。现状条件下环境地质条件较好。企业未来要切实做到“边开采，边恢复”，进一步加强矿区绿化，将项目矿山开采对生态环境的影响降到最低。</w:t>
      </w:r>
    </w:p>
    <w:p w14:paraId="6928F79B" w14:textId="77777777" w:rsidR="00E579B9" w:rsidRDefault="006A1398">
      <w:pPr>
        <w:pStyle w:val="2"/>
        <w:ind w:firstLine="560"/>
      </w:pPr>
      <w:bookmarkStart w:id="394" w:name="_Toc162358846"/>
      <w:bookmarkStart w:id="395" w:name="_Toc531939598"/>
      <w:bookmarkStart w:id="396" w:name="_Toc180680536"/>
      <w:bookmarkStart w:id="397" w:name="_Toc181088871"/>
      <w:bookmarkStart w:id="398" w:name="_Toc531939387"/>
      <w:bookmarkStart w:id="399" w:name="_Toc187038758"/>
      <w:bookmarkStart w:id="400" w:name="_Toc181089277"/>
      <w:bookmarkStart w:id="401" w:name="_Toc304130814"/>
      <w:bookmarkStart w:id="402" w:name="_Toc33021812"/>
      <w:bookmarkEnd w:id="343"/>
      <w:bookmarkEnd w:id="344"/>
      <w:bookmarkEnd w:id="345"/>
      <w:r>
        <w:rPr>
          <w:rFonts w:hint="eastAsia"/>
        </w:rPr>
        <w:t>6</w:t>
      </w:r>
      <w:r>
        <w:t>.3</w:t>
      </w:r>
      <w:r>
        <w:t>生态环境影响</w:t>
      </w:r>
      <w:r>
        <w:rPr>
          <w:rFonts w:hint="eastAsia"/>
        </w:rPr>
        <w:t>与</w:t>
      </w:r>
      <w:r>
        <w:t>评价</w:t>
      </w:r>
      <w:bookmarkEnd w:id="394"/>
      <w:bookmarkEnd w:id="395"/>
      <w:bookmarkEnd w:id="396"/>
      <w:bookmarkEnd w:id="397"/>
      <w:bookmarkEnd w:id="398"/>
      <w:bookmarkEnd w:id="399"/>
      <w:bookmarkEnd w:id="400"/>
      <w:bookmarkEnd w:id="401"/>
      <w:bookmarkEnd w:id="402"/>
    </w:p>
    <w:p w14:paraId="63AFD72A" w14:textId="77777777" w:rsidR="00E579B9" w:rsidRDefault="006A1398">
      <w:pPr>
        <w:widowControl w:val="0"/>
        <w:spacing w:line="480" w:lineRule="exact"/>
        <w:ind w:firstLine="464"/>
        <w:jc w:val="both"/>
        <w:rPr>
          <w:rFonts w:ascii="宋体" w:hAnsi="宋体" w:cs="宋体"/>
          <w:szCs w:val="24"/>
        </w:rPr>
      </w:pPr>
      <w:r>
        <w:rPr>
          <w:rFonts w:ascii="宋体" w:hAnsi="宋体" w:cs="宋体"/>
          <w:spacing w:val="-4"/>
          <w:szCs w:val="24"/>
        </w:rPr>
        <w:t>本项目建设过程中采区表土剥离</w:t>
      </w:r>
      <w:r>
        <w:rPr>
          <w:rFonts w:ascii="宋体" w:hAnsi="宋体" w:cs="宋体" w:hint="eastAsia"/>
          <w:spacing w:val="-4"/>
          <w:szCs w:val="24"/>
        </w:rPr>
        <w:t>、表土临时堆场</w:t>
      </w:r>
      <w:r>
        <w:rPr>
          <w:rFonts w:ascii="宋体" w:hAnsi="宋体" w:cs="宋体"/>
          <w:spacing w:val="-4"/>
          <w:szCs w:val="24"/>
        </w:rPr>
        <w:t>和道路的修建等会使原地表结构及地面植被遭到破坏，但影响范围有限，仅限于本项目所涉及到的地段。评价将从对植物、动物、生物多样性、土地利用、土壤环境、自然景观及水土保持</w:t>
      </w:r>
      <w:r>
        <w:rPr>
          <w:rFonts w:ascii="宋体" w:hAnsi="宋体" w:cs="宋体" w:hint="eastAsia"/>
          <w:spacing w:val="-4"/>
          <w:szCs w:val="24"/>
        </w:rPr>
        <w:t>、</w:t>
      </w:r>
      <w:r>
        <w:rPr>
          <w:rFonts w:ascii="宋体" w:hAnsi="宋体" w:cs="宋体"/>
          <w:spacing w:val="-4"/>
          <w:szCs w:val="24"/>
        </w:rPr>
        <w:t>地形地貌等8个方面分析工程建设对生态环境的影响</w:t>
      </w:r>
      <w:r>
        <w:rPr>
          <w:rFonts w:ascii="宋体" w:hAnsi="宋体" w:cs="宋体"/>
          <w:szCs w:val="24"/>
        </w:rPr>
        <w:t>。</w:t>
      </w:r>
    </w:p>
    <w:p w14:paraId="6BDE48A3" w14:textId="77777777" w:rsidR="00E579B9" w:rsidRDefault="006A1398">
      <w:pPr>
        <w:pStyle w:val="3"/>
        <w:ind w:firstLine="560"/>
      </w:pPr>
      <w:bookmarkStart w:id="403" w:name="_Toc531939388"/>
      <w:bookmarkStart w:id="404" w:name="_Toc531939599"/>
      <w:r>
        <w:rPr>
          <w:rFonts w:hint="eastAsia"/>
        </w:rPr>
        <w:t>6</w:t>
      </w:r>
      <w:r>
        <w:t>.3.1</w:t>
      </w:r>
      <w:r>
        <w:rPr>
          <w:rFonts w:hint="eastAsia"/>
        </w:rPr>
        <w:t>工程建设对植被的影响</w:t>
      </w:r>
      <w:bookmarkEnd w:id="403"/>
      <w:bookmarkEnd w:id="404"/>
    </w:p>
    <w:p w14:paraId="49958203" w14:textId="77777777" w:rsidR="00E579B9" w:rsidRDefault="006A1398">
      <w:pPr>
        <w:spacing w:line="480" w:lineRule="exact"/>
        <w:rPr>
          <w:rFonts w:ascii="宋体" w:hAnsi="宋体" w:cs="宋体"/>
          <w:szCs w:val="24"/>
        </w:rPr>
      </w:pPr>
      <w:r>
        <w:rPr>
          <w:rFonts w:ascii="宋体" w:hAnsi="宋体" w:cs="宋体"/>
          <w:szCs w:val="24"/>
        </w:rPr>
        <w:t>项目的工程建设会对矿区植被造成一定的破坏，根据现场调查，项目建设可能破坏的植被多为该区域常见种类，破坏后不会减少当地植物种类，不会减少项目区</w:t>
      </w:r>
      <w:r>
        <w:rPr>
          <w:rFonts w:ascii="宋体" w:hAnsi="宋体" w:cs="宋体"/>
          <w:szCs w:val="24"/>
        </w:rPr>
        <w:lastRenderedPageBreak/>
        <w:t>域内的植被类型，但会造成其数量的减少。此外，由于矿区植被数量和覆盖率下降，雨水和地表水的冲刷会导致严重的水土流失。</w:t>
      </w:r>
    </w:p>
    <w:p w14:paraId="07A97D0B" w14:textId="77777777" w:rsidR="00E579B9" w:rsidRDefault="006A1398">
      <w:r>
        <w:rPr>
          <w:rFonts w:hint="eastAsia"/>
        </w:rPr>
        <w:t>本项目建设所产生的污染物主要是无组织排放粉尘、道路扬尘、废水和固体废物。各项污染物均采取了相应的处理设施和处置方案，实现了排污量的最小化（废水不外排），对评价区环境空气、地表水、地下水、区域环境噪声等影响很小，对评价区环境质量影响不大。根据现状调查，评价区动植物多为常见种，无珍贵特殊保护物种。</w:t>
      </w:r>
    </w:p>
    <w:p w14:paraId="0C2EBB35" w14:textId="77777777" w:rsidR="00E579B9" w:rsidRDefault="006A1398">
      <w:r>
        <w:rPr>
          <w:rFonts w:hint="eastAsia"/>
        </w:rPr>
        <w:t>本项目制定了详细的生态恢复规划，要求了恢复面积、恢复时段、恢复后生态系统类型，并落实了恢复规划实施的单位和个人。因此，只要建设单位严格按照评价要求，在建设期，对遗留环境问题进行生态恢复，加强施工管理，减少对植被破坏；在运营期，加强场区及道路绿化，约束工作人员，减少对场区周围植被破坏；在闭矿期，严格落实生态恢复规划，将场区恢复为原有植被及生态系统。</w:t>
      </w:r>
    </w:p>
    <w:p w14:paraId="77D09A2C" w14:textId="77777777" w:rsidR="00E579B9" w:rsidRDefault="006A1398">
      <w:r>
        <w:rPr>
          <w:rFonts w:hint="eastAsia"/>
        </w:rPr>
        <w:t>综上，本项目的建设对植被的破坏很小，而且是暂时的，随着矿区的闭矿将恢复成原有植被及生态系统，因此对评价区植被及生态系统影响不大。</w:t>
      </w:r>
    </w:p>
    <w:p w14:paraId="18B7737C" w14:textId="77777777" w:rsidR="00E579B9" w:rsidRDefault="006A1398">
      <w:pPr>
        <w:pStyle w:val="3"/>
        <w:ind w:firstLine="560"/>
      </w:pPr>
      <w:bookmarkStart w:id="405" w:name="_Toc531939389"/>
      <w:bookmarkStart w:id="406" w:name="_Toc531939600"/>
      <w:r>
        <w:rPr>
          <w:rFonts w:hint="eastAsia"/>
        </w:rPr>
        <w:t>6</w:t>
      </w:r>
      <w:r>
        <w:t>.3.2</w:t>
      </w:r>
      <w:r>
        <w:rPr>
          <w:rFonts w:hint="eastAsia"/>
        </w:rPr>
        <w:t>工程建设对动物的影响</w:t>
      </w:r>
      <w:bookmarkEnd w:id="405"/>
      <w:bookmarkEnd w:id="406"/>
    </w:p>
    <w:p w14:paraId="50D62C4B" w14:textId="77777777" w:rsidR="00E579B9" w:rsidRDefault="006A1398">
      <w:pPr>
        <w:widowControl w:val="0"/>
        <w:spacing w:line="480" w:lineRule="exact"/>
        <w:jc w:val="both"/>
        <w:rPr>
          <w:rFonts w:ascii="宋体" w:hAnsi="宋体" w:cs="宋体"/>
          <w:szCs w:val="24"/>
        </w:rPr>
      </w:pPr>
      <w:bookmarkStart w:id="407" w:name="_Toc531939390"/>
      <w:bookmarkStart w:id="408" w:name="_Toc531939601"/>
      <w:r>
        <w:rPr>
          <w:rFonts w:ascii="宋体" w:hAnsi="宋体" w:cs="宋体" w:hint="eastAsia"/>
          <w:szCs w:val="24"/>
        </w:rPr>
        <w:t>本项目对野生动物的影响，主要发生在露采场、表土堆场等工程建设、运行过程中。施工人员的活动和机械噪声等将会对施工区及周围一定范围内野生动物的活动和栖息产生一定影响；施工期施工区域内自然植被的破坏，会使一些野生动物失去部分觅食地、栖息场所和活动区域，对野生动物的生存环境产生轻微的不利影响；项目工程占地占用了野生动物的栖息地，引起野生动物局部的迁移，使其群落组成和数量发生一定变化。</w:t>
      </w:r>
    </w:p>
    <w:p w14:paraId="436E27B1" w14:textId="77777777" w:rsidR="00E579B9" w:rsidRDefault="006A1398">
      <w:pPr>
        <w:widowControl w:val="0"/>
        <w:spacing w:line="480" w:lineRule="exact"/>
        <w:jc w:val="both"/>
        <w:rPr>
          <w:rFonts w:ascii="宋体" w:hAnsi="宋体" w:cs="宋体"/>
          <w:szCs w:val="24"/>
        </w:rPr>
      </w:pPr>
      <w:r>
        <w:rPr>
          <w:rFonts w:ascii="宋体" w:hAnsi="宋体" w:cs="宋体" w:hint="eastAsia"/>
          <w:szCs w:val="24"/>
        </w:rPr>
        <w:t>由于该区人类常期活动的影响，区内没有发现大型动物及需保护动物、鸟类。主要为常见的羊、牛、猪、狗、草兔、鼠类和爬行类动物及鸟类。因此项目建设仅会对动物群落组成和数量造成一定影响，不会造成种群灭绝现象，对野生动物的不利影响是轻微的。</w:t>
      </w:r>
    </w:p>
    <w:p w14:paraId="73F58119" w14:textId="77777777" w:rsidR="00E579B9" w:rsidRDefault="006A1398">
      <w:pPr>
        <w:pStyle w:val="3"/>
        <w:ind w:firstLine="560"/>
      </w:pPr>
      <w:r>
        <w:rPr>
          <w:rFonts w:hint="eastAsia"/>
        </w:rPr>
        <w:t>6</w:t>
      </w:r>
      <w:r>
        <w:t>.3.3</w:t>
      </w:r>
      <w:r>
        <w:rPr>
          <w:rFonts w:hint="eastAsia"/>
        </w:rPr>
        <w:t>工程建设</w:t>
      </w:r>
      <w:r>
        <w:t>对</w:t>
      </w:r>
      <w:r>
        <w:rPr>
          <w:rFonts w:hint="eastAsia"/>
        </w:rPr>
        <w:t>区域生态</w:t>
      </w:r>
      <w:r>
        <w:t>的影响</w:t>
      </w:r>
      <w:bookmarkEnd w:id="407"/>
      <w:bookmarkEnd w:id="408"/>
    </w:p>
    <w:p w14:paraId="2C668715" w14:textId="77777777" w:rsidR="00E579B9" w:rsidRDefault="006A1398">
      <w:r>
        <w:rPr>
          <w:rFonts w:hint="eastAsia"/>
        </w:rPr>
        <w:lastRenderedPageBreak/>
        <w:t>由于自然资源开发项目的实施会影响到区域生境的生态，因而，该区域的生产能力和稳定状况将发生改变。本评价从自然体系生产能力和稳定状况两方面对生态进行评价，预测内容是以背景区域生态学基本特征，建设项目的影响途径，区域生境抗御内外干扰的能力和受到破坏以后的恢复能力来进行的。</w:t>
      </w:r>
    </w:p>
    <w:p w14:paraId="7458F2CA" w14:textId="77777777" w:rsidR="00E579B9" w:rsidRDefault="006A1398">
      <w:r>
        <w:rPr>
          <w:rFonts w:hint="eastAsia"/>
        </w:rPr>
        <w:t>（</w:t>
      </w:r>
      <w:r>
        <w:rPr>
          <w:rFonts w:hint="eastAsia"/>
        </w:rPr>
        <w:t>1</w:t>
      </w:r>
      <w:r>
        <w:rPr>
          <w:rFonts w:hint="eastAsia"/>
        </w:rPr>
        <w:t>）自然系统生产能力的变化</w:t>
      </w:r>
    </w:p>
    <w:p w14:paraId="13671823" w14:textId="77777777" w:rsidR="00E579B9" w:rsidRDefault="006A1398">
      <w:r>
        <w:rPr>
          <w:rFonts w:hint="eastAsia"/>
        </w:rPr>
        <w:t>当评价区域内植被具有较强的生产能力时，可以对受到干扰的自然体系提供修补能力，有利于维持生态平衡。当人类活动大量占有植被面积，过多地干扰植被修补能力，自然体系就有可能失去原有的平衡，由平均生产力较高的自然体系衰退到生产力较低级别的自然体系。因此本次评价重点对拟建矿区内自然体系生产能力变化程度进行预测。工程项目的修复和支护、弃土碎石堆放等，将不可避免的破坏一定面积的植被（疏林、灌草），第一性生产力的基质呈不可逆的破坏。工程占地引起生产力降低，因此平均生产能力呈下降趋势。</w:t>
      </w:r>
    </w:p>
    <w:p w14:paraId="7515A7CA" w14:textId="77777777" w:rsidR="00E579B9" w:rsidRDefault="006A1398">
      <w:r>
        <w:rPr>
          <w:rFonts w:hint="eastAsia"/>
        </w:rPr>
        <w:t>（</w:t>
      </w:r>
      <w:r>
        <w:rPr>
          <w:rFonts w:hint="eastAsia"/>
        </w:rPr>
        <w:t>2</w:t>
      </w:r>
      <w:r>
        <w:rPr>
          <w:rFonts w:hint="eastAsia"/>
        </w:rPr>
        <w:t>）自然体系稳定状况</w:t>
      </w:r>
    </w:p>
    <w:p w14:paraId="5AD2EF9C" w14:textId="77777777" w:rsidR="00E579B9" w:rsidRDefault="006A1398">
      <w:r>
        <w:rPr>
          <w:rFonts w:hint="eastAsia"/>
        </w:rPr>
        <w:t>自然体系的稳定和不稳定是对立统一的，由于各种生态因素的变化，自然体系处于波动平衡状态。自然体系的稳定性有两个特征即阻抗和恢复，阻抗是系统在环境变化或潜在干扰时反抗或阻止变化的能力；恢复是系统被改变后返回原来状态的能力，用返回所需要的时间来衡量。因此本次评价该工程对自然体系稳定状况的影响，主要从阻抗和稳定性恢复两方面来度量。</w:t>
      </w:r>
    </w:p>
    <w:p w14:paraId="693F1DFE" w14:textId="77777777" w:rsidR="00E579B9" w:rsidRDefault="006A1398">
      <w:r>
        <w:rPr>
          <w:rFonts w:hint="eastAsia"/>
        </w:rPr>
        <w:t>①自然体系恢复稳定性</w:t>
      </w:r>
    </w:p>
    <w:p w14:paraId="356E8FD0" w14:textId="77777777" w:rsidR="00E579B9" w:rsidRDefault="006A1398">
      <w:r>
        <w:rPr>
          <w:rFonts w:hint="eastAsia"/>
        </w:rPr>
        <w:t>评价区域生态体系由具备不同稳定性和不稳定性的元素构成的。裸岩、道路等为最稳定元素，储存于生物体内中的能量也很少，属于封闭系统。树木、哺乳动物为高亚稳定性元素，具有较高的生物量和生命周期较长的特点，属于开放系统。因此，对生态体系恢复稳定性的度量，采取对植被生物量进行度量的方法来进行，自然体系恢复稳定性的度量标准是生产能力，拟建项目实施后，评价区内自然体系的平均生产能力下降幅度不大，仍接近原来的生产力水平，故工程实施后对自然体系恢复稳定性的影响不大，系统是可以承受的。</w:t>
      </w:r>
    </w:p>
    <w:p w14:paraId="6D8FDFAC" w14:textId="77777777" w:rsidR="00E579B9" w:rsidRDefault="006A1398">
      <w:r>
        <w:rPr>
          <w:rFonts w:hint="eastAsia"/>
        </w:rPr>
        <w:t>②自然体系阻抗稳定性</w:t>
      </w:r>
    </w:p>
    <w:p w14:paraId="4384C3C4" w14:textId="77777777" w:rsidR="00E579B9" w:rsidRDefault="006A1398">
      <w:r>
        <w:rPr>
          <w:rFonts w:hint="eastAsia"/>
        </w:rPr>
        <w:lastRenderedPageBreak/>
        <w:t>阻抗稳定性与高亚稳定性元素的数量、空间分布及其异质化程度密切相关。异质性使人类生存的生态体系具有长期的稳定性和必要的抵御干扰的柔韧性。由于异质性的组分具有不同的生态位，给动植物物种的栖息、移动以及抵御内外干扰提供了复杂和微妙的相应利用关系。自然体系阻抗稳定性的度量标准是异质性程度。</w:t>
      </w:r>
    </w:p>
    <w:p w14:paraId="575720D3" w14:textId="77777777" w:rsidR="00E579B9" w:rsidRDefault="006A1398">
      <w:r>
        <w:rPr>
          <w:rFonts w:hint="eastAsia"/>
        </w:rPr>
        <w:t>该工程实施和运行后对植被的空间分布影响不大，具有动态控制能力的组分在时间上、空间上、物种种类数量上均未发生大的变异，当某一特定嵌块是干扰源时，而相邻的嵌块就可能形成了障碍物，从而抗御生态体系内外干扰，因此，该工程施工期和运营期对自然体系的异质优化程度影响不大。</w:t>
      </w:r>
    </w:p>
    <w:p w14:paraId="44932AB3" w14:textId="77777777" w:rsidR="00E579B9" w:rsidRDefault="006A1398">
      <w:r>
        <w:rPr>
          <w:rFonts w:hint="eastAsia"/>
        </w:rPr>
        <w:t>③生态完整性</w:t>
      </w:r>
    </w:p>
    <w:p w14:paraId="5CD9EC05" w14:textId="77777777" w:rsidR="00E579B9" w:rsidRDefault="006A1398">
      <w:r>
        <w:rPr>
          <w:rFonts w:hint="eastAsia"/>
        </w:rPr>
        <w:t>矿山开采将首先对评价区域自然体系的生态完整性带来不利影响，但是矿石采掘完成后，通过对临时道路和工业场地的治理，以及露天采坑的填充，区域内自然体系的生产能力应有所恢复。工程对自然体系生产能力和恢复稳定性的影响是可以接受的。又由于工程直接占地对评价区域自然组分的异质化影响不大，</w:t>
      </w:r>
    </w:p>
    <w:p w14:paraId="2F40513C" w14:textId="77777777" w:rsidR="00E579B9" w:rsidRDefault="006A1398">
      <w:r>
        <w:rPr>
          <w:rFonts w:hint="eastAsia"/>
        </w:rPr>
        <w:t>因此，对评价区自然体系生态现状的影响是可以接受的，但要加强生态环境保护措施，提出减少生态环境影响的工程措施，保护生态环境质量。</w:t>
      </w:r>
    </w:p>
    <w:p w14:paraId="51794755" w14:textId="77777777" w:rsidR="00E579B9" w:rsidRDefault="006A1398">
      <w:pPr>
        <w:pStyle w:val="3"/>
        <w:ind w:firstLine="560"/>
      </w:pPr>
      <w:bookmarkStart w:id="409" w:name="_Toc531939602"/>
      <w:bookmarkStart w:id="410" w:name="_Toc531939391"/>
      <w:r>
        <w:rPr>
          <w:rFonts w:hint="eastAsia"/>
        </w:rPr>
        <w:t>6</w:t>
      </w:r>
      <w:r>
        <w:t>.3.4</w:t>
      </w:r>
      <w:r>
        <w:rPr>
          <w:rFonts w:hint="eastAsia"/>
        </w:rPr>
        <w:t>工程建设</w:t>
      </w:r>
      <w:r>
        <w:t>对土地利用的影响</w:t>
      </w:r>
      <w:bookmarkEnd w:id="409"/>
      <w:bookmarkEnd w:id="410"/>
    </w:p>
    <w:p w14:paraId="34B26E3B" w14:textId="77777777" w:rsidR="00E579B9" w:rsidRDefault="006A1398">
      <w:pPr>
        <w:rPr>
          <w:rFonts w:cs="Times New Roman"/>
          <w:spacing w:val="12"/>
          <w:szCs w:val="24"/>
        </w:rPr>
      </w:pPr>
      <w:r>
        <w:t>本项目</w:t>
      </w:r>
      <w:r>
        <w:rPr>
          <w:rFonts w:hint="eastAsia"/>
        </w:rPr>
        <w:t>矿区</w:t>
      </w:r>
      <w:r>
        <w:t>占地面积</w:t>
      </w:r>
      <w:r>
        <w:rPr>
          <w:rFonts w:hint="eastAsia"/>
        </w:rPr>
        <w:t>共</w:t>
      </w:r>
      <w:r>
        <w:rPr>
          <w:szCs w:val="28"/>
        </w:rPr>
        <w:t>0.2965</w:t>
      </w:r>
      <w:r>
        <w:rPr>
          <w:rFonts w:hint="eastAsia"/>
          <w:szCs w:val="28"/>
        </w:rPr>
        <w:t>km</w:t>
      </w:r>
      <w:r>
        <w:rPr>
          <w:rFonts w:hint="eastAsia"/>
          <w:szCs w:val="28"/>
          <w:vertAlign w:val="superscript"/>
        </w:rPr>
        <w:t>2</w:t>
      </w:r>
      <w:r>
        <w:t>，根据《土地利用总体规划图（</w:t>
      </w:r>
      <w:r>
        <w:t>2010-2020</w:t>
      </w:r>
      <w:r>
        <w:t>）》，</w:t>
      </w:r>
      <w:r>
        <w:rPr>
          <w:rFonts w:cs="Times New Roman" w:hint="eastAsia"/>
          <w:spacing w:val="12"/>
          <w:szCs w:val="24"/>
        </w:rPr>
        <w:t>占地面积详见下表。</w:t>
      </w:r>
    </w:p>
    <w:p w14:paraId="3C3BABEB" w14:textId="77777777" w:rsidR="00E579B9" w:rsidRDefault="006A1398">
      <w:pPr>
        <w:pStyle w:val="21"/>
      </w:pPr>
      <w:r>
        <w:rPr>
          <w:rFonts w:hint="eastAsia"/>
        </w:rPr>
        <w:t>6.</w:t>
      </w:r>
      <w:r>
        <w:t>3</w:t>
      </w:r>
      <w:r>
        <w:rPr>
          <w:rFonts w:hint="eastAsia"/>
        </w:rPr>
        <w:t>-</w:t>
      </w:r>
      <w:r>
        <w:t>1</w:t>
      </w:r>
      <w:r>
        <w:rPr>
          <w:rFonts w:hint="eastAsia"/>
        </w:rPr>
        <w:t>本项目露采区</w:t>
      </w:r>
      <w:r>
        <w:rPr>
          <w:kern w:val="0"/>
        </w:rPr>
        <w:t>占地情况一览表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2398"/>
        <w:gridCol w:w="2152"/>
        <w:gridCol w:w="2067"/>
      </w:tblGrid>
      <w:tr w:rsidR="00E579B9" w14:paraId="6FC56D02" w14:textId="77777777">
        <w:trPr>
          <w:trHeight w:val="320"/>
          <w:jc w:val="center"/>
        </w:trPr>
        <w:tc>
          <w:tcPr>
            <w:tcW w:w="2103" w:type="dxa"/>
            <w:vAlign w:val="center"/>
          </w:tcPr>
          <w:p w14:paraId="583F3215" w14:textId="77777777" w:rsidR="00E579B9" w:rsidRDefault="006A1398">
            <w:pPr>
              <w:pStyle w:val="aa"/>
            </w:pPr>
            <w:r>
              <w:rPr>
                <w:rFonts w:hint="eastAsia"/>
              </w:rPr>
              <w:t>地类</w:t>
            </w:r>
            <w:r>
              <w:t>名称</w:t>
            </w:r>
          </w:p>
        </w:tc>
        <w:tc>
          <w:tcPr>
            <w:tcW w:w="2398" w:type="dxa"/>
            <w:vAlign w:val="center"/>
          </w:tcPr>
          <w:p w14:paraId="0B71360F" w14:textId="77777777" w:rsidR="00E579B9" w:rsidRDefault="006A1398">
            <w:pPr>
              <w:pStyle w:val="aa"/>
            </w:pPr>
            <w:r>
              <w:rPr>
                <w:rFonts w:hint="eastAsia"/>
              </w:rPr>
              <w:t>面积</w:t>
            </w:r>
            <w:r>
              <w:t>（</w:t>
            </w:r>
            <w:r>
              <w:rPr>
                <w:rFonts w:hint="eastAsia"/>
              </w:rPr>
              <w:t>平方米</w:t>
            </w:r>
            <w:r>
              <w:t>）</w:t>
            </w:r>
          </w:p>
        </w:tc>
        <w:tc>
          <w:tcPr>
            <w:tcW w:w="2152" w:type="dxa"/>
            <w:vAlign w:val="center"/>
          </w:tcPr>
          <w:p w14:paraId="11339C8B" w14:textId="77777777" w:rsidR="00E579B9" w:rsidRDefault="006A1398">
            <w:pPr>
              <w:pStyle w:val="aa"/>
            </w:pPr>
            <w:r>
              <w:rPr>
                <w:rFonts w:hint="eastAsia"/>
              </w:rPr>
              <w:t>面积</w:t>
            </w:r>
            <w:r>
              <w:t>（</w:t>
            </w:r>
            <w:r>
              <w:rPr>
                <w:rFonts w:hint="eastAsia"/>
              </w:rPr>
              <w:t>亩</w:t>
            </w:r>
            <w:r>
              <w:t>）</w:t>
            </w:r>
          </w:p>
        </w:tc>
        <w:tc>
          <w:tcPr>
            <w:tcW w:w="2067" w:type="dxa"/>
          </w:tcPr>
          <w:p w14:paraId="040931BA" w14:textId="77777777" w:rsidR="00E579B9" w:rsidRDefault="006A1398">
            <w:pPr>
              <w:pStyle w:val="aa"/>
            </w:pPr>
            <w:r>
              <w:t>比例</w:t>
            </w:r>
          </w:p>
        </w:tc>
      </w:tr>
      <w:tr w:rsidR="00E579B9" w14:paraId="0E2E3722" w14:textId="77777777">
        <w:trPr>
          <w:trHeight w:val="135"/>
          <w:jc w:val="center"/>
        </w:trPr>
        <w:tc>
          <w:tcPr>
            <w:tcW w:w="2103" w:type="dxa"/>
          </w:tcPr>
          <w:p w14:paraId="03F3C7A9" w14:textId="77777777" w:rsidR="00E579B9" w:rsidRDefault="006A1398">
            <w:pPr>
              <w:pStyle w:val="aa"/>
            </w:pPr>
            <w:r>
              <w:rPr>
                <w:rFonts w:hint="eastAsia"/>
              </w:rPr>
              <w:t>灌木</w:t>
            </w:r>
            <w:r>
              <w:t>林地</w:t>
            </w:r>
          </w:p>
        </w:tc>
        <w:tc>
          <w:tcPr>
            <w:tcW w:w="2398" w:type="dxa"/>
          </w:tcPr>
          <w:p w14:paraId="3A3F6175" w14:textId="77777777" w:rsidR="00E579B9" w:rsidRDefault="006A1398">
            <w:pPr>
              <w:pStyle w:val="aa"/>
            </w:pPr>
            <w:r>
              <w:rPr>
                <w:rFonts w:hint="eastAsia"/>
              </w:rPr>
              <w:t>242834.06</w:t>
            </w:r>
          </w:p>
        </w:tc>
        <w:tc>
          <w:tcPr>
            <w:tcW w:w="2152" w:type="dxa"/>
          </w:tcPr>
          <w:p w14:paraId="2C8A8EC9" w14:textId="77777777" w:rsidR="00E579B9" w:rsidRDefault="006A1398">
            <w:pPr>
              <w:pStyle w:val="aa"/>
            </w:pPr>
            <w:r>
              <w:rPr>
                <w:rFonts w:hint="eastAsia"/>
              </w:rPr>
              <w:t>364</w:t>
            </w:r>
            <w:r>
              <w:t>.24</w:t>
            </w:r>
          </w:p>
        </w:tc>
        <w:tc>
          <w:tcPr>
            <w:tcW w:w="2067" w:type="dxa"/>
          </w:tcPr>
          <w:p w14:paraId="5A948138" w14:textId="77777777" w:rsidR="00E579B9" w:rsidRDefault="006A1398">
            <w:pPr>
              <w:pStyle w:val="aa"/>
            </w:pPr>
            <w:r>
              <w:rPr>
                <w:rFonts w:hint="eastAsia"/>
              </w:rPr>
              <w:t>82.35%</w:t>
            </w:r>
          </w:p>
        </w:tc>
      </w:tr>
      <w:tr w:rsidR="00E579B9" w14:paraId="3FF31F9E" w14:textId="77777777">
        <w:trPr>
          <w:trHeight w:val="156"/>
          <w:jc w:val="center"/>
        </w:trPr>
        <w:tc>
          <w:tcPr>
            <w:tcW w:w="2103" w:type="dxa"/>
            <w:vAlign w:val="center"/>
          </w:tcPr>
          <w:p w14:paraId="1E05DB83" w14:textId="77777777" w:rsidR="00E579B9" w:rsidRDefault="006A1398">
            <w:pPr>
              <w:pStyle w:val="aa"/>
            </w:pPr>
            <w:r>
              <w:rPr>
                <w:rFonts w:hint="eastAsia"/>
              </w:rPr>
              <w:t>采矿用地</w:t>
            </w:r>
          </w:p>
        </w:tc>
        <w:tc>
          <w:tcPr>
            <w:tcW w:w="2398" w:type="dxa"/>
            <w:vAlign w:val="center"/>
          </w:tcPr>
          <w:p w14:paraId="61C2E0FE" w14:textId="77777777" w:rsidR="00E579B9" w:rsidRDefault="006A1398">
            <w:pPr>
              <w:pStyle w:val="aa"/>
            </w:pPr>
            <w:r>
              <w:rPr>
                <w:rFonts w:hint="eastAsia"/>
              </w:rPr>
              <w:t>41326.91</w:t>
            </w:r>
          </w:p>
        </w:tc>
        <w:tc>
          <w:tcPr>
            <w:tcW w:w="2152" w:type="dxa"/>
            <w:vAlign w:val="center"/>
          </w:tcPr>
          <w:p w14:paraId="0C3E5727" w14:textId="77777777" w:rsidR="00E579B9" w:rsidRDefault="006A1398">
            <w:pPr>
              <w:pStyle w:val="aa"/>
            </w:pPr>
            <w:r>
              <w:rPr>
                <w:rFonts w:hint="eastAsia"/>
              </w:rPr>
              <w:t>61.98</w:t>
            </w:r>
          </w:p>
        </w:tc>
        <w:tc>
          <w:tcPr>
            <w:tcW w:w="2067" w:type="dxa"/>
          </w:tcPr>
          <w:p w14:paraId="4EA235B4" w14:textId="77777777" w:rsidR="00E579B9" w:rsidRDefault="006A1398">
            <w:pPr>
              <w:pStyle w:val="aa"/>
            </w:pPr>
            <w:r>
              <w:rPr>
                <w:rFonts w:hint="eastAsia"/>
              </w:rPr>
              <w:t>14</w:t>
            </w:r>
            <w:r>
              <w:t>.01</w:t>
            </w:r>
            <w:r>
              <w:rPr>
                <w:rFonts w:hint="eastAsia"/>
              </w:rPr>
              <w:t>%</w:t>
            </w:r>
          </w:p>
        </w:tc>
      </w:tr>
      <w:tr w:rsidR="00E579B9" w14:paraId="3A59274C" w14:textId="77777777">
        <w:trPr>
          <w:trHeight w:val="156"/>
          <w:jc w:val="center"/>
        </w:trPr>
        <w:tc>
          <w:tcPr>
            <w:tcW w:w="2103" w:type="dxa"/>
          </w:tcPr>
          <w:p w14:paraId="6D10D972" w14:textId="77777777" w:rsidR="00E579B9" w:rsidRDefault="006A1398">
            <w:pPr>
              <w:pStyle w:val="aa"/>
            </w:pPr>
            <w:r>
              <w:rPr>
                <w:rFonts w:hint="eastAsia"/>
              </w:rPr>
              <w:t>村庄</w:t>
            </w:r>
          </w:p>
        </w:tc>
        <w:tc>
          <w:tcPr>
            <w:tcW w:w="2398" w:type="dxa"/>
          </w:tcPr>
          <w:p w14:paraId="3A72DD94" w14:textId="77777777" w:rsidR="00E579B9" w:rsidRDefault="006A1398">
            <w:pPr>
              <w:pStyle w:val="aa"/>
            </w:pPr>
            <w:r>
              <w:rPr>
                <w:rFonts w:hint="eastAsia"/>
              </w:rPr>
              <w:t>499.32</w:t>
            </w:r>
          </w:p>
        </w:tc>
        <w:tc>
          <w:tcPr>
            <w:tcW w:w="2152" w:type="dxa"/>
          </w:tcPr>
          <w:p w14:paraId="63AB57A5" w14:textId="77777777" w:rsidR="00E579B9" w:rsidRDefault="006A1398">
            <w:pPr>
              <w:pStyle w:val="aa"/>
            </w:pPr>
            <w:r>
              <w:rPr>
                <w:rFonts w:hint="eastAsia"/>
              </w:rPr>
              <w:t>0.75</w:t>
            </w:r>
          </w:p>
        </w:tc>
        <w:tc>
          <w:tcPr>
            <w:tcW w:w="2067" w:type="dxa"/>
          </w:tcPr>
          <w:p w14:paraId="3F4E4FD3" w14:textId="77777777" w:rsidR="00E579B9" w:rsidRDefault="006A1398">
            <w:pPr>
              <w:pStyle w:val="aa"/>
            </w:pPr>
            <w:r>
              <w:rPr>
                <w:rFonts w:hint="eastAsia"/>
              </w:rPr>
              <w:t>0.17%</w:t>
            </w:r>
          </w:p>
        </w:tc>
      </w:tr>
      <w:tr w:rsidR="00E579B9" w14:paraId="151F1DE5" w14:textId="77777777">
        <w:trPr>
          <w:trHeight w:val="156"/>
          <w:jc w:val="center"/>
        </w:trPr>
        <w:tc>
          <w:tcPr>
            <w:tcW w:w="2103" w:type="dxa"/>
            <w:vAlign w:val="center"/>
          </w:tcPr>
          <w:p w14:paraId="094559B1" w14:textId="77777777" w:rsidR="00E579B9" w:rsidRDefault="006A1398">
            <w:pPr>
              <w:pStyle w:val="aa"/>
            </w:pPr>
            <w:r>
              <w:rPr>
                <w:rFonts w:hint="eastAsia"/>
              </w:rPr>
              <w:t>其他</w:t>
            </w:r>
            <w:r>
              <w:t>草地</w:t>
            </w:r>
          </w:p>
        </w:tc>
        <w:tc>
          <w:tcPr>
            <w:tcW w:w="2398" w:type="dxa"/>
            <w:vAlign w:val="center"/>
          </w:tcPr>
          <w:p w14:paraId="448E8EED" w14:textId="77777777" w:rsidR="00E579B9" w:rsidRDefault="006A1398">
            <w:pPr>
              <w:pStyle w:val="aa"/>
            </w:pPr>
            <w:r>
              <w:rPr>
                <w:rFonts w:hint="eastAsia"/>
              </w:rPr>
              <w:t>10244.03</w:t>
            </w:r>
          </w:p>
        </w:tc>
        <w:tc>
          <w:tcPr>
            <w:tcW w:w="2152" w:type="dxa"/>
            <w:vAlign w:val="center"/>
          </w:tcPr>
          <w:p w14:paraId="2C0DF9B5" w14:textId="77777777" w:rsidR="00E579B9" w:rsidRDefault="006A1398">
            <w:pPr>
              <w:pStyle w:val="aa"/>
            </w:pPr>
            <w:r>
              <w:rPr>
                <w:rFonts w:hint="eastAsia"/>
              </w:rPr>
              <w:t>15.36</w:t>
            </w:r>
          </w:p>
        </w:tc>
        <w:tc>
          <w:tcPr>
            <w:tcW w:w="2067" w:type="dxa"/>
          </w:tcPr>
          <w:p w14:paraId="2F3165E7" w14:textId="77777777" w:rsidR="00E579B9" w:rsidRDefault="006A1398">
            <w:pPr>
              <w:pStyle w:val="aa"/>
            </w:pPr>
            <w:r>
              <w:rPr>
                <w:rFonts w:hint="eastAsia"/>
              </w:rPr>
              <w:t>3.47%</w:t>
            </w:r>
          </w:p>
        </w:tc>
      </w:tr>
      <w:tr w:rsidR="00E579B9" w14:paraId="4113432C" w14:textId="77777777">
        <w:trPr>
          <w:trHeight w:val="156"/>
          <w:jc w:val="center"/>
        </w:trPr>
        <w:tc>
          <w:tcPr>
            <w:tcW w:w="2103" w:type="dxa"/>
            <w:vAlign w:val="center"/>
          </w:tcPr>
          <w:p w14:paraId="65CA9EE6" w14:textId="77777777" w:rsidR="00E579B9" w:rsidRDefault="006A1398">
            <w:pPr>
              <w:pStyle w:val="aa"/>
            </w:pPr>
            <w:r>
              <w:rPr>
                <w:rFonts w:hint="eastAsia"/>
              </w:rPr>
              <w:t>总计</w:t>
            </w:r>
          </w:p>
        </w:tc>
        <w:tc>
          <w:tcPr>
            <w:tcW w:w="2398" w:type="dxa"/>
            <w:shd w:val="clear" w:color="auto" w:fill="auto"/>
            <w:vAlign w:val="center"/>
          </w:tcPr>
          <w:p w14:paraId="293ECD0D" w14:textId="77777777" w:rsidR="00E579B9" w:rsidRDefault="006A1398">
            <w:pPr>
              <w:pStyle w:val="aa"/>
              <w:rPr>
                <w:rFonts w:cs="宋体"/>
                <w:kern w:val="0"/>
                <w:szCs w:val="24"/>
              </w:rPr>
            </w:pPr>
            <w:r>
              <w:rPr>
                <w:rFonts w:hint="eastAsia"/>
              </w:rPr>
              <w:t>294904.32</w:t>
            </w:r>
          </w:p>
        </w:tc>
        <w:tc>
          <w:tcPr>
            <w:tcW w:w="2152" w:type="dxa"/>
            <w:shd w:val="clear" w:color="auto" w:fill="auto"/>
            <w:vAlign w:val="center"/>
          </w:tcPr>
          <w:p w14:paraId="694D29FC" w14:textId="77777777" w:rsidR="00E579B9" w:rsidRDefault="006A1398">
            <w:pPr>
              <w:pStyle w:val="aa"/>
            </w:pPr>
            <w:r>
              <w:rPr>
                <w:rFonts w:hint="eastAsia"/>
              </w:rPr>
              <w:t>442.33</w:t>
            </w:r>
          </w:p>
        </w:tc>
        <w:tc>
          <w:tcPr>
            <w:tcW w:w="2067" w:type="dxa"/>
          </w:tcPr>
          <w:p w14:paraId="5050A693" w14:textId="77777777" w:rsidR="00E579B9" w:rsidRDefault="006A1398">
            <w:pPr>
              <w:pStyle w:val="aa"/>
            </w:pPr>
            <w:r>
              <w:rPr>
                <w:rFonts w:hint="eastAsia"/>
              </w:rPr>
              <w:t>1</w:t>
            </w:r>
            <w:r>
              <w:t>00%</w:t>
            </w:r>
          </w:p>
        </w:tc>
      </w:tr>
    </w:tbl>
    <w:p w14:paraId="1B04CCCC" w14:textId="77777777" w:rsidR="00E579B9" w:rsidRDefault="006A1398">
      <w:pPr>
        <w:pStyle w:val="226"/>
        <w:rPr>
          <w:rFonts w:cs="Times New Roman"/>
          <w:kern w:val="0"/>
        </w:rPr>
      </w:pPr>
      <w:r>
        <w:rPr>
          <w:rFonts w:cs="Times New Roman"/>
          <w:kern w:val="0"/>
        </w:rPr>
        <w:t>项目实施后，原有的用地性质均变为工矿用地，由于占地面积较大，工矿用地面积对土地利用现状结构产生一定影响，需在本项目施工期、运营期以及闭矿期采取生态保护及恢复整治措施。工程建设期根据平面布置对对矿区专用道路两侧进行绿化，种植单排乔木，间距</w:t>
      </w:r>
      <w:r>
        <w:rPr>
          <w:rFonts w:cs="Times New Roman"/>
          <w:kern w:val="0"/>
        </w:rPr>
        <w:t>2-3m</w:t>
      </w:r>
      <w:r>
        <w:rPr>
          <w:rFonts w:cs="Times New Roman"/>
          <w:kern w:val="0"/>
        </w:rPr>
        <w:t>；在矿山生产运行过程中，将采取本评价和水保方案提出</w:t>
      </w:r>
      <w:r>
        <w:rPr>
          <w:rFonts w:cs="Times New Roman"/>
          <w:kern w:val="0"/>
        </w:rPr>
        <w:lastRenderedPageBreak/>
        <w:t>的措施，及时对采场已开采的部分进行整治，露天采场边开采边治理，形成一个台阶治理一个台阶，未开采到但已剥离的采面应先采取覆盖抑尘网的措施，已开采完毕的台阶应在开采结束后及时进行生态恢复，覆土、绿化，播撒草籽，防止露采区地表裸露加大区域水土流失。同时根据工程特点，分期封闭采场，对露天采场进行复垦，满足生态恢复的需要，逐步恢复至原有生态。待闭矿后对采场进行封闭、平整覆土，对破碎站拆除设备，平整覆土，恢复其原有生态环境，同时对表土堆场采取生态恢复措施。最终</w:t>
      </w:r>
      <w:r>
        <w:rPr>
          <w:rFonts w:cs="Times New Roman"/>
          <w:bCs/>
          <w:iCs/>
          <w:kern w:val="0"/>
        </w:rPr>
        <w:t>恢复面积</w:t>
      </w:r>
      <w:r>
        <w:rPr>
          <w:rFonts w:cs="Times New Roman" w:hint="eastAsia"/>
          <w:bCs/>
          <w:iCs/>
          <w:kern w:val="0"/>
        </w:rPr>
        <w:t>34.25</w:t>
      </w:r>
      <w:r>
        <w:rPr>
          <w:rFonts w:cs="Times New Roman"/>
          <w:bCs/>
          <w:iCs/>
          <w:kern w:val="0"/>
        </w:rPr>
        <w:t>hm</w:t>
      </w:r>
      <w:r>
        <w:rPr>
          <w:rFonts w:cs="Times New Roman"/>
          <w:bCs/>
          <w:iCs/>
          <w:kern w:val="0"/>
          <w:vertAlign w:val="superscript"/>
        </w:rPr>
        <w:t>2</w:t>
      </w:r>
      <w:r>
        <w:rPr>
          <w:rFonts w:cs="Times New Roman"/>
          <w:bCs/>
          <w:iCs/>
          <w:kern w:val="0"/>
        </w:rPr>
        <w:t>，绿化覆盖率达</w:t>
      </w:r>
      <w:r>
        <w:rPr>
          <w:rFonts w:cs="Times New Roman"/>
          <w:bCs/>
          <w:iCs/>
          <w:kern w:val="0"/>
        </w:rPr>
        <w:t>98.</w:t>
      </w:r>
      <w:r>
        <w:rPr>
          <w:rFonts w:cs="Times New Roman" w:hint="eastAsia"/>
          <w:bCs/>
          <w:iCs/>
          <w:kern w:val="0"/>
        </w:rPr>
        <w:t>5</w:t>
      </w:r>
      <w:r>
        <w:rPr>
          <w:rFonts w:cs="Times New Roman"/>
          <w:bCs/>
          <w:iCs/>
          <w:kern w:val="0"/>
        </w:rPr>
        <w:t>%</w:t>
      </w:r>
      <w:r>
        <w:rPr>
          <w:rFonts w:cs="Times New Roman"/>
          <w:bCs/>
          <w:iCs/>
          <w:kern w:val="0"/>
        </w:rPr>
        <w:t>。</w:t>
      </w:r>
    </w:p>
    <w:p w14:paraId="22317179" w14:textId="77777777" w:rsidR="00E579B9" w:rsidRDefault="006A1398">
      <w:r>
        <w:rPr>
          <w:rFonts w:hint="eastAsia"/>
        </w:rPr>
        <w:t>在</w:t>
      </w:r>
      <w:r>
        <w:t>该工程的实施过程中，将采取本评价和水保方案提出的措施，及时对</w:t>
      </w:r>
      <w:r>
        <w:rPr>
          <w:rFonts w:hint="eastAsia"/>
        </w:rPr>
        <w:t>基建期、</w:t>
      </w:r>
      <w:r>
        <w:t>产期废石进行治理；矿山服务期满后，将会对</w:t>
      </w:r>
      <w:r>
        <w:rPr>
          <w:rFonts w:hint="eastAsia"/>
        </w:rPr>
        <w:t>采坑</w:t>
      </w:r>
      <w:r>
        <w:t>、</w:t>
      </w:r>
      <w:r>
        <w:rPr>
          <w:rFonts w:hint="eastAsia"/>
        </w:rPr>
        <w:t>工厂</w:t>
      </w:r>
      <w:r>
        <w:t>等区域有针对性地实施生态恢复措施，工程建设造成生物量减少的实际影响不大，项目运行造成的生物量减小和植物群落连通性变差的影响是可逆的，最终对评价区生态系统实际影响不大。</w:t>
      </w:r>
    </w:p>
    <w:p w14:paraId="5DDAEDBF" w14:textId="77777777" w:rsidR="00E579B9" w:rsidRDefault="006A1398">
      <w:r>
        <w:t>工程启动后到闭矿期将持续进行生态恢复，工业场地和</w:t>
      </w:r>
      <w:r>
        <w:rPr>
          <w:rFonts w:hint="eastAsia"/>
        </w:rPr>
        <w:t>临时表土场</w:t>
      </w:r>
      <w:r>
        <w:t>都将作为生态恢复用地的重要组成进行复垦，最终地表扰动有效治理率达到</w:t>
      </w:r>
      <w:r>
        <w:t>70%</w:t>
      </w:r>
      <w:r>
        <w:t>。项目占地对生态环境影响是暂时的，项目建设最终对区域生态环境影响不大。</w:t>
      </w:r>
      <w:r>
        <w:rPr>
          <w:rFonts w:hint="eastAsia"/>
        </w:rPr>
        <w:t>评价建议项目开工建设前建设单位应依法办理占用各类土地手续，在严格履行相关手续后，可将项目对土地利用的影响降至最低。</w:t>
      </w:r>
    </w:p>
    <w:p w14:paraId="32DF9A78" w14:textId="77777777" w:rsidR="00E579B9" w:rsidRDefault="006A1398">
      <w:pPr>
        <w:pStyle w:val="3"/>
        <w:ind w:firstLine="560"/>
      </w:pPr>
      <w:bookmarkStart w:id="411" w:name="_Toc531939603"/>
      <w:bookmarkStart w:id="412" w:name="_Toc531939392"/>
      <w:r>
        <w:rPr>
          <w:rFonts w:hint="eastAsia"/>
        </w:rPr>
        <w:t>6</w:t>
      </w:r>
      <w:r>
        <w:t>.3.5</w:t>
      </w:r>
      <w:r>
        <w:rPr>
          <w:rFonts w:hint="eastAsia"/>
        </w:rPr>
        <w:t>运营生产</w:t>
      </w:r>
      <w:r>
        <w:t>对水土流失的影响分析</w:t>
      </w:r>
      <w:bookmarkEnd w:id="411"/>
      <w:bookmarkEnd w:id="412"/>
    </w:p>
    <w:p w14:paraId="4735BE84" w14:textId="77777777" w:rsidR="00E579B9" w:rsidRDefault="006A1398">
      <w:r>
        <w:rPr>
          <w:rFonts w:hint="eastAsia"/>
        </w:rPr>
        <w:t>本项目矿体开采过程中形成松散裸露堆积的矿石和表土，如不采取切实可行的防治措施，就很容易造成严重的水土流失，影响周边生态环境。</w:t>
      </w:r>
    </w:p>
    <w:p w14:paraId="73DAAE62" w14:textId="77777777" w:rsidR="00E579B9" w:rsidRDefault="006A1398">
      <w:pPr>
        <w:pStyle w:val="226"/>
        <w:rPr>
          <w:rFonts w:cs="Times New Roman"/>
          <w:bCs/>
          <w:kern w:val="0"/>
        </w:rPr>
      </w:pPr>
      <w:r>
        <w:rPr>
          <w:rFonts w:cs="Times New Roman" w:hint="eastAsia"/>
          <w:bCs/>
          <w:kern w:val="0"/>
        </w:rPr>
        <w:t>6.3.5.1</w:t>
      </w:r>
      <w:r>
        <w:rPr>
          <w:rFonts w:cs="Times New Roman"/>
          <w:bCs/>
          <w:kern w:val="0"/>
        </w:rPr>
        <w:t>土壤影响</w:t>
      </w:r>
    </w:p>
    <w:p w14:paraId="2760DD0A" w14:textId="77777777" w:rsidR="00E579B9" w:rsidRDefault="006A1398">
      <w:pPr>
        <w:pStyle w:val="226"/>
        <w:rPr>
          <w:rFonts w:cs="Times New Roman"/>
          <w:bCs/>
          <w:kern w:val="0"/>
        </w:rPr>
      </w:pPr>
      <w:r>
        <w:rPr>
          <w:rFonts w:cs="Times New Roman"/>
          <w:bCs/>
          <w:kern w:val="0"/>
        </w:rPr>
        <w:t>表土剥离、挖方的堆存将会占用部分土地，改变土地的原有功能，对当地土壤环境造成较大影响。施工过程中，各种机械设备和车辆排放的废气、丢弃的固体废物及生活污水等，也将对土壤环境产生一定的影响。表土等固体废物，如处理不当，在雨水淋涮冲洗的作用下，将对周围的土壤造成一定的污染。</w:t>
      </w:r>
    </w:p>
    <w:p w14:paraId="4A0C90CA" w14:textId="77777777" w:rsidR="00E579B9" w:rsidRDefault="006A1398">
      <w:pPr>
        <w:pStyle w:val="226"/>
        <w:rPr>
          <w:rFonts w:cs="Times New Roman"/>
          <w:bCs/>
          <w:kern w:val="0"/>
        </w:rPr>
      </w:pPr>
      <w:r>
        <w:rPr>
          <w:rFonts w:cs="Times New Roman"/>
          <w:bCs/>
          <w:kern w:val="0"/>
        </w:rPr>
        <w:t>本项目在地面施工过程中，应尽量避免在春季大风季节以及夏季暴雨时节进行</w:t>
      </w:r>
      <w:r>
        <w:rPr>
          <w:rFonts w:cs="Times New Roman"/>
          <w:bCs/>
          <w:kern w:val="0"/>
        </w:rPr>
        <w:lastRenderedPageBreak/>
        <w:t>作业。对于施工破坏区，施工完毕，要及时平整土地，并种植适宜的植物，以防止发生新的土壤侵蚀。在采取以上措施后，本项目对土壤的影响较小。</w:t>
      </w:r>
    </w:p>
    <w:p w14:paraId="5F1B6C26" w14:textId="77777777" w:rsidR="00E579B9" w:rsidRDefault="006A1398">
      <w:pPr>
        <w:pStyle w:val="226"/>
        <w:rPr>
          <w:rFonts w:cs="Times New Roman"/>
          <w:kern w:val="0"/>
        </w:rPr>
      </w:pPr>
      <w:r>
        <w:rPr>
          <w:rFonts w:cs="Times New Roman" w:hint="eastAsia"/>
          <w:kern w:val="0"/>
        </w:rPr>
        <w:t>6.3.5.2</w:t>
      </w:r>
      <w:r>
        <w:rPr>
          <w:rFonts w:cs="Times New Roman"/>
          <w:kern w:val="0"/>
        </w:rPr>
        <w:t>水土流失影响</w:t>
      </w:r>
    </w:p>
    <w:p w14:paraId="3A10D4AF" w14:textId="77777777" w:rsidR="00E579B9" w:rsidRDefault="006A1398">
      <w:pPr>
        <w:rPr>
          <w:color w:val="000000"/>
          <w:szCs w:val="28"/>
        </w:rPr>
      </w:pPr>
      <w:r>
        <w:rPr>
          <w:rFonts w:hint="eastAsia"/>
        </w:rPr>
        <w:t>本项目矿山开采过程中产生的水土流失可能造成的影响有：在开采过程中将破坏原有的水土保持设施和地表植被，土体被剥离、扰动，土壤可蚀性相应增加，抗侵蚀能力降低，地形切割加剧，从而导致土壤侵蚀程度加大，水土流失增加；同时开挖形成的边坡，会造成水土流失，破坏矿山地面景观。开采过程中将增加裸露地面，并引起局部的水土流失，对区内生态系统产生一定的不利影响。</w:t>
      </w:r>
      <w:r>
        <w:rPr>
          <w:rFonts w:hint="eastAsia"/>
          <w:color w:val="000000"/>
          <w:szCs w:val="28"/>
        </w:rPr>
        <w:t>临时表土场</w:t>
      </w:r>
      <w:r>
        <w:rPr>
          <w:color w:val="000000"/>
          <w:szCs w:val="28"/>
        </w:rPr>
        <w:t>是本项目产生水土流失较大的区域，主要发生在运</w:t>
      </w:r>
      <w:r>
        <w:rPr>
          <w:rFonts w:hint="eastAsia"/>
          <w:color w:val="000000"/>
          <w:szCs w:val="28"/>
        </w:rPr>
        <w:t>营</w:t>
      </w:r>
      <w:r>
        <w:rPr>
          <w:color w:val="000000"/>
          <w:szCs w:val="28"/>
        </w:rPr>
        <w:t>期，在弃土没有利用时，一定要采取临时防护措施防止堆存表土流失。</w:t>
      </w:r>
      <w:r>
        <w:rPr>
          <w:rFonts w:hint="eastAsia"/>
          <w:color w:val="000000"/>
          <w:szCs w:val="28"/>
        </w:rPr>
        <w:t>建设单位已委托有资质单位编制水土保持方案，对水土流失的影响进行预测并提出完善的水保防治措施。</w:t>
      </w:r>
    </w:p>
    <w:p w14:paraId="32BC001D" w14:textId="77777777" w:rsidR="00E579B9" w:rsidRDefault="006A1398">
      <w:r>
        <w:rPr>
          <w:rFonts w:hint="eastAsia"/>
          <w:color w:val="000000"/>
          <w:szCs w:val="28"/>
        </w:rPr>
        <w:t>6.3.5.3</w:t>
      </w:r>
      <w:r>
        <w:rPr>
          <w:rFonts w:hint="eastAsia"/>
        </w:rPr>
        <w:t>简要水土保持方案</w:t>
      </w:r>
    </w:p>
    <w:p w14:paraId="715D1766" w14:textId="77777777" w:rsidR="00E579B9" w:rsidRDefault="006A1398">
      <w:r>
        <w:rPr>
          <w:rFonts w:hint="eastAsia"/>
        </w:rPr>
        <w:t>本项目尚未编制完成水土保持方案，本次评价根据水土保持方案相关要求，提出简要水土保持方案。</w:t>
      </w:r>
    </w:p>
    <w:p w14:paraId="1B578D1B" w14:textId="77777777" w:rsidR="00E579B9" w:rsidRDefault="006A1398">
      <w:r>
        <w:rPr>
          <w:rFonts w:hint="eastAsia"/>
        </w:rPr>
        <w:t>（</w:t>
      </w:r>
      <w:r>
        <w:rPr>
          <w:rFonts w:hint="eastAsia"/>
        </w:rPr>
        <w:t>1</w:t>
      </w:r>
      <w:r>
        <w:rPr>
          <w:rFonts w:hint="eastAsia"/>
        </w:rPr>
        <w:t>）水土保持防治分区</w:t>
      </w:r>
    </w:p>
    <w:p w14:paraId="08CD11C3" w14:textId="77777777" w:rsidR="00E579B9" w:rsidRDefault="006A1398">
      <w:r>
        <w:t>根据项目所在地水土流失特征、地貌类型、场地布置情况，本工程水土保持防治分区</w:t>
      </w:r>
      <w:r>
        <w:rPr>
          <w:rFonts w:hint="eastAsia"/>
        </w:rPr>
        <w:t>可分为四</w:t>
      </w:r>
      <w:r>
        <w:t>个区，即</w:t>
      </w:r>
      <w:r>
        <w:rPr>
          <w:rFonts w:hAnsi="宋体"/>
        </w:rPr>
        <w:t>①</w:t>
      </w:r>
      <w:r>
        <w:rPr>
          <w:rFonts w:hint="eastAsia"/>
        </w:rPr>
        <w:t>露采场防治区</w:t>
      </w:r>
      <w:r>
        <w:t>；</w:t>
      </w:r>
      <w:r>
        <w:rPr>
          <w:rFonts w:hAnsi="宋体"/>
        </w:rPr>
        <w:t>②</w:t>
      </w:r>
      <w:r>
        <w:rPr>
          <w:rFonts w:hAnsi="宋体" w:hint="eastAsia"/>
        </w:rPr>
        <w:t>表土临时堆场</w:t>
      </w:r>
      <w:r>
        <w:rPr>
          <w:rFonts w:hint="eastAsia"/>
        </w:rPr>
        <w:t>防治分</w:t>
      </w:r>
      <w:r>
        <w:t>区；</w:t>
      </w:r>
      <w:r>
        <w:rPr>
          <w:rFonts w:hAnsi="宋体"/>
        </w:rPr>
        <w:t>③</w:t>
      </w:r>
      <w:r>
        <w:t>运矿道路</w:t>
      </w:r>
      <w:r>
        <w:rPr>
          <w:rFonts w:hint="eastAsia"/>
        </w:rPr>
        <w:t>防治分</w:t>
      </w:r>
      <w:r>
        <w:t>区</w:t>
      </w:r>
      <w:r>
        <w:rPr>
          <w:rFonts w:hint="eastAsia"/>
        </w:rPr>
        <w:t>；④工业场地防治区。</w:t>
      </w:r>
    </w:p>
    <w:p w14:paraId="3E2F2E39" w14:textId="77777777" w:rsidR="00E579B9" w:rsidRDefault="006A1398">
      <w:r>
        <w:rPr>
          <w:rFonts w:hint="eastAsia"/>
        </w:rPr>
        <w:t>（</w:t>
      </w:r>
      <w:r>
        <w:rPr>
          <w:rFonts w:hint="eastAsia"/>
        </w:rPr>
        <w:t>2</w:t>
      </w:r>
      <w:r>
        <w:rPr>
          <w:rFonts w:hint="eastAsia"/>
        </w:rPr>
        <w:t>）水土保持防治措施</w:t>
      </w:r>
    </w:p>
    <w:p w14:paraId="330D0604" w14:textId="77777777" w:rsidR="00E579B9" w:rsidRDefault="006A1398">
      <w:r>
        <w:rPr>
          <w:rFonts w:hAnsi="宋体"/>
        </w:rPr>
        <w:t>①</w:t>
      </w:r>
      <w:r>
        <w:t>施工期水土防治措施</w:t>
      </w:r>
    </w:p>
    <w:p w14:paraId="15ACA1F8" w14:textId="77777777" w:rsidR="00E579B9" w:rsidRDefault="006A1398">
      <w:r>
        <w:rPr>
          <w:rFonts w:ascii="宋体" w:hAnsi="宋体" w:cs="宋体" w:hint="eastAsia"/>
        </w:rPr>
        <w:t>A、</w:t>
      </w:r>
      <w:r>
        <w:t>优化施工工艺，合理设计施工时序，尽量减少基坑开挖、矿区道路建设施工中临时堆土的裸露时间，对基坑开挖及其他施工过程中回填剩余土方及时清运；</w:t>
      </w:r>
    </w:p>
    <w:p w14:paraId="1ACE6AC2" w14:textId="77777777" w:rsidR="00E579B9" w:rsidRDefault="006A1398">
      <w:r>
        <w:rPr>
          <w:rFonts w:ascii="宋体" w:hAnsi="宋体" w:cs="宋体" w:hint="eastAsia"/>
        </w:rPr>
        <w:t>B、</w:t>
      </w:r>
      <w:r>
        <w:t>施工过程中的各种堆弃渣要防止随意堆弃，工程建设中尽量做到挖填平衡，施工过程中贯彻</w:t>
      </w:r>
      <w:r>
        <w:t>“</w:t>
      </w:r>
      <w:r>
        <w:t>先拦后弃</w:t>
      </w:r>
      <w:r>
        <w:t>”</w:t>
      </w:r>
      <w:r>
        <w:t>的原则，做好土方调配工作；</w:t>
      </w:r>
    </w:p>
    <w:p w14:paraId="7BE248C6" w14:textId="77777777" w:rsidR="00E579B9" w:rsidRDefault="006A1398">
      <w:r>
        <w:rPr>
          <w:rFonts w:ascii="宋体" w:hAnsi="宋体" w:cs="宋体" w:hint="eastAsia"/>
        </w:rPr>
        <w:t>C、</w:t>
      </w:r>
      <w:r>
        <w:t>对已实施的水土流失防治措施，应加强管护，建立行之有效的管护制度，使之尽快发挥水土保持效益；</w:t>
      </w:r>
    </w:p>
    <w:p w14:paraId="330ECBE4" w14:textId="77777777" w:rsidR="00E579B9" w:rsidRDefault="006A1398">
      <w:r>
        <w:rPr>
          <w:rFonts w:ascii="宋体" w:hAnsi="宋体" w:cs="宋体" w:hint="eastAsia"/>
        </w:rPr>
        <w:lastRenderedPageBreak/>
        <w:t>D、</w:t>
      </w:r>
      <w:r>
        <w:t>尽量缩短水土流失敏感部位的施工工期，减少疏松地面的裸露时间，合理安排施工时间；</w:t>
      </w:r>
    </w:p>
    <w:p w14:paraId="59B0BC53" w14:textId="77777777" w:rsidR="00E579B9" w:rsidRDefault="006A1398">
      <w:r>
        <w:rPr>
          <w:rFonts w:ascii="宋体" w:hAnsi="宋体" w:cs="宋体" w:hint="eastAsia"/>
        </w:rPr>
        <w:t>E、</w:t>
      </w:r>
      <w:r>
        <w:t>施工时施工机械和施工人员要按照规划的施工平面位置和通道进行操作，不得乱占土地，防止破坏植被，加剧水土流失。</w:t>
      </w:r>
    </w:p>
    <w:p w14:paraId="6C359577" w14:textId="77777777" w:rsidR="00E579B9" w:rsidRDefault="006A1398">
      <w:r>
        <w:rPr>
          <w:rFonts w:hAnsi="宋体"/>
        </w:rPr>
        <w:t>②</w:t>
      </w:r>
      <w:r>
        <w:t>运营期水土防治措施</w:t>
      </w:r>
    </w:p>
    <w:p w14:paraId="5EB3E3D9" w14:textId="77777777" w:rsidR="00E579B9" w:rsidRDefault="006A1398">
      <w:r>
        <w:rPr>
          <w:rFonts w:ascii="宋体" w:hAnsi="宋体" w:cs="宋体" w:hint="eastAsia"/>
        </w:rPr>
        <w:t>A、</w:t>
      </w:r>
      <w:r>
        <w:rPr>
          <w:rFonts w:hint="eastAsia"/>
        </w:rPr>
        <w:t>露采场</w:t>
      </w:r>
      <w:r>
        <w:t>防治区</w:t>
      </w:r>
    </w:p>
    <w:p w14:paraId="3638F225" w14:textId="77777777" w:rsidR="00E579B9" w:rsidRDefault="006A1398">
      <w:r>
        <w:rPr>
          <w:rFonts w:hint="eastAsia"/>
        </w:rPr>
        <w:t>矿山开采区</w:t>
      </w:r>
      <w:r>
        <w:t>顶部</w:t>
      </w:r>
      <w:r>
        <w:rPr>
          <w:rFonts w:hint="eastAsia"/>
        </w:rPr>
        <w:t>设</w:t>
      </w:r>
      <w:r>
        <w:t>截排水</w:t>
      </w:r>
      <w:r>
        <w:rPr>
          <w:rFonts w:hint="eastAsia"/>
        </w:rPr>
        <w:t>沟，</w:t>
      </w:r>
      <w:r>
        <w:t>截排水沟下游沉沙池、开采运行期终了平台的覆土绿化</w:t>
      </w:r>
      <w:r>
        <w:rPr>
          <w:rFonts w:hint="eastAsia"/>
        </w:rPr>
        <w:t>，</w:t>
      </w:r>
      <w:r>
        <w:t>避免因工程建设造成水土流失。</w:t>
      </w:r>
      <w:r>
        <w:rPr>
          <w:rFonts w:hint="eastAsia"/>
        </w:rPr>
        <w:t>项目矿石开采时应及时运输，不在采场内长时间堆存矿石。</w:t>
      </w:r>
    </w:p>
    <w:p w14:paraId="41AE4803" w14:textId="77777777" w:rsidR="00E579B9" w:rsidRDefault="006A1398">
      <w:pPr>
        <w:rPr>
          <w:rFonts w:ascii="宋体" w:hAnsi="宋体" w:cs="宋体"/>
        </w:rPr>
      </w:pPr>
      <w:r>
        <w:rPr>
          <w:rFonts w:ascii="宋体" w:hAnsi="宋体" w:cs="宋体" w:hint="eastAsia"/>
        </w:rPr>
        <w:t>B、表土临时堆场防治区</w:t>
      </w:r>
    </w:p>
    <w:p w14:paraId="560D7B5F" w14:textId="77777777" w:rsidR="00E579B9" w:rsidRDefault="006A1398">
      <w:pPr>
        <w:rPr>
          <w:rFonts w:ascii="宋体" w:hAnsi="宋体" w:cs="宋体"/>
        </w:rPr>
      </w:pPr>
      <w:r>
        <w:t>表土临时堆场</w:t>
      </w:r>
      <w:r>
        <w:rPr>
          <w:rFonts w:hint="eastAsia"/>
        </w:rPr>
        <w:t>底部设置挡土墙，两侧</w:t>
      </w:r>
      <w:r>
        <w:t>采用装土编织袋进行挡护，并在装土编织袋</w:t>
      </w:r>
      <w:r>
        <w:rPr>
          <w:rFonts w:hint="eastAsia"/>
        </w:rPr>
        <w:t>旁</w:t>
      </w:r>
      <w:r>
        <w:t>开挖截排水沟，顶部播撒草籽绿化</w:t>
      </w:r>
      <w:r>
        <w:rPr>
          <w:rFonts w:hint="eastAsia"/>
        </w:rPr>
        <w:t>。</w:t>
      </w:r>
      <w:r>
        <w:t>矿山基建和运营期过程中产生的</w:t>
      </w:r>
      <w:r>
        <w:rPr>
          <w:rFonts w:hint="eastAsia"/>
        </w:rPr>
        <w:t>表土妥善堆存至表土堆场内</w:t>
      </w:r>
      <w:r>
        <w:t>，运营期满后，用于矿区的生态恢复</w:t>
      </w:r>
      <w:r>
        <w:rPr>
          <w:rFonts w:hint="eastAsia"/>
        </w:rPr>
        <w:t>。</w:t>
      </w:r>
    </w:p>
    <w:p w14:paraId="5E42D502" w14:textId="77777777" w:rsidR="00E579B9" w:rsidRDefault="006A1398">
      <w:r>
        <w:rPr>
          <w:rFonts w:hint="eastAsia"/>
        </w:rPr>
        <w:t>C</w:t>
      </w:r>
      <w:r>
        <w:t>矿区道路防治区</w:t>
      </w:r>
    </w:p>
    <w:p w14:paraId="44F2A457" w14:textId="77777777" w:rsidR="00E579B9" w:rsidRDefault="006A1398">
      <w:r>
        <w:t>运矿道路修建</w:t>
      </w:r>
      <w:r>
        <w:rPr>
          <w:bCs/>
        </w:rPr>
        <w:t>路基护坡，</w:t>
      </w:r>
      <w:r>
        <w:t>两侧设置排水沟，均采取植被措施进行绿化，以避免水土流失。</w:t>
      </w:r>
    </w:p>
    <w:p w14:paraId="2B9765B0" w14:textId="77777777" w:rsidR="00E579B9" w:rsidRDefault="006A1398">
      <w:r>
        <w:rPr>
          <w:rFonts w:hint="eastAsia"/>
        </w:rPr>
        <w:t>D</w:t>
      </w:r>
      <w:r>
        <w:rPr>
          <w:rFonts w:hint="eastAsia"/>
        </w:rPr>
        <w:t>、</w:t>
      </w:r>
      <w:r>
        <w:t>工业场地防治区</w:t>
      </w:r>
    </w:p>
    <w:p w14:paraId="6A24E0BC" w14:textId="77777777" w:rsidR="00E579B9" w:rsidRDefault="006A1398">
      <w:r>
        <w:rPr>
          <w:rFonts w:hint="eastAsia"/>
        </w:rPr>
        <w:t>在工业场地周围布置砼场地排水沟，以实现坡面径流和场地内径流的有序排放。在场地空闲区域内植树种草，在防治水土流失的同时美化环境。</w:t>
      </w:r>
    </w:p>
    <w:p w14:paraId="23CE774C" w14:textId="77777777" w:rsidR="00E579B9" w:rsidRDefault="006A1398">
      <w:r>
        <w:rPr>
          <w:rFonts w:hint="eastAsia"/>
        </w:rPr>
        <w:t>（</w:t>
      </w:r>
      <w:r>
        <w:rPr>
          <w:rFonts w:hint="eastAsia"/>
        </w:rPr>
        <w:t>4</w:t>
      </w:r>
      <w:r>
        <w:rPr>
          <w:rFonts w:hint="eastAsia"/>
        </w:rPr>
        <w:t>）防治措施总体布局</w:t>
      </w:r>
    </w:p>
    <w:p w14:paraId="42C360C5" w14:textId="77777777" w:rsidR="00E579B9" w:rsidRDefault="006A1398">
      <w:pPr>
        <w:rPr>
          <w:rFonts w:hAnsi="宋体"/>
        </w:rPr>
      </w:pPr>
      <w:r>
        <w:rPr>
          <w:rFonts w:hint="eastAsia"/>
        </w:rPr>
        <w:t>本次评价建议</w:t>
      </w:r>
      <w:r>
        <w:rPr>
          <w:rFonts w:hAnsi="宋体"/>
        </w:rPr>
        <w:t>水土保持防治措施总体布设情况见表</w:t>
      </w:r>
      <w:r>
        <w:rPr>
          <w:rFonts w:hint="eastAsia"/>
        </w:rPr>
        <w:t>6.3-2</w:t>
      </w:r>
      <w:r>
        <w:rPr>
          <w:rFonts w:hAnsi="宋体"/>
        </w:rPr>
        <w:t>。</w:t>
      </w:r>
    </w:p>
    <w:p w14:paraId="5C644E51" w14:textId="77777777" w:rsidR="00E579B9" w:rsidRDefault="006A1398">
      <w:pPr>
        <w:jc w:val="center"/>
        <w:rPr>
          <w:rFonts w:ascii="黑体" w:eastAsia="黑体" w:hAnsi="宋体"/>
          <w:kern w:val="0"/>
        </w:rPr>
      </w:pPr>
      <w:r>
        <w:rPr>
          <w:rFonts w:ascii="黑体" w:eastAsia="黑体" w:hAnsi="宋体" w:hint="eastAsia"/>
          <w:kern w:val="0"/>
        </w:rPr>
        <w:t>表6.3-2水土保持防治措施总体布局表</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4001"/>
        <w:gridCol w:w="2675"/>
      </w:tblGrid>
      <w:tr w:rsidR="00E579B9" w14:paraId="28B610FC" w14:textId="77777777">
        <w:trPr>
          <w:trHeight w:val="70"/>
        </w:trPr>
        <w:tc>
          <w:tcPr>
            <w:tcW w:w="2044" w:type="dxa"/>
            <w:vMerge w:val="restart"/>
            <w:vAlign w:val="center"/>
          </w:tcPr>
          <w:p w14:paraId="0F1D50B8" w14:textId="77777777" w:rsidR="00E579B9" w:rsidRDefault="006A1398">
            <w:pPr>
              <w:ind w:firstLine="420"/>
              <w:rPr>
                <w:rFonts w:ascii="宋体" w:hAnsi="宋体"/>
                <w:kern w:val="0"/>
                <w:sz w:val="21"/>
                <w:szCs w:val="21"/>
              </w:rPr>
            </w:pPr>
            <w:r>
              <w:rPr>
                <w:rFonts w:ascii="宋体" w:hAnsi="宋体"/>
                <w:kern w:val="0"/>
                <w:sz w:val="21"/>
                <w:szCs w:val="21"/>
              </w:rPr>
              <w:t>防</w:t>
            </w:r>
            <w:r>
              <w:rPr>
                <w:rFonts w:ascii="宋体" w:hAnsi="宋体" w:hint="eastAsia"/>
                <w:kern w:val="0"/>
                <w:sz w:val="21"/>
                <w:szCs w:val="21"/>
              </w:rPr>
              <w:t>治</w:t>
            </w:r>
            <w:r>
              <w:rPr>
                <w:rFonts w:ascii="宋体" w:hAnsi="宋体"/>
                <w:kern w:val="0"/>
                <w:sz w:val="21"/>
                <w:szCs w:val="21"/>
              </w:rPr>
              <w:t>分区</w:t>
            </w:r>
          </w:p>
        </w:tc>
        <w:tc>
          <w:tcPr>
            <w:tcW w:w="6676" w:type="dxa"/>
            <w:gridSpan w:val="2"/>
            <w:vAlign w:val="center"/>
          </w:tcPr>
          <w:p w14:paraId="72AE6DC5" w14:textId="77777777" w:rsidR="00E579B9" w:rsidRDefault="006A1398">
            <w:pPr>
              <w:ind w:firstLine="420"/>
              <w:rPr>
                <w:rFonts w:ascii="宋体" w:hAnsi="宋体"/>
                <w:kern w:val="0"/>
                <w:sz w:val="21"/>
                <w:szCs w:val="21"/>
              </w:rPr>
            </w:pPr>
            <w:r>
              <w:rPr>
                <w:rFonts w:ascii="宋体" w:hAnsi="宋体"/>
                <w:kern w:val="0"/>
                <w:sz w:val="21"/>
                <w:szCs w:val="21"/>
              </w:rPr>
              <w:t>措施类型</w:t>
            </w:r>
          </w:p>
        </w:tc>
      </w:tr>
      <w:tr w:rsidR="00E579B9" w14:paraId="163BF495" w14:textId="77777777">
        <w:tc>
          <w:tcPr>
            <w:tcW w:w="2044" w:type="dxa"/>
            <w:vMerge/>
            <w:vAlign w:val="center"/>
          </w:tcPr>
          <w:p w14:paraId="6BB6551B" w14:textId="77777777" w:rsidR="00E579B9" w:rsidRDefault="00E579B9">
            <w:pPr>
              <w:ind w:firstLine="420"/>
              <w:rPr>
                <w:rFonts w:ascii="宋体" w:hAnsi="宋体"/>
                <w:kern w:val="0"/>
                <w:sz w:val="21"/>
                <w:szCs w:val="21"/>
              </w:rPr>
            </w:pPr>
          </w:p>
        </w:tc>
        <w:tc>
          <w:tcPr>
            <w:tcW w:w="4001" w:type="dxa"/>
            <w:vAlign w:val="center"/>
          </w:tcPr>
          <w:p w14:paraId="4CEBEA8A" w14:textId="77777777" w:rsidR="00E579B9" w:rsidRDefault="006A1398">
            <w:pPr>
              <w:ind w:firstLine="420"/>
              <w:rPr>
                <w:rFonts w:ascii="宋体" w:hAnsi="宋体"/>
                <w:sz w:val="21"/>
                <w:szCs w:val="21"/>
              </w:rPr>
            </w:pPr>
            <w:r>
              <w:rPr>
                <w:rFonts w:ascii="宋体" w:hAnsi="宋体"/>
                <w:sz w:val="21"/>
                <w:szCs w:val="21"/>
              </w:rPr>
              <w:t>工程措施</w:t>
            </w:r>
          </w:p>
        </w:tc>
        <w:tc>
          <w:tcPr>
            <w:tcW w:w="2675" w:type="dxa"/>
            <w:vAlign w:val="center"/>
          </w:tcPr>
          <w:p w14:paraId="1191822F" w14:textId="77777777" w:rsidR="00E579B9" w:rsidRDefault="006A1398">
            <w:pPr>
              <w:ind w:firstLine="420"/>
              <w:rPr>
                <w:rFonts w:ascii="宋体" w:hAnsi="宋体"/>
                <w:sz w:val="21"/>
                <w:szCs w:val="21"/>
              </w:rPr>
            </w:pPr>
            <w:r>
              <w:rPr>
                <w:rFonts w:ascii="宋体" w:hAnsi="宋体"/>
                <w:sz w:val="21"/>
                <w:szCs w:val="21"/>
              </w:rPr>
              <w:t>植物措施</w:t>
            </w:r>
          </w:p>
        </w:tc>
      </w:tr>
      <w:tr w:rsidR="00E579B9" w14:paraId="191E5E55" w14:textId="77777777">
        <w:tc>
          <w:tcPr>
            <w:tcW w:w="2044" w:type="dxa"/>
            <w:vAlign w:val="center"/>
          </w:tcPr>
          <w:p w14:paraId="1522B1C0" w14:textId="77777777" w:rsidR="00E579B9" w:rsidRDefault="006A1398">
            <w:pPr>
              <w:ind w:firstLine="420"/>
              <w:rPr>
                <w:rFonts w:ascii="宋体" w:hAnsi="宋体"/>
                <w:sz w:val="21"/>
                <w:szCs w:val="21"/>
              </w:rPr>
            </w:pPr>
            <w:r>
              <w:rPr>
                <w:rFonts w:ascii="宋体" w:hAnsi="宋体" w:hint="eastAsia"/>
                <w:sz w:val="21"/>
                <w:szCs w:val="21"/>
              </w:rPr>
              <w:t>露采场</w:t>
            </w:r>
          </w:p>
        </w:tc>
        <w:tc>
          <w:tcPr>
            <w:tcW w:w="4001" w:type="dxa"/>
            <w:vAlign w:val="center"/>
          </w:tcPr>
          <w:p w14:paraId="6F09E060" w14:textId="77777777" w:rsidR="00E579B9" w:rsidRDefault="006A1398">
            <w:pPr>
              <w:ind w:firstLine="420"/>
              <w:rPr>
                <w:rFonts w:ascii="宋体" w:hAnsi="宋体"/>
                <w:sz w:val="21"/>
                <w:szCs w:val="21"/>
              </w:rPr>
            </w:pPr>
            <w:r>
              <w:rPr>
                <w:rFonts w:ascii="宋体" w:hAnsi="宋体" w:hint="eastAsia"/>
                <w:sz w:val="21"/>
                <w:szCs w:val="21"/>
              </w:rPr>
              <w:t>截排水沟、沉砂池</w:t>
            </w:r>
          </w:p>
        </w:tc>
        <w:tc>
          <w:tcPr>
            <w:tcW w:w="2675" w:type="dxa"/>
            <w:vAlign w:val="center"/>
          </w:tcPr>
          <w:p w14:paraId="68F1A39B" w14:textId="77777777" w:rsidR="00E579B9" w:rsidRDefault="006A1398">
            <w:pPr>
              <w:ind w:firstLine="420"/>
              <w:rPr>
                <w:rFonts w:ascii="宋体" w:hAnsi="宋体"/>
                <w:sz w:val="21"/>
                <w:szCs w:val="21"/>
              </w:rPr>
            </w:pPr>
            <w:r>
              <w:rPr>
                <w:rFonts w:ascii="宋体" w:hAnsi="宋体" w:hint="eastAsia"/>
                <w:sz w:val="21"/>
                <w:szCs w:val="21"/>
              </w:rPr>
              <w:t>植树种草</w:t>
            </w:r>
          </w:p>
        </w:tc>
      </w:tr>
      <w:tr w:rsidR="00E579B9" w14:paraId="7AE3512F" w14:textId="77777777">
        <w:tc>
          <w:tcPr>
            <w:tcW w:w="2044" w:type="dxa"/>
            <w:vAlign w:val="center"/>
          </w:tcPr>
          <w:p w14:paraId="3D15A15F" w14:textId="77777777" w:rsidR="00E579B9" w:rsidRDefault="006A1398">
            <w:pPr>
              <w:ind w:firstLine="420"/>
              <w:rPr>
                <w:rFonts w:ascii="宋体" w:hAnsi="宋体"/>
                <w:sz w:val="21"/>
                <w:szCs w:val="21"/>
              </w:rPr>
            </w:pPr>
            <w:r>
              <w:rPr>
                <w:rFonts w:ascii="宋体" w:hAnsi="宋体" w:hint="eastAsia"/>
                <w:sz w:val="21"/>
                <w:szCs w:val="21"/>
              </w:rPr>
              <w:t>表土临时堆场</w:t>
            </w:r>
          </w:p>
        </w:tc>
        <w:tc>
          <w:tcPr>
            <w:tcW w:w="4001" w:type="dxa"/>
            <w:vAlign w:val="center"/>
          </w:tcPr>
          <w:p w14:paraId="01DC7FB9" w14:textId="77777777" w:rsidR="00E579B9" w:rsidRDefault="006A1398">
            <w:pPr>
              <w:ind w:firstLine="420"/>
              <w:rPr>
                <w:rFonts w:ascii="宋体" w:hAnsi="宋体"/>
                <w:sz w:val="21"/>
                <w:szCs w:val="21"/>
              </w:rPr>
            </w:pPr>
            <w:r>
              <w:rPr>
                <w:rFonts w:ascii="宋体" w:hAnsi="宋体" w:hint="eastAsia"/>
                <w:sz w:val="21"/>
                <w:szCs w:val="21"/>
              </w:rPr>
              <w:t>挡渣墙、编织袋拦挡</w:t>
            </w:r>
          </w:p>
        </w:tc>
        <w:tc>
          <w:tcPr>
            <w:tcW w:w="2675" w:type="dxa"/>
            <w:vAlign w:val="center"/>
          </w:tcPr>
          <w:p w14:paraId="031C9741" w14:textId="77777777" w:rsidR="00E579B9" w:rsidRDefault="006A1398">
            <w:pPr>
              <w:ind w:firstLine="404"/>
              <w:rPr>
                <w:rFonts w:ascii="宋体" w:hAnsi="宋体"/>
                <w:sz w:val="21"/>
                <w:szCs w:val="21"/>
              </w:rPr>
            </w:pPr>
            <w:r>
              <w:rPr>
                <w:rFonts w:ascii="宋体" w:hAnsi="宋体" w:hint="eastAsia"/>
                <w:spacing w:val="-4"/>
                <w:sz w:val="21"/>
                <w:szCs w:val="21"/>
              </w:rPr>
              <w:t>撒播草籽</w:t>
            </w:r>
          </w:p>
        </w:tc>
      </w:tr>
      <w:tr w:rsidR="00E579B9" w14:paraId="468762B6" w14:textId="77777777">
        <w:tc>
          <w:tcPr>
            <w:tcW w:w="2044" w:type="dxa"/>
            <w:vAlign w:val="center"/>
          </w:tcPr>
          <w:p w14:paraId="7DAE6E3A" w14:textId="77777777" w:rsidR="00E579B9" w:rsidRDefault="006A1398">
            <w:pPr>
              <w:ind w:firstLine="420"/>
              <w:rPr>
                <w:rFonts w:ascii="宋体" w:hAnsi="宋体"/>
                <w:sz w:val="21"/>
                <w:szCs w:val="21"/>
              </w:rPr>
            </w:pPr>
            <w:r>
              <w:rPr>
                <w:rFonts w:ascii="宋体" w:hAnsi="宋体" w:hint="eastAsia"/>
                <w:sz w:val="21"/>
                <w:szCs w:val="21"/>
              </w:rPr>
              <w:t>矿区道路</w:t>
            </w:r>
          </w:p>
        </w:tc>
        <w:tc>
          <w:tcPr>
            <w:tcW w:w="4001" w:type="dxa"/>
            <w:vAlign w:val="center"/>
          </w:tcPr>
          <w:p w14:paraId="27C7B0DE" w14:textId="77777777" w:rsidR="00E579B9" w:rsidRDefault="006A1398">
            <w:pPr>
              <w:ind w:firstLine="420"/>
              <w:rPr>
                <w:rFonts w:ascii="宋体" w:hAnsi="宋体"/>
                <w:sz w:val="21"/>
                <w:szCs w:val="21"/>
              </w:rPr>
            </w:pPr>
            <w:r>
              <w:rPr>
                <w:rFonts w:ascii="宋体" w:hAnsi="宋体" w:hint="eastAsia"/>
                <w:sz w:val="21"/>
                <w:szCs w:val="21"/>
              </w:rPr>
              <w:t>硬化路面铺筑、排水明沟开挖</w:t>
            </w:r>
          </w:p>
        </w:tc>
        <w:tc>
          <w:tcPr>
            <w:tcW w:w="2675" w:type="dxa"/>
            <w:vAlign w:val="center"/>
          </w:tcPr>
          <w:p w14:paraId="32D8E9A0" w14:textId="77777777" w:rsidR="00E579B9" w:rsidRDefault="006A1398">
            <w:pPr>
              <w:ind w:firstLine="404"/>
              <w:rPr>
                <w:rFonts w:ascii="宋体" w:hAnsi="宋体"/>
                <w:sz w:val="21"/>
                <w:szCs w:val="21"/>
              </w:rPr>
            </w:pPr>
            <w:r>
              <w:rPr>
                <w:rFonts w:ascii="宋体" w:hAnsi="宋体" w:hint="eastAsia"/>
                <w:spacing w:val="-4"/>
                <w:sz w:val="21"/>
                <w:szCs w:val="21"/>
              </w:rPr>
              <w:t>植树种草</w:t>
            </w:r>
          </w:p>
        </w:tc>
      </w:tr>
      <w:tr w:rsidR="00E579B9" w14:paraId="485F94C2" w14:textId="77777777">
        <w:tc>
          <w:tcPr>
            <w:tcW w:w="2044" w:type="dxa"/>
            <w:vAlign w:val="center"/>
          </w:tcPr>
          <w:p w14:paraId="52E2B3D0" w14:textId="77777777" w:rsidR="00E579B9" w:rsidRDefault="006A1398">
            <w:pPr>
              <w:ind w:firstLine="420"/>
              <w:rPr>
                <w:rFonts w:ascii="宋体" w:hAnsi="宋体"/>
                <w:sz w:val="21"/>
                <w:szCs w:val="21"/>
              </w:rPr>
            </w:pPr>
            <w:r>
              <w:rPr>
                <w:rFonts w:ascii="宋体" w:hAnsi="宋体" w:hint="eastAsia"/>
                <w:sz w:val="21"/>
                <w:szCs w:val="21"/>
              </w:rPr>
              <w:lastRenderedPageBreak/>
              <w:t>工业场地</w:t>
            </w:r>
          </w:p>
        </w:tc>
        <w:tc>
          <w:tcPr>
            <w:tcW w:w="4001" w:type="dxa"/>
            <w:vAlign w:val="center"/>
          </w:tcPr>
          <w:p w14:paraId="5E190847" w14:textId="77777777" w:rsidR="00E579B9" w:rsidRDefault="006A1398">
            <w:pPr>
              <w:ind w:firstLine="420"/>
              <w:rPr>
                <w:rFonts w:ascii="宋体" w:hAnsi="宋体"/>
                <w:sz w:val="21"/>
                <w:szCs w:val="21"/>
              </w:rPr>
            </w:pPr>
            <w:r>
              <w:rPr>
                <w:rFonts w:ascii="宋体" w:hAnsi="宋体" w:hint="eastAsia"/>
                <w:sz w:val="21"/>
                <w:szCs w:val="21"/>
              </w:rPr>
              <w:t>基础土方开挖、C</w:t>
            </w:r>
            <w:r>
              <w:rPr>
                <w:rFonts w:ascii="宋体" w:hAnsi="宋体" w:hint="eastAsia"/>
                <w:sz w:val="21"/>
                <w:szCs w:val="21"/>
                <w:vertAlign w:val="subscript"/>
              </w:rPr>
              <w:t>20</w:t>
            </w:r>
            <w:r>
              <w:rPr>
                <w:rFonts w:ascii="宋体" w:hAnsi="宋体" w:hint="eastAsia"/>
                <w:sz w:val="21"/>
                <w:szCs w:val="21"/>
              </w:rPr>
              <w:t>砼排水沟砌筑</w:t>
            </w:r>
          </w:p>
        </w:tc>
        <w:tc>
          <w:tcPr>
            <w:tcW w:w="2675" w:type="dxa"/>
            <w:vAlign w:val="center"/>
          </w:tcPr>
          <w:p w14:paraId="015F8435" w14:textId="77777777" w:rsidR="00E579B9" w:rsidRDefault="006A1398">
            <w:pPr>
              <w:ind w:firstLine="420"/>
              <w:rPr>
                <w:rFonts w:ascii="宋体" w:hAnsi="宋体"/>
                <w:sz w:val="21"/>
                <w:szCs w:val="21"/>
              </w:rPr>
            </w:pPr>
            <w:r>
              <w:rPr>
                <w:rFonts w:ascii="宋体" w:hAnsi="宋体" w:hint="eastAsia"/>
                <w:sz w:val="21"/>
                <w:szCs w:val="21"/>
              </w:rPr>
              <w:t>植树种草</w:t>
            </w:r>
          </w:p>
        </w:tc>
      </w:tr>
    </w:tbl>
    <w:p w14:paraId="15DAB677" w14:textId="77777777" w:rsidR="00E579B9" w:rsidRDefault="006A1398">
      <w:r>
        <w:rPr>
          <w:rFonts w:hint="eastAsia"/>
        </w:rPr>
        <w:t>服务期满后对露采场、工业场地、运矿道路等及时平整，覆土后恢复林地植被。</w:t>
      </w:r>
      <w:r>
        <w:t>严格按照水保和评价提出的水土保持措施后，可减少项目造成的水土流失</w:t>
      </w:r>
      <w:r>
        <w:rPr>
          <w:rFonts w:hint="eastAsia"/>
        </w:rPr>
        <w:t>影响</w:t>
      </w:r>
      <w:r>
        <w:t>。</w:t>
      </w:r>
    </w:p>
    <w:p w14:paraId="0296A5F6" w14:textId="77777777" w:rsidR="00E579B9" w:rsidRDefault="006A1398">
      <w:pPr>
        <w:pStyle w:val="3"/>
        <w:ind w:firstLine="560"/>
      </w:pPr>
      <w:bookmarkStart w:id="413" w:name="_Toc531939393"/>
      <w:bookmarkStart w:id="414" w:name="_Toc531939604"/>
      <w:r>
        <w:rPr>
          <w:rFonts w:hint="eastAsia"/>
        </w:rPr>
        <w:t>6</w:t>
      </w:r>
      <w:r>
        <w:t>.3.6</w:t>
      </w:r>
      <w:r>
        <w:rPr>
          <w:rFonts w:hint="eastAsia"/>
        </w:rPr>
        <w:t>运营生产</w:t>
      </w:r>
      <w:r>
        <w:t>对自然景观的影响分析</w:t>
      </w:r>
      <w:bookmarkEnd w:id="413"/>
      <w:bookmarkEnd w:id="414"/>
    </w:p>
    <w:p w14:paraId="686980B8" w14:textId="77777777" w:rsidR="00E579B9" w:rsidRDefault="006A1398">
      <w:pPr>
        <w:widowControl w:val="0"/>
        <w:spacing w:line="480" w:lineRule="exact"/>
        <w:jc w:val="both"/>
        <w:rPr>
          <w:rFonts w:ascii="宋体" w:hAnsi="宋体" w:cs="宋体"/>
          <w:szCs w:val="24"/>
        </w:rPr>
      </w:pPr>
      <w:bookmarkStart w:id="415" w:name="_Toc531939605"/>
      <w:bookmarkStart w:id="416" w:name="_Toc531939394"/>
      <w:bookmarkStart w:id="417" w:name="_Toc304130815"/>
      <w:bookmarkStart w:id="418" w:name="_Toc231101245"/>
      <w:r>
        <w:rPr>
          <w:rFonts w:ascii="宋体" w:hAnsi="宋体" w:cs="宋体"/>
          <w:szCs w:val="24"/>
        </w:rPr>
        <w:t>本评价区域为较为常见的</w:t>
      </w:r>
      <w:r>
        <w:rPr>
          <w:rFonts w:ascii="宋体" w:hAnsi="宋体" w:cs="宋体" w:hint="eastAsia"/>
          <w:szCs w:val="24"/>
        </w:rPr>
        <w:t>丘陵</w:t>
      </w:r>
      <w:r>
        <w:rPr>
          <w:rFonts w:ascii="宋体" w:hAnsi="宋体" w:cs="宋体"/>
          <w:szCs w:val="24"/>
        </w:rPr>
        <w:t>景观。构成景观的要素为农田、村庄、绿色植被等不同斑块。区域植被以乡土树种松树为主，局部出现栎树、柏树、柳树、杨树等树种，绿地、林地具有一定连接性，连通程度较高。但各斑块或生态系统由于受工程建设的干扰，其稳定性会随区域的变化发生一些变化。影响较大的是露天采场区，不仅地貌发生变化，景观影响显著，而且其生态功能也将丧失。</w:t>
      </w:r>
    </w:p>
    <w:p w14:paraId="327BEF15" w14:textId="77777777" w:rsidR="00E579B9" w:rsidRDefault="006A1398">
      <w:pPr>
        <w:widowControl w:val="0"/>
        <w:spacing w:line="480" w:lineRule="exact"/>
        <w:jc w:val="both"/>
        <w:rPr>
          <w:rFonts w:ascii="宋体" w:hAnsi="宋体" w:cs="宋体"/>
          <w:szCs w:val="24"/>
        </w:rPr>
      </w:pPr>
      <w:r>
        <w:rPr>
          <w:rFonts w:ascii="宋体" w:hAnsi="宋体" w:cs="宋体"/>
          <w:szCs w:val="24"/>
        </w:rPr>
        <w:t>在采场区，项目建设将会在很大程度上改变项目直接实施区域内原有的自然景观，例如：项目的实施对原地表形态、地层层序、植被等发生直接的破坏，</w:t>
      </w:r>
      <w:r>
        <w:rPr>
          <w:rFonts w:ascii="宋体" w:hAnsi="宋体" w:cs="宋体" w:hint="eastAsia"/>
          <w:szCs w:val="24"/>
        </w:rPr>
        <w:t>剥离产生的表土</w:t>
      </w:r>
      <w:r>
        <w:rPr>
          <w:rFonts w:ascii="宋体" w:hAnsi="宋体" w:cs="宋体"/>
          <w:szCs w:val="24"/>
        </w:rPr>
        <w:t>直接堆置于原地貌上，将使施工区域内的自然景观遭受到完全破坏；随着与项目建设同步实施道路的建设，在路基施工中的填挖、取土等一系列的施工活动，形成裸露的边坡、取土坑等一些人为的劣质景观，造成与周围自然景观的不相协调；道路建成后，会对原有的景观进行分隔，造成景观生态系统在空间上的非连续性，使区域内原有的林地景观演化为工业景观，对原有的景观产生一定的影响。但由于工程占地面积较小，且在服务期满后对采区、表土临时堆场及运输道路进行生态恢复，其影响程度会有所降低。</w:t>
      </w:r>
    </w:p>
    <w:p w14:paraId="578FDA1C" w14:textId="77777777" w:rsidR="00E579B9" w:rsidRDefault="006A1398">
      <w:pPr>
        <w:pStyle w:val="3"/>
        <w:ind w:firstLine="560"/>
      </w:pPr>
      <w:r>
        <w:rPr>
          <w:rFonts w:hint="eastAsia"/>
        </w:rPr>
        <w:t>6</w:t>
      </w:r>
      <w:r>
        <w:t>.3.7</w:t>
      </w:r>
      <w:r>
        <w:rPr>
          <w:rFonts w:hint="eastAsia"/>
        </w:rPr>
        <w:t>污染物排放对生态环境的影响</w:t>
      </w:r>
      <w:bookmarkEnd w:id="415"/>
      <w:bookmarkEnd w:id="416"/>
    </w:p>
    <w:p w14:paraId="44AF4A13" w14:textId="77777777" w:rsidR="00E579B9" w:rsidRDefault="006A1398">
      <w:r>
        <w:rPr>
          <w:rFonts w:hint="eastAsia"/>
        </w:rPr>
        <w:t>本项目建设期和运营期所产生的污染物主要是无组织排放粉尘、道路扬尘和固体废物。各项污染物均采取了相应的处理设施和处置方案，实现了排污量的最小化（废水不外排），对评价区环境空气、地表水、地下水、声环境的影响很小，对评价区环境质量影响不大。根据现状调查，评价区动植物多为常见种，无珍贵特殊保护物种。综上，本项目污染物排放基本不会改变动植物的生长栖息环境，对评价区生态环境影响不大。</w:t>
      </w:r>
    </w:p>
    <w:p w14:paraId="13B995F1" w14:textId="77777777" w:rsidR="00E579B9" w:rsidRDefault="006A1398">
      <w:pPr>
        <w:pStyle w:val="3"/>
        <w:ind w:firstLine="560"/>
      </w:pPr>
      <w:r>
        <w:rPr>
          <w:rFonts w:hint="eastAsia"/>
        </w:rPr>
        <w:t>6.3.8</w:t>
      </w:r>
      <w:r>
        <w:t>对地形、地貌的影响</w:t>
      </w:r>
    </w:p>
    <w:p w14:paraId="51BA0CA0" w14:textId="77777777" w:rsidR="00E579B9" w:rsidRDefault="006A1398">
      <w:pPr>
        <w:widowControl w:val="0"/>
        <w:spacing w:line="480" w:lineRule="exact"/>
        <w:rPr>
          <w:rFonts w:ascii="仿宋_GB2312" w:eastAsia="仿宋_GB2312" w:hAnsi="宋体" w:cs="宋体"/>
          <w:szCs w:val="24"/>
        </w:rPr>
      </w:pPr>
      <w:r>
        <w:rPr>
          <w:rFonts w:ascii="宋体" w:hAnsi="宋体" w:cs="宋体" w:hint="eastAsia"/>
          <w:szCs w:val="24"/>
        </w:rPr>
        <w:lastRenderedPageBreak/>
        <w:t>矿山开采将会对开采区的地形、地貌造成一定的破坏，主要表现在露天开采、表土堆存等系列变化，开采区原有的地形、地貌发生变化，也导致矿区景观生态结构发生变化。矿山资源为不可再生资源，其开采会使资源的可利用量大大减少。</w:t>
      </w:r>
    </w:p>
    <w:p w14:paraId="69833A4D" w14:textId="77777777" w:rsidR="00E579B9" w:rsidRDefault="006A1398">
      <w:pPr>
        <w:widowControl w:val="0"/>
        <w:spacing w:line="480" w:lineRule="exact"/>
        <w:rPr>
          <w:rFonts w:ascii="宋体" w:hAnsi="宋体" w:cs="宋体"/>
          <w:szCs w:val="24"/>
        </w:rPr>
      </w:pPr>
      <w:r>
        <w:rPr>
          <w:rFonts w:ascii="宋体" w:hAnsi="宋体" w:cs="宋体" w:hint="eastAsia"/>
          <w:szCs w:val="24"/>
        </w:rPr>
        <w:t>根据设计，矿山开采完毕后将形成山坡露天采场，根据设计及水土保持要求，闭矿后，立即对采区进行生态恢复，对</w:t>
      </w:r>
      <w:r>
        <w:rPr>
          <w:rFonts w:ascii="宋体" w:hAnsi="宋体" w:cs="宋体" w:hint="eastAsia"/>
          <w:kern w:val="0"/>
          <w:szCs w:val="24"/>
        </w:rPr>
        <w:t>采区进行平整并覆土绿化，</w:t>
      </w:r>
      <w:r>
        <w:rPr>
          <w:rFonts w:ascii="宋体" w:hAnsi="宋体" w:cs="宋体" w:hint="eastAsia"/>
          <w:szCs w:val="24"/>
        </w:rPr>
        <w:t>可以补偿对地形、地貌的影响。</w:t>
      </w:r>
    </w:p>
    <w:p w14:paraId="6A60968E" w14:textId="77777777" w:rsidR="00E579B9" w:rsidRDefault="006A1398">
      <w:pPr>
        <w:pStyle w:val="3"/>
        <w:ind w:firstLine="560"/>
      </w:pPr>
      <w:r>
        <w:rPr>
          <w:rFonts w:ascii="宋体" w:hAnsi="宋体" w:cs="宋体" w:hint="eastAsia"/>
        </w:rPr>
        <w:t>6.3.9</w:t>
      </w:r>
      <w:r>
        <w:t>工程建设对生物多样性的影响</w:t>
      </w:r>
    </w:p>
    <w:p w14:paraId="167CA5B9" w14:textId="77777777" w:rsidR="00E579B9" w:rsidRDefault="006A1398">
      <w:pPr>
        <w:pStyle w:val="226"/>
        <w:rPr>
          <w:rFonts w:cs="Times New Roman"/>
          <w:lang w:val="zh-CN"/>
        </w:rPr>
      </w:pPr>
      <w:r>
        <w:rPr>
          <w:szCs w:val="28"/>
        </w:rPr>
        <w:t>项目总占地面积</w:t>
      </w:r>
      <w:r>
        <w:rPr>
          <w:szCs w:val="28"/>
        </w:rPr>
        <w:t>0.</w:t>
      </w:r>
      <w:r>
        <w:rPr>
          <w:rFonts w:hint="eastAsia"/>
          <w:szCs w:val="28"/>
        </w:rPr>
        <w:t>3425km</w:t>
      </w:r>
      <w:r>
        <w:rPr>
          <w:rFonts w:hint="eastAsia"/>
          <w:szCs w:val="28"/>
          <w:vertAlign w:val="superscript"/>
        </w:rPr>
        <w:t>2</w:t>
      </w:r>
      <w:r>
        <w:rPr>
          <w:szCs w:val="28"/>
        </w:rPr>
        <w:t>，</w:t>
      </w:r>
      <w:r>
        <w:rPr>
          <w:rFonts w:cs="Times New Roman"/>
          <w:lang w:val="zh-CN"/>
        </w:rPr>
        <w:t>开采区域较集中，矿区内植被状况一般，人为活动频繁，矿区所占用土地类型主要为林地，</w:t>
      </w:r>
      <w:r>
        <w:rPr>
          <w:rFonts w:cs="Times New Roman"/>
          <w:color w:val="0000FF"/>
          <w:kern w:val="0"/>
        </w:rPr>
        <w:t>一</w:t>
      </w:r>
      <w:r>
        <w:rPr>
          <w:rFonts w:cs="Times New Roman"/>
          <w:kern w:val="0"/>
        </w:rPr>
        <w:t>方面矿山建设和生产将对植被造成直接彻底的破坏，另一方面是由于扬尘排放使生产建设区外一定范围内的植被受到一定程度的影响，各类建设工程活动均会对野生动物的生境产生一定的影响。短时间内项目将对生物多样性产生不利影响，但随着生态恢复措施的实施，项目占用和破坏的土地大部分将恢复为灌木林地和草地，因此项目最终对评价区生物多样性影响不大</w:t>
      </w:r>
      <w:r>
        <w:rPr>
          <w:rFonts w:cs="Times New Roman" w:hint="eastAsia"/>
          <w:kern w:val="0"/>
        </w:rPr>
        <w:t>。</w:t>
      </w:r>
      <w:r>
        <w:rPr>
          <w:rFonts w:cs="Times New Roman"/>
          <w:lang w:val="zh-CN"/>
        </w:rPr>
        <w:t>没有发现具有特殊保护价值的野生植物，工程占地</w:t>
      </w:r>
      <w:r>
        <w:rPr>
          <w:rFonts w:cs="Times New Roman"/>
        </w:rPr>
        <w:t>不会使物种组成发生明显变化</w:t>
      </w:r>
      <w:r>
        <w:rPr>
          <w:rFonts w:cs="Times New Roman"/>
          <w:lang w:val="zh-CN"/>
        </w:rPr>
        <w:t>。因此，矿区开采活动对周围环境生物多样性影响很小。</w:t>
      </w:r>
    </w:p>
    <w:p w14:paraId="46EE5F68" w14:textId="77777777" w:rsidR="00E579B9" w:rsidRDefault="006A1398">
      <w:pPr>
        <w:pStyle w:val="3"/>
        <w:ind w:firstLine="560"/>
      </w:pPr>
      <w:r>
        <w:rPr>
          <w:rFonts w:hint="eastAsia"/>
        </w:rPr>
        <w:t>6.3.10</w:t>
      </w:r>
      <w:r>
        <w:rPr>
          <w:rFonts w:hint="eastAsia"/>
        </w:rPr>
        <w:t>对农业的影响</w:t>
      </w:r>
    </w:p>
    <w:p w14:paraId="41CEF146" w14:textId="77777777" w:rsidR="00E579B9" w:rsidRDefault="006A1398">
      <w:pPr>
        <w:pStyle w:val="226"/>
        <w:rPr>
          <w:rFonts w:cs="Times New Roman"/>
          <w:kern w:val="0"/>
        </w:rPr>
      </w:pPr>
      <w:r>
        <w:rPr>
          <w:rFonts w:cs="Times New Roman" w:hint="eastAsia"/>
          <w:kern w:val="0"/>
        </w:rPr>
        <w:t>项目建设可能对农业产生的影响主要是工业污染对农业生产的影响。本项目工业污染主要是排放扬尘等造成的大气污染，可能会使项目区附近农业生产减产，但本项目采取了各种处理措施，有效减少了粉尘排放，项目所在区域地下水为基岩裂隙水，由大气降水补给，因采场占地面积较小，项目建设对整个区域降水补给影响较小，不会影响农业灌溉。因此项目建设对当地农业生产造成的影响较小。</w:t>
      </w:r>
    </w:p>
    <w:p w14:paraId="3B0AD1C3" w14:textId="77777777" w:rsidR="00E579B9" w:rsidRDefault="006A1398">
      <w:pPr>
        <w:pStyle w:val="3"/>
        <w:ind w:firstLine="560"/>
      </w:pPr>
      <w:r>
        <w:rPr>
          <w:rFonts w:hint="eastAsia"/>
        </w:rPr>
        <w:t>6.3.11</w:t>
      </w:r>
      <w:r>
        <w:rPr>
          <w:rFonts w:hint="eastAsia"/>
        </w:rPr>
        <w:tab/>
      </w:r>
      <w:r>
        <w:rPr>
          <w:rFonts w:hint="eastAsia"/>
        </w:rPr>
        <w:t>工程建设对景观影响分析</w:t>
      </w:r>
    </w:p>
    <w:p w14:paraId="291DFCAF" w14:textId="77777777" w:rsidR="00E579B9" w:rsidRDefault="006A1398">
      <w:r>
        <w:rPr>
          <w:rFonts w:hint="eastAsia"/>
        </w:rPr>
        <w:t>项目建设将会在很大程度上改变项目直接实施区域内原有的自然景观，主要表现在：</w:t>
      </w:r>
    </w:p>
    <w:p w14:paraId="7E738D0D" w14:textId="77777777" w:rsidR="00E579B9" w:rsidRDefault="006A1398">
      <w:r>
        <w:rPr>
          <w:rFonts w:hint="eastAsia"/>
        </w:rPr>
        <w:t>1</w:t>
      </w:r>
      <w:r>
        <w:rPr>
          <w:rFonts w:hint="eastAsia"/>
        </w:rPr>
        <w:t>、矿区露天开采，对原地表形态、植被等发生直接的破坏，挖掘产生的废弃岩土直接堆置于原地貌上，将使施工区域内的自然景观遭受到完全破坏：</w:t>
      </w:r>
    </w:p>
    <w:p w14:paraId="31F736DE" w14:textId="77777777" w:rsidR="00E579B9" w:rsidRDefault="006A1398">
      <w:r>
        <w:rPr>
          <w:rFonts w:hint="eastAsia"/>
        </w:rPr>
        <w:lastRenderedPageBreak/>
        <w:t>2</w:t>
      </w:r>
      <w:r>
        <w:rPr>
          <w:rFonts w:hint="eastAsia"/>
        </w:rPr>
        <w:t>、对土地的占用，使原有的自然景观类型变为运输公路、供电通讯线路以及给排水管道的工业场地；随着与项目建设同步实施的道路等附属设施的建设，在路基施工中的填挖等一系列的施工活动，形成裸露的边坡等一些人为的劣质景观，造成与周围自然景观的不相协调；</w:t>
      </w:r>
    </w:p>
    <w:p w14:paraId="7400A1F6" w14:textId="77777777" w:rsidR="00E579B9" w:rsidRDefault="006A1398">
      <w:pPr>
        <w:rPr>
          <w:szCs w:val="24"/>
        </w:rPr>
      </w:pPr>
      <w:r>
        <w:rPr>
          <w:rFonts w:hint="eastAsia"/>
        </w:rPr>
        <w:t>3</w:t>
      </w:r>
      <w:r>
        <w:rPr>
          <w:rFonts w:hint="eastAsia"/>
        </w:rPr>
        <w:t>、工业场地、道路建成后，会对原有的景观进行分隔，造成景观生态系统在空间上的非连续性，使区域上原有的农林景观演化为矿业景观，对原有的景观产生一定的影响。</w:t>
      </w:r>
    </w:p>
    <w:p w14:paraId="575246DD" w14:textId="77777777" w:rsidR="00E579B9" w:rsidRDefault="006A1398">
      <w:pPr>
        <w:pStyle w:val="3"/>
        <w:ind w:firstLine="560"/>
      </w:pPr>
      <w:bookmarkStart w:id="419" w:name="_Toc531939606"/>
      <w:bookmarkStart w:id="420" w:name="_Toc531939395"/>
      <w:r>
        <w:rPr>
          <w:rFonts w:hint="eastAsia"/>
        </w:rPr>
        <w:t>6</w:t>
      </w:r>
      <w:r>
        <w:t>.3.</w:t>
      </w:r>
      <w:r>
        <w:rPr>
          <w:rFonts w:hint="eastAsia"/>
        </w:rPr>
        <w:t>12</w:t>
      </w:r>
      <w:r>
        <w:rPr>
          <w:rFonts w:hint="eastAsia"/>
        </w:rPr>
        <w:t>生态环境影响评价结论</w:t>
      </w:r>
      <w:bookmarkEnd w:id="419"/>
      <w:bookmarkEnd w:id="420"/>
    </w:p>
    <w:p w14:paraId="0A7566BA" w14:textId="77777777" w:rsidR="00E579B9" w:rsidRDefault="006A1398">
      <w:r>
        <w:t>综上所述，本项目建设给生态环境造成的影响主要包括以下几方面：植被破坏、生物量减少及土地利用方式改变</w:t>
      </w:r>
      <w:r>
        <w:rPr>
          <w:rFonts w:hint="eastAsia"/>
        </w:rPr>
        <w:t>、污染物排放</w:t>
      </w:r>
      <w:r>
        <w:t>等。</w:t>
      </w:r>
      <w:r>
        <w:rPr>
          <w:rFonts w:hint="eastAsia"/>
        </w:rPr>
        <w:t>运营期</w:t>
      </w:r>
      <w:r>
        <w:t>给生态环境造成的影响主要包括以下几方面：</w:t>
      </w:r>
      <w:r>
        <w:rPr>
          <w:rFonts w:hint="eastAsia"/>
        </w:rPr>
        <w:t>景观</w:t>
      </w:r>
      <w:r>
        <w:t>破坏、水土流失</w:t>
      </w:r>
      <w:r>
        <w:rPr>
          <w:rFonts w:hint="eastAsia"/>
        </w:rPr>
        <w:t>、污染物排放。</w:t>
      </w:r>
    </w:p>
    <w:p w14:paraId="54F2AA43" w14:textId="77777777" w:rsidR="00E579B9" w:rsidRDefault="006A1398">
      <w:r>
        <w:rPr>
          <w:rFonts w:hint="eastAsia"/>
        </w:rPr>
        <w:t>矿山的开采</w:t>
      </w:r>
      <w:r>
        <w:t>将使区域</w:t>
      </w:r>
      <w:r>
        <w:rPr>
          <w:rFonts w:hint="eastAsia"/>
        </w:rPr>
        <w:t>林</w:t>
      </w:r>
      <w:r>
        <w:t>地面积有所减少，但减少量不大，对土地利用格局影响不大，对区域内动植物及生物多样性的影响很小，在采取有效的水土保持措施后，对水土流失影响较小。</w:t>
      </w:r>
    </w:p>
    <w:p w14:paraId="7C7AAB1F" w14:textId="77777777" w:rsidR="00E579B9" w:rsidRDefault="006A1398">
      <w:pPr>
        <w:pStyle w:val="2"/>
        <w:ind w:firstLine="560"/>
      </w:pPr>
      <w:bookmarkStart w:id="421" w:name="_Toc531939607"/>
      <w:bookmarkStart w:id="422" w:name="_Toc531939396"/>
      <w:bookmarkStart w:id="423" w:name="_Toc33021813"/>
      <w:r>
        <w:rPr>
          <w:rFonts w:hint="eastAsia"/>
        </w:rPr>
        <w:t>6</w:t>
      </w:r>
      <w:r>
        <w:t>.4</w:t>
      </w:r>
      <w:r>
        <w:rPr>
          <w:rFonts w:hint="eastAsia"/>
        </w:rPr>
        <w:t>生态环境保护与恢复措施分析</w:t>
      </w:r>
      <w:bookmarkEnd w:id="421"/>
      <w:bookmarkEnd w:id="422"/>
      <w:bookmarkEnd w:id="423"/>
    </w:p>
    <w:p w14:paraId="0903BBDA" w14:textId="77777777" w:rsidR="00E579B9" w:rsidRDefault="006A1398">
      <w:r>
        <w:t>本项目为矿山露天开采项目，矿体开采建设、运输道路建设等将不可避免的要破坏地表植被，因此必须要有生态修复措施。</w:t>
      </w:r>
    </w:p>
    <w:p w14:paraId="6F4A49C6" w14:textId="77777777" w:rsidR="00E579B9" w:rsidRDefault="006A1398">
      <w:pPr>
        <w:pStyle w:val="3"/>
        <w:ind w:firstLine="560"/>
      </w:pPr>
      <w:bookmarkStart w:id="424" w:name="_Toc531939397"/>
      <w:bookmarkStart w:id="425" w:name="_Toc531939608"/>
      <w:r>
        <w:rPr>
          <w:rFonts w:hint="eastAsia"/>
        </w:rPr>
        <w:t>6</w:t>
      </w:r>
      <w:r>
        <w:t>.4.1</w:t>
      </w:r>
      <w:r>
        <w:t>建设期生态环境保护及恢复措施</w:t>
      </w:r>
      <w:bookmarkEnd w:id="424"/>
      <w:bookmarkEnd w:id="425"/>
    </w:p>
    <w:p w14:paraId="0FFD17E2" w14:textId="77777777" w:rsidR="00E579B9" w:rsidRDefault="006A1398">
      <w:r>
        <w:rPr>
          <w:rFonts w:hint="eastAsia"/>
        </w:rPr>
        <w:t>本项目建设期的生态恢复主要是对遗留环保问题进行处理，确保</w:t>
      </w:r>
      <w:r>
        <w:rPr>
          <w:rFonts w:cs="Times New Roman"/>
        </w:rPr>
        <w:t>遗留</w:t>
      </w:r>
      <w:r>
        <w:rPr>
          <w:rFonts w:cs="Times New Roman" w:hint="eastAsia"/>
        </w:rPr>
        <w:t>矿</w:t>
      </w:r>
      <w:r>
        <w:rPr>
          <w:rFonts w:cs="Times New Roman"/>
        </w:rPr>
        <w:t>料</w:t>
      </w:r>
      <w:r>
        <w:rPr>
          <w:rFonts w:cs="Times New Roman" w:hint="eastAsia"/>
        </w:rPr>
        <w:t>和</w:t>
      </w:r>
      <w:r>
        <w:rPr>
          <w:rFonts w:cs="Times New Roman"/>
        </w:rPr>
        <w:t>遗留生产设施</w:t>
      </w:r>
      <w:r>
        <w:rPr>
          <w:rFonts w:cs="Times New Roman" w:hint="eastAsia"/>
        </w:rPr>
        <w:t>完全清理；对所有</w:t>
      </w:r>
      <w:r>
        <w:rPr>
          <w:rFonts w:cs="Times New Roman"/>
          <w:color w:val="000000" w:themeColor="text1"/>
        </w:rPr>
        <w:t>泥结碎石路面</w:t>
      </w:r>
      <w:r>
        <w:rPr>
          <w:rFonts w:cs="Times New Roman" w:hint="eastAsia"/>
          <w:color w:val="000000" w:themeColor="text1"/>
        </w:rPr>
        <w:t>进行</w:t>
      </w:r>
      <w:r>
        <w:rPr>
          <w:rFonts w:cs="Times New Roman"/>
          <w:color w:val="000000" w:themeColor="text1"/>
        </w:rPr>
        <w:t>硬化</w:t>
      </w:r>
      <w:r>
        <w:rPr>
          <w:rFonts w:cs="Times New Roman" w:hint="eastAsia"/>
          <w:color w:val="000000" w:themeColor="text1"/>
        </w:rPr>
        <w:t>；</w:t>
      </w:r>
      <w:r>
        <w:rPr>
          <w:rFonts w:hint="eastAsia"/>
        </w:rPr>
        <w:t>对矿区新建的道路两侧种植行道树，在工业场地进行绿化，进行生态恢复等。</w:t>
      </w:r>
    </w:p>
    <w:p w14:paraId="7B8A02C1" w14:textId="77777777" w:rsidR="00E579B9" w:rsidRDefault="006A1398">
      <w:r>
        <w:rPr>
          <w:rFonts w:hint="eastAsia"/>
        </w:rPr>
        <w:t>本项目距离东侧</w:t>
      </w:r>
      <w:r>
        <w:rPr>
          <w:rFonts w:hint="eastAsia"/>
        </w:rPr>
        <w:t>S</w:t>
      </w:r>
      <w:r>
        <w:t>220</w:t>
      </w:r>
      <w:r>
        <w:rPr>
          <w:rFonts w:hint="eastAsia"/>
        </w:rPr>
        <w:t>省道直线距离约</w:t>
      </w:r>
      <w:r>
        <w:rPr>
          <w:rFonts w:hint="eastAsia"/>
        </w:rPr>
        <w:t>1.</w:t>
      </w:r>
      <w:r>
        <w:t>2</w:t>
      </w:r>
      <w:r>
        <w:rPr>
          <w:rFonts w:hint="eastAsia"/>
        </w:rPr>
        <w:t>km</w:t>
      </w:r>
      <w:r>
        <w:rPr>
          <w:rFonts w:hint="eastAsia"/>
        </w:rPr>
        <w:t>，要求建设单位在矿区东侧边界与</w:t>
      </w:r>
      <w:r>
        <w:rPr>
          <w:rFonts w:hint="eastAsia"/>
        </w:rPr>
        <w:t>S</w:t>
      </w:r>
      <w:r>
        <w:t>220</w:t>
      </w:r>
      <w:r>
        <w:rPr>
          <w:rFonts w:hint="eastAsia"/>
        </w:rPr>
        <w:t>道路之间采取种植乔木林的措施进行遮挡视线。乔木种植株距一般为</w:t>
      </w:r>
      <w:r>
        <w:rPr>
          <w:rFonts w:hint="eastAsia"/>
        </w:rPr>
        <w:t>5m</w:t>
      </w:r>
      <w:r>
        <w:rPr>
          <w:rFonts w:hint="eastAsia"/>
        </w:rPr>
        <w:t>，在</w:t>
      </w:r>
      <w:r>
        <w:rPr>
          <w:rFonts w:hint="eastAsia"/>
        </w:rPr>
        <w:t>S220</w:t>
      </w:r>
      <w:r>
        <w:rPr>
          <w:rFonts w:hint="eastAsia"/>
        </w:rPr>
        <w:t>西侧</w:t>
      </w:r>
      <w:r>
        <w:rPr>
          <w:rFonts w:hint="eastAsia"/>
        </w:rPr>
        <w:t>1m</w:t>
      </w:r>
      <w:r>
        <w:t>-6</w:t>
      </w:r>
      <w:r>
        <w:rPr>
          <w:rFonts w:hint="eastAsia"/>
        </w:rPr>
        <w:t>m</w:t>
      </w:r>
      <w:r>
        <w:rPr>
          <w:rFonts w:hint="eastAsia"/>
        </w:rPr>
        <w:t>范围内种植两行乔木，两行乔木交错种植，种植面积为</w:t>
      </w:r>
      <w:r>
        <w:t>2000</w:t>
      </w:r>
      <w:r>
        <w:rPr>
          <w:rFonts w:hint="eastAsia"/>
        </w:rPr>
        <w:t>m</w:t>
      </w:r>
      <w:r>
        <w:rPr>
          <w:rFonts w:hint="eastAsia"/>
          <w:vertAlign w:val="superscript"/>
        </w:rPr>
        <w:t>2</w:t>
      </w:r>
      <w:r>
        <w:rPr>
          <w:rFonts w:hint="eastAsia"/>
        </w:rPr>
        <w:t>。</w:t>
      </w:r>
    </w:p>
    <w:p w14:paraId="78989527" w14:textId="77777777" w:rsidR="00E579B9" w:rsidRDefault="006A1398">
      <w:pPr>
        <w:widowControl w:val="0"/>
        <w:spacing w:line="480" w:lineRule="exact"/>
        <w:ind w:firstLineChars="0"/>
        <w:jc w:val="both"/>
        <w:rPr>
          <w:rFonts w:ascii="宋体" w:hAnsi="宋体" w:cs="宋体"/>
          <w:szCs w:val="24"/>
        </w:rPr>
      </w:pPr>
      <w:r>
        <w:rPr>
          <w:rFonts w:ascii="宋体" w:hAnsi="宋体" w:cs="宋体"/>
          <w:szCs w:val="24"/>
        </w:rPr>
        <w:t>结合《矿山生态环境保护与恢复治理技术规范（试行）》（HJ651-2013）</w:t>
      </w:r>
      <w:r>
        <w:rPr>
          <w:rFonts w:ascii="宋体" w:hAnsi="宋体" w:cs="宋体" w:hint="eastAsia"/>
          <w:szCs w:val="24"/>
        </w:rPr>
        <w:t>和《非金属矿行业绿色矿山建设规范》（DZ/T0312-2018）</w:t>
      </w:r>
      <w:r>
        <w:rPr>
          <w:rFonts w:ascii="宋体" w:hAnsi="宋体" w:cs="宋体"/>
          <w:szCs w:val="24"/>
        </w:rPr>
        <w:t>要求，本项目建设期生态保护与恢复措施如下：</w:t>
      </w:r>
    </w:p>
    <w:p w14:paraId="109F00DE" w14:textId="77777777" w:rsidR="00E579B9" w:rsidRDefault="006A1398">
      <w:pPr>
        <w:widowControl w:val="0"/>
        <w:spacing w:line="480" w:lineRule="exact"/>
        <w:jc w:val="both"/>
        <w:rPr>
          <w:rFonts w:ascii="宋体" w:hAnsi="宋体" w:cs="宋体"/>
          <w:szCs w:val="24"/>
        </w:rPr>
      </w:pPr>
      <w:r>
        <w:rPr>
          <w:rFonts w:ascii="宋体" w:hAnsi="宋体" w:cs="宋体"/>
          <w:szCs w:val="24"/>
        </w:rPr>
        <w:lastRenderedPageBreak/>
        <w:t>（1）强化生态环境保护意识</w:t>
      </w:r>
    </w:p>
    <w:p w14:paraId="3EF0F654" w14:textId="77777777" w:rsidR="00E579B9" w:rsidRDefault="006A1398">
      <w:pPr>
        <w:widowControl w:val="0"/>
        <w:spacing w:line="480" w:lineRule="exact"/>
        <w:ind w:firstLineChars="192" w:firstLine="461"/>
        <w:jc w:val="both"/>
        <w:rPr>
          <w:rFonts w:ascii="宋体" w:hAnsi="宋体" w:cs="宋体"/>
          <w:szCs w:val="24"/>
        </w:rPr>
      </w:pPr>
      <w:r>
        <w:rPr>
          <w:rFonts w:ascii="宋体" w:hAnsi="宋体" w:cs="宋体" w:hint="eastAsia"/>
          <w:szCs w:val="24"/>
        </w:rPr>
        <w:t>①</w:t>
      </w:r>
      <w:r>
        <w:rPr>
          <w:rFonts w:ascii="宋体" w:hAnsi="宋体" w:cs="宋体"/>
          <w:szCs w:val="24"/>
        </w:rPr>
        <w:t>结合当地政府部门所制定的生态环境建设规划和水土保持规划，协助当地政府搞好矿区的生态环境建设工作。</w:t>
      </w:r>
    </w:p>
    <w:p w14:paraId="3D26B867" w14:textId="77777777" w:rsidR="00E579B9" w:rsidRDefault="006A1398">
      <w:pPr>
        <w:widowControl w:val="0"/>
        <w:spacing w:line="480" w:lineRule="exact"/>
        <w:ind w:firstLineChars="192" w:firstLine="461"/>
        <w:jc w:val="both"/>
        <w:rPr>
          <w:rFonts w:ascii="宋体" w:hAnsi="宋体" w:cs="宋体"/>
          <w:szCs w:val="24"/>
        </w:rPr>
      </w:pPr>
      <w:r>
        <w:rPr>
          <w:rFonts w:ascii="宋体" w:hAnsi="宋体" w:cs="宋体" w:hint="eastAsia"/>
          <w:szCs w:val="24"/>
        </w:rPr>
        <w:t>②</w:t>
      </w:r>
      <w:r>
        <w:rPr>
          <w:rFonts w:ascii="宋体" w:hAnsi="宋体" w:cs="宋体"/>
          <w:szCs w:val="24"/>
        </w:rPr>
        <w:t>加强管理，制定并落实生态影响防护与恢复的监督管理措施。生态管理人员编制，建议纳入项目的环境管理机构，并落实生态管理人员的职能。</w:t>
      </w:r>
    </w:p>
    <w:p w14:paraId="117D10A0" w14:textId="77777777" w:rsidR="00E579B9" w:rsidRDefault="006A1398">
      <w:pPr>
        <w:widowControl w:val="0"/>
        <w:spacing w:line="480" w:lineRule="exact"/>
        <w:jc w:val="both"/>
        <w:rPr>
          <w:rFonts w:ascii="宋体" w:hAnsi="宋体" w:cs="宋体"/>
          <w:szCs w:val="24"/>
        </w:rPr>
      </w:pPr>
      <w:r>
        <w:rPr>
          <w:rFonts w:ascii="宋体" w:hAnsi="宋体" w:cs="宋体"/>
          <w:szCs w:val="24"/>
        </w:rPr>
        <w:t>（2）土壤与植被的保护和恢复措施</w:t>
      </w:r>
    </w:p>
    <w:p w14:paraId="05F38F5D" w14:textId="77777777" w:rsidR="00E579B9" w:rsidRDefault="006A1398">
      <w:pPr>
        <w:widowControl w:val="0"/>
        <w:spacing w:line="480" w:lineRule="exact"/>
        <w:ind w:firstLineChars="192" w:firstLine="461"/>
        <w:jc w:val="both"/>
        <w:rPr>
          <w:rFonts w:ascii="宋体" w:hAnsi="宋体" w:cs="宋体"/>
          <w:szCs w:val="24"/>
        </w:rPr>
      </w:pPr>
      <w:r>
        <w:rPr>
          <w:rFonts w:ascii="宋体" w:hAnsi="宋体" w:cs="宋体" w:hint="eastAsia"/>
          <w:szCs w:val="24"/>
        </w:rPr>
        <w:t>①</w:t>
      </w:r>
      <w:r>
        <w:rPr>
          <w:rFonts w:ascii="宋体" w:hAnsi="宋体" w:cs="宋体"/>
          <w:szCs w:val="24"/>
        </w:rPr>
        <w:t>项目施工过程中应加强管理，要采取尽量少占地、少破坏植被的原则，将临时占地面积控制在最低限度，以免造成土壤与植被的大面积破坏，而使本来就脆弱的生态环境系统受到威胁。</w:t>
      </w:r>
    </w:p>
    <w:p w14:paraId="6BCF8FF7" w14:textId="77777777" w:rsidR="00E579B9" w:rsidRDefault="006A1398">
      <w:pPr>
        <w:widowControl w:val="0"/>
        <w:spacing w:line="480" w:lineRule="exact"/>
        <w:ind w:firstLineChars="192" w:firstLine="461"/>
        <w:jc w:val="both"/>
        <w:rPr>
          <w:rFonts w:ascii="宋体" w:hAnsi="宋体" w:cs="宋体"/>
          <w:szCs w:val="24"/>
        </w:rPr>
      </w:pPr>
      <w:r>
        <w:rPr>
          <w:rFonts w:ascii="宋体" w:hAnsi="宋体" w:cs="宋体" w:hint="eastAsia"/>
          <w:szCs w:val="24"/>
        </w:rPr>
        <w:t>②</w:t>
      </w:r>
      <w:r>
        <w:rPr>
          <w:rFonts w:ascii="宋体" w:hAnsi="宋体" w:cs="宋体"/>
          <w:szCs w:val="24"/>
        </w:rPr>
        <w:t>对于临时占地等破坏区，竣工后要进行土地复垦和植被重建工作，要进行土地平整、植树、种草工作。</w:t>
      </w:r>
    </w:p>
    <w:p w14:paraId="14D2E4E1" w14:textId="77777777" w:rsidR="00E579B9" w:rsidRDefault="006A1398">
      <w:pPr>
        <w:widowControl w:val="0"/>
        <w:spacing w:line="480" w:lineRule="exact"/>
        <w:ind w:firstLineChars="192" w:firstLine="461"/>
        <w:jc w:val="both"/>
        <w:rPr>
          <w:rFonts w:ascii="宋体" w:hAnsi="宋体" w:cs="宋体"/>
          <w:szCs w:val="24"/>
        </w:rPr>
      </w:pPr>
      <w:r>
        <w:rPr>
          <w:rFonts w:ascii="宋体" w:hAnsi="宋体" w:cs="宋体" w:hint="eastAsia"/>
          <w:szCs w:val="24"/>
        </w:rPr>
        <w:t>③</w:t>
      </w:r>
      <w:r>
        <w:rPr>
          <w:rFonts w:ascii="宋体" w:hAnsi="宋体" w:cs="宋体"/>
          <w:szCs w:val="24"/>
        </w:rPr>
        <w:t>施工中应规定施工便道，不可任意行运；建设期产生的各类废物、生活垃圾等，要进行统一集中处理，不得随意弃置。施工结束后，要进行现场清理、采取恢复措施。</w:t>
      </w:r>
    </w:p>
    <w:p w14:paraId="79A33FCF" w14:textId="77777777" w:rsidR="00E579B9" w:rsidRDefault="006A1398">
      <w:pPr>
        <w:widowControl w:val="0"/>
        <w:spacing w:line="480" w:lineRule="exact"/>
        <w:jc w:val="both"/>
        <w:rPr>
          <w:rFonts w:ascii="宋体" w:hAnsi="宋体" w:cs="宋体"/>
          <w:szCs w:val="24"/>
        </w:rPr>
      </w:pPr>
      <w:r>
        <w:rPr>
          <w:rFonts w:ascii="宋体" w:hAnsi="宋体" w:cs="宋体" w:hint="eastAsia"/>
          <w:szCs w:val="24"/>
        </w:rPr>
        <w:t>④基建</w:t>
      </w:r>
      <w:r>
        <w:rPr>
          <w:rFonts w:ascii="宋体" w:hAnsi="宋体" w:cs="宋体"/>
          <w:szCs w:val="24"/>
        </w:rPr>
        <w:t>剥离表土，全部堆存至</w:t>
      </w:r>
      <w:r>
        <w:rPr>
          <w:rFonts w:ascii="宋体" w:hAnsi="宋体" w:cs="宋体" w:hint="eastAsia"/>
          <w:szCs w:val="24"/>
        </w:rPr>
        <w:t>矿区南侧</w:t>
      </w:r>
      <w:r>
        <w:rPr>
          <w:rFonts w:ascii="宋体" w:hAnsi="宋体" w:cs="宋体"/>
          <w:szCs w:val="24"/>
        </w:rPr>
        <w:t>表土临时堆场，表土临时堆场</w:t>
      </w:r>
      <w:r>
        <w:rPr>
          <w:rFonts w:ascii="宋体" w:hAnsi="宋体" w:cs="宋体" w:hint="eastAsia"/>
          <w:szCs w:val="24"/>
        </w:rPr>
        <w:t>底部设置挡土墙，两侧</w:t>
      </w:r>
      <w:r>
        <w:rPr>
          <w:rFonts w:ascii="宋体" w:hAnsi="宋体" w:cs="宋体"/>
          <w:szCs w:val="24"/>
        </w:rPr>
        <w:t>采用装土编织袋进行挡护，并在装土编织袋</w:t>
      </w:r>
      <w:r>
        <w:rPr>
          <w:rFonts w:ascii="宋体" w:hAnsi="宋体" w:cs="宋体" w:hint="eastAsia"/>
          <w:szCs w:val="24"/>
        </w:rPr>
        <w:t>旁</w:t>
      </w:r>
      <w:r>
        <w:rPr>
          <w:rFonts w:ascii="宋体" w:hAnsi="宋体" w:cs="宋体"/>
          <w:szCs w:val="24"/>
        </w:rPr>
        <w:t>开挖截排水沟，顶部播撒草籽绿化。</w:t>
      </w:r>
    </w:p>
    <w:p w14:paraId="06D3F19F" w14:textId="77777777" w:rsidR="00E579B9" w:rsidRDefault="006A1398">
      <w:pPr>
        <w:widowControl w:val="0"/>
        <w:spacing w:line="480" w:lineRule="exact"/>
        <w:ind w:firstLineChars="192" w:firstLine="461"/>
        <w:jc w:val="both"/>
        <w:rPr>
          <w:rFonts w:ascii="宋体" w:hAnsi="宋体" w:cs="宋体"/>
          <w:szCs w:val="24"/>
        </w:rPr>
      </w:pPr>
      <w:r>
        <w:rPr>
          <w:rFonts w:ascii="宋体" w:hAnsi="宋体" w:cs="宋体"/>
          <w:szCs w:val="24"/>
        </w:rPr>
        <w:t>（3）土壤侵蚀的防治对策</w:t>
      </w:r>
    </w:p>
    <w:p w14:paraId="0BE91956" w14:textId="77777777" w:rsidR="00E579B9" w:rsidRDefault="006A1398">
      <w:pPr>
        <w:widowControl w:val="0"/>
        <w:spacing w:line="480" w:lineRule="exact"/>
        <w:jc w:val="both"/>
        <w:rPr>
          <w:rFonts w:ascii="宋体" w:hAnsi="宋体" w:cs="宋体"/>
          <w:szCs w:val="24"/>
        </w:rPr>
      </w:pPr>
      <w:r>
        <w:rPr>
          <w:rFonts w:ascii="宋体" w:hAnsi="宋体" w:cs="宋体" w:hint="eastAsia"/>
          <w:szCs w:val="24"/>
        </w:rPr>
        <w:t>①</w:t>
      </w:r>
      <w:r>
        <w:rPr>
          <w:rFonts w:ascii="宋体" w:hAnsi="宋体" w:cs="宋体"/>
          <w:szCs w:val="24"/>
        </w:rPr>
        <w:t>在地面施工过程中，应尽量避免在春季大风季节以及夏季暴雨时节进行作业。对于施工破坏区，施工完毕，要及时平整土地，并种植适宜的植物，以防止发生新的土壤侵蚀。</w:t>
      </w:r>
    </w:p>
    <w:p w14:paraId="087DB10B" w14:textId="77777777" w:rsidR="00E579B9" w:rsidRDefault="006A1398">
      <w:pPr>
        <w:widowControl w:val="0"/>
        <w:spacing w:line="480" w:lineRule="exact"/>
        <w:jc w:val="both"/>
        <w:rPr>
          <w:rFonts w:ascii="宋体" w:hAnsi="宋体" w:cs="宋体"/>
          <w:szCs w:val="24"/>
        </w:rPr>
      </w:pPr>
      <w:r>
        <w:rPr>
          <w:rFonts w:ascii="宋体" w:hAnsi="宋体" w:cs="宋体" w:hint="eastAsia"/>
          <w:szCs w:val="24"/>
        </w:rPr>
        <w:t>②</w:t>
      </w:r>
      <w:r>
        <w:rPr>
          <w:rFonts w:ascii="宋体" w:hAnsi="宋体" w:cs="宋体"/>
          <w:szCs w:val="24"/>
        </w:rPr>
        <w:t>对于施工过程中产生的废弃土石，应妥善处置，不得任意裸露弃置，以免遇强降雨引起严重的水土流失。</w:t>
      </w:r>
    </w:p>
    <w:p w14:paraId="58FD9A55" w14:textId="77777777" w:rsidR="00E579B9" w:rsidRDefault="006A1398">
      <w:pPr>
        <w:widowControl w:val="0"/>
        <w:spacing w:line="480" w:lineRule="exact"/>
        <w:jc w:val="both"/>
        <w:rPr>
          <w:rFonts w:ascii="宋体" w:hAnsi="宋体" w:cs="宋体"/>
          <w:szCs w:val="24"/>
        </w:rPr>
      </w:pPr>
      <w:r>
        <w:rPr>
          <w:rFonts w:ascii="宋体" w:hAnsi="宋体" w:cs="宋体" w:hint="eastAsia"/>
          <w:szCs w:val="24"/>
        </w:rPr>
        <w:t>③</w:t>
      </w:r>
      <w:r>
        <w:rPr>
          <w:rFonts w:ascii="宋体" w:hAnsi="宋体" w:cs="宋体"/>
          <w:szCs w:val="24"/>
        </w:rPr>
        <w:t>对于水蚀强烈的丘陵坡地和沟壑地段，为避免产生新的水土流失，应考虑采取相应的工程措施。</w:t>
      </w:r>
    </w:p>
    <w:p w14:paraId="14169695" w14:textId="77777777" w:rsidR="00E579B9" w:rsidRDefault="006A1398">
      <w:pPr>
        <w:widowControl w:val="0"/>
        <w:spacing w:line="480" w:lineRule="exact"/>
        <w:jc w:val="both"/>
        <w:rPr>
          <w:rFonts w:ascii="宋体" w:hAnsi="宋体" w:cs="宋体"/>
          <w:szCs w:val="24"/>
        </w:rPr>
      </w:pPr>
      <w:r>
        <w:rPr>
          <w:rFonts w:ascii="宋体" w:hAnsi="宋体" w:cs="宋体" w:hint="eastAsia"/>
          <w:szCs w:val="24"/>
        </w:rPr>
        <w:t>（4）建设期的环境监理</w:t>
      </w:r>
    </w:p>
    <w:p w14:paraId="419B9497" w14:textId="77777777" w:rsidR="00E579B9" w:rsidRDefault="006A1398">
      <w:pPr>
        <w:widowControl w:val="0"/>
        <w:spacing w:line="480" w:lineRule="exact"/>
        <w:jc w:val="both"/>
        <w:rPr>
          <w:rFonts w:ascii="宋体" w:hAnsi="宋体" w:cs="宋体"/>
          <w:szCs w:val="24"/>
        </w:rPr>
      </w:pPr>
      <w:r>
        <w:rPr>
          <w:rFonts w:ascii="宋体" w:hAnsi="宋体" w:cs="宋体" w:hint="eastAsia"/>
          <w:szCs w:val="24"/>
        </w:rPr>
        <w:t>为减轻建设项目建设期给周围环境带来的不利影响，建设单位必须加强对施工单位的监督管理，按照环境管理规章制度，聘请具有环境监理资格的人员对工程建设</w:t>
      </w:r>
      <w:r>
        <w:rPr>
          <w:rFonts w:ascii="宋体" w:hAnsi="宋体" w:cs="宋体" w:hint="eastAsia"/>
          <w:szCs w:val="24"/>
        </w:rPr>
        <w:lastRenderedPageBreak/>
        <w:t>期进行全过程环境监理。</w:t>
      </w:r>
    </w:p>
    <w:p w14:paraId="08A0431E" w14:textId="77777777" w:rsidR="00E579B9" w:rsidRDefault="006A1398">
      <w:pPr>
        <w:widowControl w:val="0"/>
        <w:spacing w:line="480" w:lineRule="exact"/>
        <w:jc w:val="both"/>
        <w:rPr>
          <w:rFonts w:ascii="宋体" w:hAnsi="宋体" w:cs="宋体"/>
          <w:szCs w:val="24"/>
        </w:rPr>
      </w:pPr>
      <w:r>
        <w:rPr>
          <w:rFonts w:ascii="宋体" w:hAnsi="宋体" w:cs="宋体" w:hint="eastAsia"/>
          <w:szCs w:val="24"/>
        </w:rPr>
        <w:t>①聘请1～2名环境监理人员，对施工单位进行经常性检查、监督，查看施工单位落实环境保护措施的情况，发现问题及时解决。</w:t>
      </w:r>
    </w:p>
    <w:p w14:paraId="073B9CB6" w14:textId="77777777" w:rsidR="00E579B9" w:rsidRDefault="006A1398">
      <w:pPr>
        <w:widowControl w:val="0"/>
        <w:spacing w:line="480" w:lineRule="exact"/>
        <w:jc w:val="both"/>
        <w:rPr>
          <w:rFonts w:ascii="宋体" w:hAnsi="宋体" w:cs="宋体"/>
          <w:szCs w:val="24"/>
        </w:rPr>
      </w:pPr>
      <w:r>
        <w:rPr>
          <w:rFonts w:ascii="宋体" w:hAnsi="宋体" w:cs="宋体" w:hint="eastAsia"/>
          <w:szCs w:val="24"/>
        </w:rPr>
        <w:t>②环境监理人员要定期以书面形式（施工环境保护监理报告）及时向有关部门汇报，其内容主要是落实施工方是否严格执行了工程初步设计和本工程环境影响报告规定的建设期环境保护措施。</w:t>
      </w:r>
    </w:p>
    <w:p w14:paraId="14F7982F" w14:textId="77777777" w:rsidR="00E579B9" w:rsidRDefault="006A1398">
      <w:r>
        <w:rPr>
          <w:rFonts w:hint="eastAsia"/>
        </w:rPr>
        <w:t>（</w:t>
      </w:r>
      <w:r>
        <w:rPr>
          <w:rFonts w:hint="eastAsia"/>
        </w:rPr>
        <w:t>5</w:t>
      </w:r>
      <w:r>
        <w:rPr>
          <w:rFonts w:hint="eastAsia"/>
        </w:rPr>
        <w:t>）对施工人员加强教育，对包括鸟类在内的动物倍加爱护，不得乱捕滥杀；</w:t>
      </w:r>
    </w:p>
    <w:p w14:paraId="79960109" w14:textId="77777777" w:rsidR="00E579B9" w:rsidRDefault="006A1398">
      <w:r>
        <w:rPr>
          <w:rFonts w:hint="eastAsia"/>
        </w:rPr>
        <w:t>（</w:t>
      </w:r>
      <w:r>
        <w:rPr>
          <w:rFonts w:hint="eastAsia"/>
        </w:rPr>
        <w:t>6</w:t>
      </w:r>
      <w:r>
        <w:rPr>
          <w:rFonts w:hint="eastAsia"/>
        </w:rPr>
        <w:t>）做好施工期火源管理，严禁在林区内吸烟和乱丢弃烟头火种，生活用火有专人管理。</w:t>
      </w:r>
    </w:p>
    <w:p w14:paraId="0AB2BECB" w14:textId="77777777" w:rsidR="00E579B9" w:rsidRDefault="006A1398">
      <w:pPr>
        <w:pStyle w:val="3"/>
        <w:ind w:firstLine="560"/>
      </w:pPr>
      <w:bookmarkStart w:id="426" w:name="_Toc531939398"/>
      <w:bookmarkStart w:id="427" w:name="_Toc531939609"/>
      <w:r>
        <w:rPr>
          <w:rFonts w:hint="eastAsia"/>
        </w:rPr>
        <w:t>6</w:t>
      </w:r>
      <w:r>
        <w:t>.4.2</w:t>
      </w:r>
      <w:r>
        <w:rPr>
          <w:rFonts w:hint="eastAsia"/>
        </w:rPr>
        <w:t>运营期生态环境保护及恢复措施</w:t>
      </w:r>
      <w:bookmarkEnd w:id="426"/>
      <w:bookmarkEnd w:id="427"/>
    </w:p>
    <w:p w14:paraId="064E236D" w14:textId="77777777" w:rsidR="00E579B9" w:rsidRDefault="006A1398">
      <w:pPr>
        <w:widowControl w:val="0"/>
        <w:spacing w:line="480" w:lineRule="exact"/>
        <w:ind w:firstLineChars="0"/>
        <w:jc w:val="both"/>
        <w:rPr>
          <w:rFonts w:ascii="宋体" w:hAnsi="宋体" w:cs="宋体"/>
          <w:szCs w:val="24"/>
        </w:rPr>
      </w:pPr>
      <w:r>
        <w:rPr>
          <w:rFonts w:ascii="宋体" w:hAnsi="宋体" w:cs="宋体"/>
          <w:szCs w:val="24"/>
        </w:rPr>
        <w:t>结合《矿山生态环境保护与恢复治理技术规范（试行）》（HJ651-2013）</w:t>
      </w:r>
      <w:r>
        <w:rPr>
          <w:rFonts w:ascii="宋体" w:hAnsi="宋体" w:cs="宋体" w:hint="eastAsia"/>
          <w:szCs w:val="24"/>
        </w:rPr>
        <w:t>和《非金属矿行业绿色矿山建设规范》（DZ/T0312-2018）</w:t>
      </w:r>
      <w:r>
        <w:rPr>
          <w:rFonts w:ascii="宋体" w:hAnsi="宋体" w:cs="宋体"/>
          <w:szCs w:val="24"/>
        </w:rPr>
        <w:t>要求，本项目运营期生态保护与恢复措施如下：</w:t>
      </w:r>
    </w:p>
    <w:p w14:paraId="7EB1D07B" w14:textId="77777777" w:rsidR="00E579B9" w:rsidRDefault="006A1398">
      <w:r>
        <w:rPr>
          <w:rFonts w:hint="eastAsia"/>
        </w:rPr>
        <w:t>（</w:t>
      </w:r>
      <w:r>
        <w:rPr>
          <w:rFonts w:hint="eastAsia"/>
        </w:rPr>
        <w:t>1</w:t>
      </w:r>
      <w:r>
        <w:rPr>
          <w:rFonts w:hint="eastAsia"/>
        </w:rPr>
        <w:t>）认真做好早期规划，合理设计，保证足额的生态环境保护专项资金。本着“预防为主，防治结合”原则，做好整个营运期生态环保工作，防患于未然；</w:t>
      </w:r>
    </w:p>
    <w:p w14:paraId="0697EE41" w14:textId="77777777" w:rsidR="00E579B9" w:rsidRDefault="006A1398">
      <w:r>
        <w:rPr>
          <w:rFonts w:hint="eastAsia"/>
        </w:rPr>
        <w:t>（</w:t>
      </w:r>
      <w:r>
        <w:t>2</w:t>
      </w:r>
      <w:r>
        <w:rPr>
          <w:rFonts w:hint="eastAsia"/>
        </w:rPr>
        <w:t>）运营期采取边开采边恢复，开采下一个台阶时对上一个台阶进行覆土，表土优先使用后续剥离表土，种植绿色植被和攀沿植物进行生态恢复；为补偿占地损失的生物量，要求对矿山道路两侧种植乔木；</w:t>
      </w:r>
    </w:p>
    <w:p w14:paraId="0D9BF8ED" w14:textId="77777777" w:rsidR="00E579B9" w:rsidRDefault="006A1398">
      <w:r>
        <w:rPr>
          <w:rFonts w:hint="eastAsia"/>
        </w:rPr>
        <w:t>（</w:t>
      </w:r>
      <w:r>
        <w:t>3</w:t>
      </w:r>
      <w:r>
        <w:rPr>
          <w:rFonts w:hint="eastAsia"/>
        </w:rPr>
        <w:t>）项目设计分台阶开采，平面上由上而下开采，增加项目开采安全性外，一定程度上减少了水土流失，减少对生态环境的破坏；且矿区顶部开采境界以外</w:t>
      </w:r>
      <w:r>
        <w:rPr>
          <w:rFonts w:hint="eastAsia"/>
        </w:rPr>
        <w:t>2</w:t>
      </w:r>
      <w:r>
        <w:t>.0m</w:t>
      </w:r>
      <w:r>
        <w:rPr>
          <w:rFonts w:hint="eastAsia"/>
        </w:rPr>
        <w:t>的位置，根据地形条件设置截排水沟，及时对采区汇水进行排离采区，防止地表水沿边坡任意流淌而破坏边坡，确保露天采场生产安全。必要时为保证采坑正常生产、需要安排一定量水泵排除采坑积水；</w:t>
      </w:r>
    </w:p>
    <w:p w14:paraId="33A95040" w14:textId="77777777" w:rsidR="00E579B9" w:rsidRDefault="006A1398">
      <w:r>
        <w:rPr>
          <w:rFonts w:hint="eastAsia"/>
        </w:rPr>
        <w:t>（</w:t>
      </w:r>
      <w:r>
        <w:t>4</w:t>
      </w:r>
      <w:r>
        <w:rPr>
          <w:rFonts w:hint="eastAsia"/>
        </w:rPr>
        <w:t>）沿运输道路路基两侧或一侧设排水沟，尽快对道路两侧和路基边坡进行植被恢复；</w:t>
      </w:r>
    </w:p>
    <w:p w14:paraId="01786AEA" w14:textId="77777777" w:rsidR="00E579B9" w:rsidRDefault="006A1398">
      <w:r>
        <w:rPr>
          <w:rFonts w:hint="eastAsia"/>
        </w:rPr>
        <w:lastRenderedPageBreak/>
        <w:t>（</w:t>
      </w:r>
      <w:r>
        <w:t>5</w:t>
      </w:r>
      <w:r>
        <w:rPr>
          <w:rFonts w:hint="eastAsia"/>
        </w:rPr>
        <w:t>）对采场范围内的表土进行剥离，临时表土场应采取拦挡和排水措施对堆土进行保护；</w:t>
      </w:r>
    </w:p>
    <w:p w14:paraId="03AA4750" w14:textId="77777777" w:rsidR="00E579B9" w:rsidRDefault="006A1398">
      <w:pPr>
        <w:spacing w:line="480" w:lineRule="exact"/>
        <w:rPr>
          <w:rFonts w:ascii="宋体" w:hAnsi="宋体" w:cs="宋体"/>
          <w:szCs w:val="24"/>
        </w:rPr>
      </w:pPr>
      <w:r>
        <w:rPr>
          <w:rFonts w:ascii="宋体" w:hAnsi="宋体" w:cs="宋体"/>
          <w:kern w:val="0"/>
          <w:szCs w:val="24"/>
        </w:rPr>
        <w:t>（3）</w:t>
      </w:r>
      <w:r>
        <w:rPr>
          <w:rFonts w:ascii="宋体" w:hAnsi="宋体" w:cs="宋体"/>
          <w:szCs w:val="24"/>
        </w:rPr>
        <w:t>矿区内裸露未利用区域应及时绿化洒水，栽种树木等。</w:t>
      </w:r>
    </w:p>
    <w:p w14:paraId="367E734C" w14:textId="77777777" w:rsidR="00E579B9" w:rsidRDefault="006A1398">
      <w:pPr>
        <w:pStyle w:val="3"/>
        <w:ind w:firstLine="560"/>
      </w:pPr>
      <w:bookmarkStart w:id="428" w:name="_Toc531939399"/>
      <w:bookmarkStart w:id="429" w:name="_Toc531939610"/>
      <w:r>
        <w:rPr>
          <w:rFonts w:hint="eastAsia"/>
        </w:rPr>
        <w:t>6</w:t>
      </w:r>
      <w:r>
        <w:t>.4.3</w:t>
      </w:r>
      <w:r>
        <w:rPr>
          <w:rFonts w:hint="eastAsia"/>
        </w:rPr>
        <w:t>闭矿期生态环境保护及恢复措施</w:t>
      </w:r>
      <w:bookmarkEnd w:id="428"/>
      <w:bookmarkEnd w:id="429"/>
    </w:p>
    <w:p w14:paraId="2C1A0887" w14:textId="77777777" w:rsidR="00E579B9" w:rsidRDefault="006A1398">
      <w:pPr>
        <w:pStyle w:val="af4"/>
        <w:ind w:firstLineChars="201" w:firstLine="482"/>
        <w:rPr>
          <w:rFonts w:eastAsia="宋体"/>
          <w:sz w:val="24"/>
          <w:szCs w:val="24"/>
        </w:rPr>
      </w:pPr>
      <w:r>
        <w:rPr>
          <w:rFonts w:ascii="宋体" w:eastAsia="宋体" w:hAnsi="宋体"/>
          <w:sz w:val="24"/>
          <w:szCs w:val="24"/>
        </w:rPr>
        <w:t>项目营运期满后，由于采矿活动会形成露天采场、废石场及废弃运输道路等，如果采取措施不当或未采取防护措施，容易造成滑坡、水土流失等自然灾害。因此，矿山闭坑时，企业应对采矿造成的环境问题进行处理，以保护生态环境。生态恢复内容如下：</w:t>
      </w:r>
    </w:p>
    <w:p w14:paraId="7DC5FC6E" w14:textId="77777777" w:rsidR="00E579B9" w:rsidRDefault="006A1398">
      <w:r>
        <w:rPr>
          <w:rFonts w:hint="eastAsia"/>
        </w:rPr>
        <w:t>（</w:t>
      </w:r>
      <w:r>
        <w:rPr>
          <w:rFonts w:hint="eastAsia"/>
        </w:rPr>
        <w:t>1</w:t>
      </w:r>
      <w:r>
        <w:rPr>
          <w:rFonts w:hint="eastAsia"/>
        </w:rPr>
        <w:t>）对开采台阶上覆土，种植速生植物，形成植被保护；</w:t>
      </w:r>
    </w:p>
    <w:p w14:paraId="2F71FC8D" w14:textId="77777777" w:rsidR="00E579B9" w:rsidRDefault="006A1398">
      <w:r>
        <w:rPr>
          <w:rFonts w:hint="eastAsia"/>
        </w:rPr>
        <w:t>（</w:t>
      </w:r>
      <w:r>
        <w:rPr>
          <w:rFonts w:hint="eastAsia"/>
        </w:rPr>
        <w:t>2</w:t>
      </w:r>
      <w:r>
        <w:rPr>
          <w:rFonts w:hint="eastAsia"/>
        </w:rPr>
        <w:t>）进行矿区复垦。露天采场坑底、平台、矿区道路具有较好的条件复垦为林地。但是露采边坡的角度大，为基岩裸露，可以在坡上种植攀缘类植物或者能生长的灌木类，攀附坡面的方式复垦，绿化效果对斜坡有望达到一定的覆盖，复垦方向确定为草地；</w:t>
      </w:r>
    </w:p>
    <w:bookmarkEnd w:id="417"/>
    <w:bookmarkEnd w:id="418"/>
    <w:p w14:paraId="42F278FA" w14:textId="77777777" w:rsidR="00E579B9" w:rsidRDefault="006A1398">
      <w:r>
        <w:rPr>
          <w:rFonts w:hint="eastAsia"/>
        </w:rPr>
        <w:t>（</w:t>
      </w:r>
      <w:r>
        <w:t>3</w:t>
      </w:r>
      <w:r>
        <w:rPr>
          <w:rFonts w:hint="eastAsia"/>
        </w:rPr>
        <w:t>）矿区应采取挂网喷播、种植藤本植物等工程与生物措施进行恢复，并使恢复后的效果与周围景观相协调。</w:t>
      </w:r>
    </w:p>
    <w:p w14:paraId="6B17DACC" w14:textId="77777777" w:rsidR="00E579B9" w:rsidRDefault="006A1398">
      <w:pPr>
        <w:pStyle w:val="3"/>
        <w:ind w:firstLine="560"/>
      </w:pPr>
      <w:r>
        <w:rPr>
          <w:rFonts w:hint="eastAsia"/>
        </w:rPr>
        <w:t>6.4.4</w:t>
      </w:r>
      <w:r>
        <w:rPr>
          <w:rFonts w:hint="eastAsia"/>
        </w:rPr>
        <w:t>生态恢复实施计划</w:t>
      </w:r>
    </w:p>
    <w:p w14:paraId="0D31A4FF" w14:textId="77777777" w:rsidR="00E579B9" w:rsidRDefault="006A1398">
      <w:pPr>
        <w:spacing w:line="520" w:lineRule="exact"/>
        <w:rPr>
          <w:color w:val="000000"/>
        </w:rPr>
      </w:pPr>
      <w:bookmarkStart w:id="430" w:name="_Toc13036628"/>
      <w:r>
        <w:rPr>
          <w:rFonts w:hint="eastAsia"/>
          <w:color w:val="000000"/>
        </w:rPr>
        <w:t>矿山开采区采取“边开采，边恢复”的生态恢复措施，根据矿山开采终了界面，合理安排恢复顺序和时序；排土场亦采取边堆存表土，边恢复措施；破碎工业厂实施周边绿化，待工业场地退役后，再统一进行生态恢复。</w:t>
      </w:r>
    </w:p>
    <w:p w14:paraId="449378DE" w14:textId="77777777" w:rsidR="00E579B9" w:rsidRDefault="006A1398">
      <w:pPr>
        <w:spacing w:line="520" w:lineRule="exact"/>
        <w:rPr>
          <w:color w:val="000000"/>
        </w:rPr>
      </w:pPr>
      <w:r>
        <w:rPr>
          <w:color w:val="000000"/>
        </w:rPr>
        <w:t>建设单位应根据实际情况制定生态恢复的工作计划，明确责任部门和责任人，明确恢复要求，落实相应资金等，按照有关要求及时对项目建设造成的生态问题进行恢复，具体措施如下：</w:t>
      </w:r>
    </w:p>
    <w:p w14:paraId="6890B942" w14:textId="77777777" w:rsidR="00E579B9" w:rsidRDefault="006A1398">
      <w:pPr>
        <w:spacing w:line="520" w:lineRule="exact"/>
        <w:ind w:firstLine="482"/>
        <w:rPr>
          <w:b/>
          <w:color w:val="000000"/>
          <w:szCs w:val="24"/>
          <w:lang w:val="zh-CN"/>
        </w:rPr>
      </w:pPr>
      <w:r>
        <w:rPr>
          <w:rFonts w:hint="eastAsia"/>
          <w:b/>
          <w:color w:val="000000"/>
          <w:szCs w:val="24"/>
          <w:lang w:val="zh-CN"/>
        </w:rPr>
        <w:t>1</w:t>
      </w:r>
      <w:r>
        <w:rPr>
          <w:b/>
          <w:color w:val="000000"/>
          <w:szCs w:val="24"/>
          <w:lang w:val="zh-CN"/>
        </w:rPr>
        <w:t>、工业场地区</w:t>
      </w:r>
    </w:p>
    <w:p w14:paraId="1320064D" w14:textId="77777777" w:rsidR="00E579B9" w:rsidRDefault="006A1398">
      <w:pPr>
        <w:spacing w:line="520" w:lineRule="exact"/>
        <w:rPr>
          <w:color w:val="000000"/>
        </w:rPr>
      </w:pPr>
      <w:r>
        <w:rPr>
          <w:color w:val="000000"/>
        </w:rPr>
        <w:t>覆土绿化：在拆除地面建筑的基础上，利用原有剥离表土对本区裸露区域进行覆土绿化，覆土面积</w:t>
      </w:r>
      <w:r>
        <w:rPr>
          <w:rFonts w:hint="eastAsia"/>
          <w:color w:val="000000"/>
        </w:rPr>
        <w:t>4.67</w:t>
      </w:r>
      <w:r>
        <w:rPr>
          <w:color w:val="000000"/>
        </w:rPr>
        <w:t>hm</w:t>
      </w:r>
      <w:r>
        <w:rPr>
          <w:color w:val="000000"/>
          <w:vertAlign w:val="superscript"/>
        </w:rPr>
        <w:t>2</w:t>
      </w:r>
      <w:r>
        <w:rPr>
          <w:color w:val="000000"/>
        </w:rPr>
        <w:t>。</w:t>
      </w:r>
    </w:p>
    <w:p w14:paraId="4E9E6BF9" w14:textId="77777777" w:rsidR="00E579B9" w:rsidRDefault="006A1398">
      <w:pPr>
        <w:spacing w:line="520" w:lineRule="exact"/>
        <w:rPr>
          <w:color w:val="000000"/>
        </w:rPr>
      </w:pPr>
      <w:r>
        <w:rPr>
          <w:color w:val="000000"/>
        </w:rPr>
        <w:lastRenderedPageBreak/>
        <w:t>工业场地经土地整治后采用乔灌草相结合的方式进行植被恢复。其中乔木为侧柏，株行距</w:t>
      </w:r>
      <w:r>
        <w:rPr>
          <w:color w:val="000000"/>
        </w:rPr>
        <w:t>2m×2.5m</w:t>
      </w:r>
      <w:r>
        <w:rPr>
          <w:color w:val="000000"/>
        </w:rPr>
        <w:t>，灌木为紫穗槐，株行距为</w:t>
      </w:r>
      <w:r>
        <w:rPr>
          <w:color w:val="000000"/>
        </w:rPr>
        <w:t>1.0m×1.0m</w:t>
      </w:r>
      <w:r>
        <w:rPr>
          <w:color w:val="000000"/>
        </w:rPr>
        <w:t>，空隙撒播</w:t>
      </w:r>
      <w:r>
        <w:rPr>
          <w:rFonts w:hint="eastAsia"/>
          <w:color w:val="000000"/>
        </w:rPr>
        <w:t>荆条和其他草籽</w:t>
      </w:r>
      <w:r>
        <w:rPr>
          <w:color w:val="000000"/>
        </w:rPr>
        <w:t>，</w:t>
      </w:r>
      <w:r>
        <w:rPr>
          <w:color w:val="000000"/>
        </w:rPr>
        <w:t>20kg/hm</w:t>
      </w:r>
      <w:r>
        <w:rPr>
          <w:color w:val="000000"/>
          <w:vertAlign w:val="superscript"/>
        </w:rPr>
        <w:t>2</w:t>
      </w:r>
      <w:r>
        <w:rPr>
          <w:rFonts w:hint="eastAsia"/>
          <w:color w:val="000000"/>
        </w:rPr>
        <w:t>；</w:t>
      </w:r>
      <w:r>
        <w:rPr>
          <w:color w:val="000000"/>
        </w:rPr>
        <w:t>绿化面积</w:t>
      </w:r>
      <w:r>
        <w:rPr>
          <w:rFonts w:hint="eastAsia"/>
          <w:color w:val="000000"/>
        </w:rPr>
        <w:t>4.67</w:t>
      </w:r>
      <w:r>
        <w:rPr>
          <w:color w:val="000000"/>
        </w:rPr>
        <w:t>hm</w:t>
      </w:r>
      <w:r>
        <w:rPr>
          <w:color w:val="000000"/>
          <w:vertAlign w:val="superscript"/>
        </w:rPr>
        <w:t>2</w:t>
      </w:r>
      <w:r>
        <w:rPr>
          <w:color w:val="000000"/>
        </w:rPr>
        <w:t>，</w:t>
      </w:r>
      <w:r>
        <w:rPr>
          <w:rFonts w:hint="eastAsia"/>
          <w:color w:val="000000"/>
        </w:rPr>
        <w:t>则</w:t>
      </w:r>
      <w:r>
        <w:rPr>
          <w:color w:val="000000"/>
        </w:rPr>
        <w:t>需栽植侧柏</w:t>
      </w:r>
      <w:r>
        <w:rPr>
          <w:rFonts w:hint="eastAsia"/>
          <w:color w:val="000000"/>
        </w:rPr>
        <w:t>83757</w:t>
      </w:r>
      <w:r>
        <w:rPr>
          <w:color w:val="000000"/>
        </w:rPr>
        <w:t>棵，紫穗槐</w:t>
      </w:r>
      <w:r>
        <w:rPr>
          <w:rFonts w:hint="eastAsia"/>
          <w:color w:val="000000"/>
        </w:rPr>
        <w:t>46693</w:t>
      </w:r>
      <w:r>
        <w:rPr>
          <w:color w:val="000000"/>
        </w:rPr>
        <w:t>株，</w:t>
      </w:r>
      <w:r>
        <w:rPr>
          <w:rFonts w:hint="eastAsia"/>
          <w:color w:val="000000"/>
        </w:rPr>
        <w:t>荆条和草籽播种</w:t>
      </w:r>
      <w:r>
        <w:rPr>
          <w:rFonts w:hint="eastAsia"/>
          <w:color w:val="000000"/>
        </w:rPr>
        <w:t>93.39</w:t>
      </w:r>
      <w:r>
        <w:rPr>
          <w:color w:val="000000"/>
        </w:rPr>
        <w:t>kg</w:t>
      </w:r>
      <w:r>
        <w:rPr>
          <w:rFonts w:hint="eastAsia"/>
          <w:color w:val="000000"/>
        </w:rPr>
        <w:t>的种子。</w:t>
      </w:r>
    </w:p>
    <w:p w14:paraId="2EA10B8C" w14:textId="77777777" w:rsidR="00E579B9" w:rsidRDefault="006A1398">
      <w:pPr>
        <w:spacing w:line="520" w:lineRule="exact"/>
        <w:ind w:firstLine="482"/>
        <w:rPr>
          <w:b/>
          <w:color w:val="000000"/>
          <w:szCs w:val="24"/>
          <w:lang w:val="zh-CN"/>
        </w:rPr>
      </w:pPr>
      <w:r>
        <w:rPr>
          <w:b/>
          <w:color w:val="000000"/>
          <w:szCs w:val="24"/>
          <w:lang w:val="zh-CN"/>
        </w:rPr>
        <w:t>2</w:t>
      </w:r>
      <w:r>
        <w:rPr>
          <w:b/>
          <w:color w:val="000000"/>
          <w:szCs w:val="24"/>
          <w:lang w:val="zh-CN"/>
        </w:rPr>
        <w:t>、矿山开采区</w:t>
      </w:r>
    </w:p>
    <w:p w14:paraId="7344B666" w14:textId="77777777" w:rsidR="00E579B9" w:rsidRDefault="006A1398">
      <w:pPr>
        <w:spacing w:line="520" w:lineRule="exact"/>
        <w:rPr>
          <w:color w:val="000000"/>
        </w:rPr>
      </w:pPr>
      <w:r>
        <w:rPr>
          <w:color w:val="000000"/>
        </w:rPr>
        <w:t>覆土绿化：主要是对矿体采空后的采区</w:t>
      </w:r>
      <w:r>
        <w:rPr>
          <w:rFonts w:hint="eastAsia"/>
          <w:color w:val="000000"/>
        </w:rPr>
        <w:t>29.65</w:t>
      </w:r>
      <w:r>
        <w:rPr>
          <w:color w:val="000000"/>
        </w:rPr>
        <w:t>hm</w:t>
      </w:r>
      <w:r>
        <w:rPr>
          <w:color w:val="000000"/>
          <w:vertAlign w:val="superscript"/>
        </w:rPr>
        <w:t>2</w:t>
      </w:r>
      <w:r>
        <w:rPr>
          <w:color w:val="000000"/>
        </w:rPr>
        <w:t>裸露地表进行覆土绿化，土料来源于本区裸露地表剥离的表土</w:t>
      </w:r>
      <w:r>
        <w:rPr>
          <w:rFonts w:hint="eastAsia"/>
          <w:color w:val="000000"/>
        </w:rPr>
        <w:t>，绿化采用乔灌草绿化。</w:t>
      </w:r>
    </w:p>
    <w:p w14:paraId="2E165E44" w14:textId="77777777" w:rsidR="00E579B9" w:rsidRDefault="006A1398">
      <w:pPr>
        <w:spacing w:line="520" w:lineRule="exact"/>
        <w:rPr>
          <w:color w:val="000000"/>
        </w:rPr>
      </w:pPr>
      <w:r>
        <w:rPr>
          <w:color w:val="000000"/>
        </w:rPr>
        <w:t>其中乔木为侧柏，株行距</w:t>
      </w:r>
      <w:r>
        <w:rPr>
          <w:color w:val="000000"/>
        </w:rPr>
        <w:t>2m×2.5m</w:t>
      </w:r>
      <w:r>
        <w:rPr>
          <w:color w:val="000000"/>
        </w:rPr>
        <w:t>，灌木为紫穗槐，株行距为</w:t>
      </w:r>
      <w:r>
        <w:rPr>
          <w:color w:val="000000"/>
        </w:rPr>
        <w:t>1.0m×1.0m</w:t>
      </w:r>
      <w:r>
        <w:rPr>
          <w:color w:val="000000"/>
        </w:rPr>
        <w:t>，空隙撒播</w:t>
      </w:r>
      <w:r>
        <w:rPr>
          <w:rFonts w:hint="eastAsia"/>
          <w:color w:val="000000"/>
        </w:rPr>
        <w:t>荆条和其他草籽</w:t>
      </w:r>
      <w:r>
        <w:rPr>
          <w:color w:val="000000"/>
        </w:rPr>
        <w:t>，</w:t>
      </w:r>
      <w:r>
        <w:rPr>
          <w:color w:val="000000"/>
        </w:rPr>
        <w:t>20kg/hm</w:t>
      </w:r>
      <w:r>
        <w:rPr>
          <w:color w:val="000000"/>
          <w:vertAlign w:val="superscript"/>
        </w:rPr>
        <w:t>2</w:t>
      </w:r>
      <w:r>
        <w:rPr>
          <w:rFonts w:hint="eastAsia"/>
          <w:color w:val="000000"/>
        </w:rPr>
        <w:t>；</w:t>
      </w:r>
      <w:r>
        <w:rPr>
          <w:color w:val="000000"/>
        </w:rPr>
        <w:t>绿化面积</w:t>
      </w:r>
      <w:r>
        <w:rPr>
          <w:rFonts w:hint="eastAsia"/>
          <w:color w:val="000000"/>
        </w:rPr>
        <w:t>23.195</w:t>
      </w:r>
      <w:r>
        <w:rPr>
          <w:color w:val="000000"/>
        </w:rPr>
        <w:t>hm</w:t>
      </w:r>
      <w:r>
        <w:rPr>
          <w:color w:val="000000"/>
          <w:vertAlign w:val="superscript"/>
        </w:rPr>
        <w:t>2</w:t>
      </w:r>
      <w:r>
        <w:rPr>
          <w:color w:val="000000"/>
        </w:rPr>
        <w:t>，</w:t>
      </w:r>
      <w:r>
        <w:rPr>
          <w:rFonts w:hint="eastAsia"/>
          <w:color w:val="000000"/>
        </w:rPr>
        <w:t>则</w:t>
      </w:r>
      <w:r>
        <w:rPr>
          <w:color w:val="000000"/>
        </w:rPr>
        <w:t>需栽植侧柏</w:t>
      </w:r>
      <w:r>
        <w:rPr>
          <w:rFonts w:hint="eastAsia"/>
          <w:color w:val="000000"/>
        </w:rPr>
        <w:t>5.89</w:t>
      </w:r>
      <w:r>
        <w:rPr>
          <w:rFonts w:hint="eastAsia"/>
          <w:color w:val="000000"/>
        </w:rPr>
        <w:t>万</w:t>
      </w:r>
      <w:r>
        <w:rPr>
          <w:color w:val="000000"/>
        </w:rPr>
        <w:t>棵，紫穗槐</w:t>
      </w:r>
      <w:r>
        <w:rPr>
          <w:rFonts w:hint="eastAsia"/>
          <w:color w:val="000000"/>
        </w:rPr>
        <w:t>29.7</w:t>
      </w:r>
      <w:r>
        <w:rPr>
          <w:rFonts w:hint="eastAsia"/>
          <w:color w:val="000000"/>
        </w:rPr>
        <w:t>万</w:t>
      </w:r>
      <w:r>
        <w:rPr>
          <w:color w:val="000000"/>
        </w:rPr>
        <w:t>株，</w:t>
      </w:r>
      <w:r>
        <w:rPr>
          <w:rFonts w:hint="eastAsia"/>
          <w:color w:val="000000"/>
        </w:rPr>
        <w:t>荆条和其他草籽播种</w:t>
      </w:r>
      <w:r>
        <w:rPr>
          <w:rFonts w:hint="eastAsia"/>
          <w:color w:val="000000"/>
        </w:rPr>
        <w:t>592.79</w:t>
      </w:r>
      <w:r>
        <w:rPr>
          <w:color w:val="000000"/>
        </w:rPr>
        <w:t>kg</w:t>
      </w:r>
      <w:r>
        <w:rPr>
          <w:rFonts w:hint="eastAsia"/>
          <w:color w:val="000000"/>
        </w:rPr>
        <w:t>的种子</w:t>
      </w:r>
      <w:r>
        <w:rPr>
          <w:color w:val="000000"/>
        </w:rPr>
        <w:t>。</w:t>
      </w:r>
    </w:p>
    <w:p w14:paraId="2B2B303E" w14:textId="77777777" w:rsidR="00E579B9" w:rsidRDefault="006A1398">
      <w:pPr>
        <w:spacing w:line="520" w:lineRule="exact"/>
        <w:ind w:firstLine="482"/>
        <w:rPr>
          <w:b/>
          <w:color w:val="000000"/>
          <w:szCs w:val="24"/>
          <w:lang w:val="zh-CN"/>
        </w:rPr>
      </w:pPr>
      <w:r>
        <w:rPr>
          <w:b/>
          <w:color w:val="000000"/>
          <w:szCs w:val="24"/>
          <w:lang w:val="zh-CN"/>
        </w:rPr>
        <w:t>3</w:t>
      </w:r>
      <w:r>
        <w:rPr>
          <w:b/>
          <w:color w:val="000000"/>
          <w:szCs w:val="24"/>
          <w:lang w:val="zh-CN"/>
        </w:rPr>
        <w:t>、</w:t>
      </w:r>
      <w:r>
        <w:rPr>
          <w:rFonts w:hint="eastAsia"/>
          <w:b/>
          <w:color w:val="000000"/>
          <w:szCs w:val="24"/>
          <w:lang w:val="zh-CN"/>
        </w:rPr>
        <w:t>临时堆场</w:t>
      </w:r>
    </w:p>
    <w:p w14:paraId="32E696B0" w14:textId="77777777" w:rsidR="00E579B9" w:rsidRDefault="006A1398">
      <w:pPr>
        <w:spacing w:line="520" w:lineRule="exact"/>
        <w:rPr>
          <w:color w:val="000000"/>
        </w:rPr>
      </w:pPr>
      <w:r>
        <w:rPr>
          <w:color w:val="000000"/>
          <w:szCs w:val="24"/>
        </w:rPr>
        <w:t>覆土绿化：对</w:t>
      </w:r>
      <w:r>
        <w:rPr>
          <w:rFonts w:hint="eastAsia"/>
          <w:color w:val="000000"/>
          <w:szCs w:val="24"/>
        </w:rPr>
        <w:t>临时堆场</w:t>
      </w:r>
      <w:r>
        <w:rPr>
          <w:color w:val="000000"/>
          <w:szCs w:val="24"/>
        </w:rPr>
        <w:t>进行植被恢复，种植区域为除挡墙、截水沟以外的其他区域共计</w:t>
      </w:r>
      <w:r>
        <w:rPr>
          <w:rFonts w:hint="eastAsia"/>
          <w:color w:val="000000"/>
          <w:szCs w:val="24"/>
        </w:rPr>
        <w:t>0.1</w:t>
      </w:r>
      <w:r>
        <w:rPr>
          <w:color w:val="000000"/>
          <w:szCs w:val="24"/>
        </w:rPr>
        <w:t>hm</w:t>
      </w:r>
      <w:r>
        <w:rPr>
          <w:color w:val="000000"/>
          <w:szCs w:val="24"/>
          <w:vertAlign w:val="superscript"/>
        </w:rPr>
        <w:t>2</w:t>
      </w:r>
      <w:r>
        <w:rPr>
          <w:color w:val="000000"/>
          <w:szCs w:val="24"/>
        </w:rPr>
        <w:t>。采用乔灌草结合绿化，乔木为侧柏，株行距</w:t>
      </w:r>
      <w:r>
        <w:rPr>
          <w:color w:val="000000"/>
          <w:szCs w:val="24"/>
        </w:rPr>
        <w:t>2m×2.5m</w:t>
      </w:r>
      <w:r>
        <w:rPr>
          <w:color w:val="000000"/>
          <w:szCs w:val="24"/>
        </w:rPr>
        <w:t>，灌木为紫穗槐，株行距为</w:t>
      </w:r>
      <w:r>
        <w:rPr>
          <w:color w:val="000000"/>
          <w:szCs w:val="24"/>
        </w:rPr>
        <w:t>1.0m×1.0m</w:t>
      </w:r>
      <w:r>
        <w:rPr>
          <w:color w:val="000000"/>
          <w:szCs w:val="24"/>
        </w:rPr>
        <w:t>，</w:t>
      </w:r>
      <w:r>
        <w:rPr>
          <w:rFonts w:hint="eastAsia"/>
          <w:color w:val="000000"/>
          <w:szCs w:val="24"/>
        </w:rPr>
        <w:t>荆条和其他草籽播种</w:t>
      </w:r>
      <w:r>
        <w:rPr>
          <w:color w:val="000000"/>
          <w:szCs w:val="24"/>
        </w:rPr>
        <w:t>，</w:t>
      </w:r>
      <w:r>
        <w:rPr>
          <w:color w:val="000000"/>
          <w:szCs w:val="24"/>
        </w:rPr>
        <w:t>20kg/hm</w:t>
      </w:r>
      <w:r>
        <w:rPr>
          <w:color w:val="000000"/>
          <w:szCs w:val="24"/>
          <w:vertAlign w:val="superscript"/>
        </w:rPr>
        <w:t>2</w:t>
      </w:r>
      <w:r>
        <w:rPr>
          <w:rFonts w:hint="eastAsia"/>
          <w:color w:val="000000"/>
          <w:szCs w:val="24"/>
        </w:rPr>
        <w:t>。</w:t>
      </w:r>
      <w:r>
        <w:rPr>
          <w:color w:val="000000"/>
        </w:rPr>
        <w:t>绿化面积</w:t>
      </w:r>
      <w:r>
        <w:rPr>
          <w:rFonts w:hint="eastAsia"/>
          <w:color w:val="000000"/>
        </w:rPr>
        <w:t>0.1</w:t>
      </w:r>
      <w:r>
        <w:rPr>
          <w:color w:val="000000"/>
        </w:rPr>
        <w:t>hm</w:t>
      </w:r>
      <w:r>
        <w:rPr>
          <w:color w:val="000000"/>
          <w:vertAlign w:val="superscript"/>
        </w:rPr>
        <w:t>2</w:t>
      </w:r>
      <w:r>
        <w:rPr>
          <w:color w:val="000000"/>
        </w:rPr>
        <w:t>，</w:t>
      </w:r>
      <w:r>
        <w:rPr>
          <w:rFonts w:hint="eastAsia"/>
          <w:color w:val="000000"/>
        </w:rPr>
        <w:t>则</w:t>
      </w:r>
      <w:r>
        <w:rPr>
          <w:color w:val="000000"/>
        </w:rPr>
        <w:t>需栽植侧柏</w:t>
      </w:r>
      <w:r>
        <w:rPr>
          <w:rFonts w:hint="eastAsia"/>
          <w:color w:val="000000"/>
        </w:rPr>
        <w:t>1836</w:t>
      </w:r>
      <w:r>
        <w:rPr>
          <w:color w:val="000000"/>
        </w:rPr>
        <w:t>棵，紫穗槐</w:t>
      </w:r>
      <w:r>
        <w:rPr>
          <w:rFonts w:hint="eastAsia"/>
          <w:color w:val="000000"/>
        </w:rPr>
        <w:t>1000</w:t>
      </w:r>
      <w:r>
        <w:rPr>
          <w:color w:val="000000"/>
        </w:rPr>
        <w:t>株，</w:t>
      </w:r>
      <w:r>
        <w:rPr>
          <w:rFonts w:hint="eastAsia"/>
          <w:color w:val="000000"/>
        </w:rPr>
        <w:t>荆条和其他草籽播种</w:t>
      </w:r>
      <w:r>
        <w:rPr>
          <w:rFonts w:hint="eastAsia"/>
          <w:color w:val="000000"/>
        </w:rPr>
        <w:t>2</w:t>
      </w:r>
      <w:r>
        <w:rPr>
          <w:rFonts w:hint="eastAsia"/>
          <w:color w:val="000000"/>
        </w:rPr>
        <w:t>的种子</w:t>
      </w:r>
      <w:r>
        <w:rPr>
          <w:color w:val="000000"/>
        </w:rPr>
        <w:t>。</w:t>
      </w:r>
    </w:p>
    <w:p w14:paraId="532FA172" w14:textId="77777777" w:rsidR="00E579B9" w:rsidRDefault="006A1398">
      <w:pPr>
        <w:spacing w:line="520" w:lineRule="exact"/>
        <w:ind w:firstLine="482"/>
        <w:rPr>
          <w:b/>
          <w:color w:val="000000"/>
          <w:szCs w:val="24"/>
          <w:lang w:val="zh-CN"/>
        </w:rPr>
      </w:pPr>
      <w:r>
        <w:rPr>
          <w:rFonts w:hint="eastAsia"/>
          <w:b/>
          <w:color w:val="000000"/>
          <w:szCs w:val="24"/>
          <w:lang w:val="zh-CN"/>
        </w:rPr>
        <w:t>4</w:t>
      </w:r>
      <w:r>
        <w:rPr>
          <w:rFonts w:hint="eastAsia"/>
          <w:b/>
          <w:color w:val="000000"/>
          <w:szCs w:val="24"/>
          <w:lang w:val="zh-CN"/>
        </w:rPr>
        <w:t>、道路</w:t>
      </w:r>
    </w:p>
    <w:p w14:paraId="65518581" w14:textId="77777777" w:rsidR="00E579B9" w:rsidRDefault="006A1398">
      <w:pPr>
        <w:spacing w:line="520" w:lineRule="exact"/>
        <w:rPr>
          <w:b/>
          <w:color w:val="000000"/>
          <w:szCs w:val="24"/>
          <w:lang w:val="zh-CN"/>
        </w:rPr>
      </w:pPr>
      <w:r>
        <w:rPr>
          <w:color w:val="000000"/>
          <w:szCs w:val="24"/>
        </w:rPr>
        <w:t>覆土绿化：</w:t>
      </w:r>
      <w:r>
        <w:rPr>
          <w:rFonts w:hint="eastAsia"/>
          <w:color w:val="000000"/>
          <w:szCs w:val="24"/>
        </w:rPr>
        <w:t>道路由于服务期满后，保留大部分道路，故其植被恢复率约</w:t>
      </w:r>
      <w:r>
        <w:rPr>
          <w:rFonts w:hint="eastAsia"/>
          <w:color w:val="000000"/>
          <w:szCs w:val="24"/>
        </w:rPr>
        <w:t>53.8%</w:t>
      </w:r>
      <w:r>
        <w:rPr>
          <w:rFonts w:hint="eastAsia"/>
          <w:color w:val="000000"/>
          <w:szCs w:val="24"/>
        </w:rPr>
        <w:t>，主要种植</w:t>
      </w:r>
      <w:r>
        <w:rPr>
          <w:color w:val="000000"/>
          <w:kern w:val="0"/>
          <w:szCs w:val="24"/>
        </w:rPr>
        <w:t>侧柏防护</w:t>
      </w:r>
      <w:r>
        <w:rPr>
          <w:rFonts w:hint="eastAsia"/>
          <w:color w:val="000000"/>
          <w:kern w:val="0"/>
          <w:szCs w:val="24"/>
        </w:rPr>
        <w:t>、</w:t>
      </w:r>
      <w:r>
        <w:rPr>
          <w:color w:val="000000"/>
          <w:kern w:val="0"/>
          <w:szCs w:val="24"/>
        </w:rPr>
        <w:t>挖填边坡撒播草籽防护。</w:t>
      </w:r>
    </w:p>
    <w:p w14:paraId="037B7FB5" w14:textId="77777777" w:rsidR="00E579B9" w:rsidRDefault="006A1398">
      <w:pPr>
        <w:pStyle w:val="2"/>
        <w:ind w:firstLine="560"/>
      </w:pPr>
      <w:bookmarkStart w:id="431" w:name="_Toc33021814"/>
      <w:r>
        <w:rPr>
          <w:rFonts w:hint="eastAsia"/>
        </w:rPr>
        <w:t>6</w:t>
      </w:r>
      <w:r>
        <w:t>.</w:t>
      </w:r>
      <w:r>
        <w:rPr>
          <w:rFonts w:hint="eastAsia"/>
        </w:rPr>
        <w:t>5</w:t>
      </w:r>
      <w:r>
        <w:rPr>
          <w:rFonts w:hint="eastAsia"/>
        </w:rPr>
        <w:t>矿山生态环境保护与恢复治理技术规范（试行）要求的生态保护措施</w:t>
      </w:r>
      <w:bookmarkEnd w:id="430"/>
      <w:bookmarkEnd w:id="431"/>
    </w:p>
    <w:p w14:paraId="33DEEE10" w14:textId="77777777" w:rsidR="00E579B9" w:rsidRDefault="006A1398">
      <w:pPr>
        <w:pStyle w:val="226"/>
        <w:rPr>
          <w:rFonts w:cs="Times New Roman"/>
          <w:kern w:val="0"/>
        </w:rPr>
      </w:pPr>
      <w:r>
        <w:rPr>
          <w:rFonts w:cs="Times New Roman" w:hint="eastAsia"/>
          <w:kern w:val="0"/>
        </w:rPr>
        <w:t>根据《矿山生态环境保护与恢复治理技术规范（试行）》（</w:t>
      </w:r>
      <w:r>
        <w:rPr>
          <w:rFonts w:cs="Times New Roman" w:hint="eastAsia"/>
          <w:kern w:val="0"/>
        </w:rPr>
        <w:t>HJ651-2013</w:t>
      </w:r>
      <w:r>
        <w:rPr>
          <w:rFonts w:cs="Times New Roman" w:hint="eastAsia"/>
          <w:kern w:val="0"/>
        </w:rPr>
        <w:t>）的要求，项目与该技术规范的相符性及拟采取的生态环境保护措施如下：</w:t>
      </w:r>
    </w:p>
    <w:p w14:paraId="0A5FB535" w14:textId="77777777" w:rsidR="00E579B9" w:rsidRDefault="006A1398">
      <w:pPr>
        <w:adjustRightInd w:val="0"/>
        <w:snapToGrid w:val="0"/>
        <w:spacing w:line="520" w:lineRule="exact"/>
        <w:rPr>
          <w:rFonts w:eastAsia="黑体"/>
          <w:bCs/>
          <w:kern w:val="0"/>
        </w:rPr>
      </w:pPr>
      <w:r>
        <w:rPr>
          <w:rFonts w:eastAsia="黑体"/>
          <w:bCs/>
          <w:kern w:val="0"/>
        </w:rPr>
        <w:t>表</w:t>
      </w:r>
      <w:r>
        <w:rPr>
          <w:rFonts w:eastAsia="黑体" w:hint="eastAsia"/>
          <w:bCs/>
          <w:kern w:val="0"/>
        </w:rPr>
        <w:t>6.5-1</w:t>
      </w:r>
      <w:r>
        <w:rPr>
          <w:rFonts w:eastAsia="黑体"/>
          <w:bCs/>
          <w:kern w:val="0"/>
        </w:rPr>
        <w:t>本项目与《矿山生态环境保护与恢复治理技术规范》的相符性分析表</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667"/>
        <w:gridCol w:w="4060"/>
        <w:gridCol w:w="2653"/>
        <w:gridCol w:w="889"/>
      </w:tblGrid>
      <w:tr w:rsidR="00E579B9" w14:paraId="0409F4A2" w14:textId="77777777">
        <w:tc>
          <w:tcPr>
            <w:tcW w:w="677" w:type="dxa"/>
            <w:vAlign w:val="center"/>
          </w:tcPr>
          <w:p w14:paraId="14B75A1E" w14:textId="77777777" w:rsidR="00E579B9" w:rsidRDefault="006A1398">
            <w:pPr>
              <w:spacing w:line="360" w:lineRule="exact"/>
              <w:ind w:firstLineChars="0" w:firstLine="0"/>
              <w:jc w:val="center"/>
              <w:rPr>
                <w:sz w:val="21"/>
                <w:szCs w:val="21"/>
              </w:rPr>
            </w:pPr>
            <w:r>
              <w:rPr>
                <w:sz w:val="21"/>
                <w:szCs w:val="21"/>
              </w:rPr>
              <w:t>项目</w:t>
            </w:r>
          </w:p>
        </w:tc>
        <w:tc>
          <w:tcPr>
            <w:tcW w:w="667" w:type="dxa"/>
            <w:vAlign w:val="center"/>
          </w:tcPr>
          <w:p w14:paraId="5908FCA6" w14:textId="77777777" w:rsidR="00E579B9" w:rsidRDefault="006A1398">
            <w:pPr>
              <w:spacing w:line="360" w:lineRule="exact"/>
              <w:ind w:firstLineChars="0" w:firstLine="0"/>
              <w:jc w:val="center"/>
              <w:rPr>
                <w:sz w:val="21"/>
                <w:szCs w:val="21"/>
              </w:rPr>
            </w:pPr>
            <w:r>
              <w:rPr>
                <w:sz w:val="21"/>
                <w:szCs w:val="21"/>
              </w:rPr>
              <w:t>序号</w:t>
            </w:r>
          </w:p>
        </w:tc>
        <w:tc>
          <w:tcPr>
            <w:tcW w:w="4060" w:type="dxa"/>
            <w:vAlign w:val="center"/>
          </w:tcPr>
          <w:p w14:paraId="48D15EA5" w14:textId="77777777" w:rsidR="00E579B9" w:rsidRDefault="006A1398">
            <w:pPr>
              <w:spacing w:line="360" w:lineRule="exact"/>
              <w:ind w:firstLineChars="0" w:firstLine="0"/>
              <w:jc w:val="center"/>
              <w:rPr>
                <w:sz w:val="21"/>
                <w:szCs w:val="21"/>
              </w:rPr>
            </w:pPr>
            <w:r>
              <w:rPr>
                <w:sz w:val="21"/>
                <w:szCs w:val="21"/>
              </w:rPr>
              <w:t>规范内容</w:t>
            </w:r>
          </w:p>
        </w:tc>
        <w:tc>
          <w:tcPr>
            <w:tcW w:w="2653" w:type="dxa"/>
            <w:vAlign w:val="center"/>
          </w:tcPr>
          <w:p w14:paraId="2328C0D3" w14:textId="77777777" w:rsidR="00E579B9" w:rsidRDefault="006A1398">
            <w:pPr>
              <w:spacing w:line="360" w:lineRule="exact"/>
              <w:ind w:firstLineChars="0" w:firstLine="0"/>
              <w:jc w:val="center"/>
              <w:rPr>
                <w:sz w:val="21"/>
                <w:szCs w:val="21"/>
              </w:rPr>
            </w:pPr>
            <w:r>
              <w:rPr>
                <w:sz w:val="21"/>
                <w:szCs w:val="21"/>
              </w:rPr>
              <w:t>本项目</w:t>
            </w:r>
          </w:p>
        </w:tc>
        <w:tc>
          <w:tcPr>
            <w:tcW w:w="889" w:type="dxa"/>
            <w:vAlign w:val="center"/>
          </w:tcPr>
          <w:p w14:paraId="6D7A332B" w14:textId="77777777" w:rsidR="00E579B9" w:rsidRDefault="006A1398">
            <w:pPr>
              <w:spacing w:line="360" w:lineRule="exact"/>
              <w:ind w:firstLineChars="0" w:firstLine="0"/>
              <w:jc w:val="center"/>
              <w:rPr>
                <w:sz w:val="21"/>
                <w:szCs w:val="21"/>
              </w:rPr>
            </w:pPr>
            <w:r>
              <w:rPr>
                <w:sz w:val="21"/>
                <w:szCs w:val="21"/>
              </w:rPr>
              <w:t>相符性</w:t>
            </w:r>
          </w:p>
        </w:tc>
      </w:tr>
      <w:tr w:rsidR="00E579B9" w14:paraId="7072FF1B" w14:textId="77777777">
        <w:tc>
          <w:tcPr>
            <w:tcW w:w="677" w:type="dxa"/>
            <w:vMerge w:val="restart"/>
            <w:vAlign w:val="center"/>
          </w:tcPr>
          <w:p w14:paraId="0CFA8FA5" w14:textId="77777777" w:rsidR="00E579B9" w:rsidRDefault="006A1398">
            <w:pPr>
              <w:spacing w:line="360" w:lineRule="exact"/>
              <w:ind w:firstLineChars="0" w:firstLine="0"/>
              <w:jc w:val="center"/>
              <w:rPr>
                <w:sz w:val="21"/>
                <w:szCs w:val="21"/>
              </w:rPr>
            </w:pPr>
            <w:r>
              <w:rPr>
                <w:sz w:val="21"/>
                <w:szCs w:val="21"/>
              </w:rPr>
              <w:lastRenderedPageBreak/>
              <w:t>矿山生态环境保护与恢复治理的一般要求</w:t>
            </w:r>
          </w:p>
        </w:tc>
        <w:tc>
          <w:tcPr>
            <w:tcW w:w="667" w:type="dxa"/>
            <w:vAlign w:val="center"/>
          </w:tcPr>
          <w:p w14:paraId="0365678A" w14:textId="77777777" w:rsidR="00E579B9" w:rsidRDefault="006A1398">
            <w:pPr>
              <w:spacing w:line="360" w:lineRule="exact"/>
              <w:ind w:firstLineChars="0" w:firstLine="0"/>
              <w:jc w:val="center"/>
              <w:rPr>
                <w:sz w:val="21"/>
                <w:szCs w:val="21"/>
              </w:rPr>
            </w:pPr>
            <w:r>
              <w:rPr>
                <w:sz w:val="21"/>
                <w:szCs w:val="21"/>
              </w:rPr>
              <w:t>4.1</w:t>
            </w:r>
          </w:p>
        </w:tc>
        <w:tc>
          <w:tcPr>
            <w:tcW w:w="4060" w:type="dxa"/>
            <w:vAlign w:val="center"/>
          </w:tcPr>
          <w:p w14:paraId="6441CE41" w14:textId="77777777" w:rsidR="00E579B9" w:rsidRDefault="006A1398">
            <w:pPr>
              <w:spacing w:line="360" w:lineRule="exact"/>
              <w:ind w:firstLineChars="0" w:firstLine="0"/>
              <w:jc w:val="center"/>
              <w:rPr>
                <w:sz w:val="21"/>
                <w:szCs w:val="21"/>
              </w:rPr>
            </w:pPr>
            <w:r>
              <w:rPr>
                <w:sz w:val="21"/>
                <w:szCs w:val="21"/>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2653" w:type="dxa"/>
            <w:vAlign w:val="center"/>
          </w:tcPr>
          <w:p w14:paraId="4B928B80" w14:textId="77777777" w:rsidR="00E579B9" w:rsidRDefault="006A1398">
            <w:pPr>
              <w:spacing w:line="360" w:lineRule="exact"/>
              <w:ind w:firstLineChars="0" w:firstLine="0"/>
              <w:jc w:val="center"/>
              <w:rPr>
                <w:sz w:val="21"/>
                <w:szCs w:val="21"/>
              </w:rPr>
            </w:pPr>
            <w:r>
              <w:rPr>
                <w:sz w:val="21"/>
                <w:szCs w:val="21"/>
              </w:rPr>
              <w:t>本项目属于露天采矿。建设区域内不属于自然保护区、风景名胜区、森林公园、文物古迹所在地、地质遗迹保护区、基本农田保护区等重要生态保护地以及其他法律法规规定的禁采区域。不在重要道路、航道两侧及重要生态环境敏感目标可视范围内。</w:t>
            </w:r>
          </w:p>
        </w:tc>
        <w:tc>
          <w:tcPr>
            <w:tcW w:w="889" w:type="dxa"/>
            <w:vAlign w:val="center"/>
          </w:tcPr>
          <w:p w14:paraId="4FFE78F4" w14:textId="77777777" w:rsidR="00E579B9" w:rsidRDefault="006A1398">
            <w:pPr>
              <w:spacing w:line="360" w:lineRule="exact"/>
              <w:ind w:firstLineChars="0" w:firstLine="0"/>
              <w:jc w:val="center"/>
              <w:rPr>
                <w:sz w:val="21"/>
                <w:szCs w:val="21"/>
              </w:rPr>
            </w:pPr>
            <w:r>
              <w:rPr>
                <w:sz w:val="21"/>
                <w:szCs w:val="21"/>
              </w:rPr>
              <w:t>符合</w:t>
            </w:r>
          </w:p>
        </w:tc>
      </w:tr>
      <w:tr w:rsidR="00E579B9" w14:paraId="4AF446AD" w14:textId="77777777">
        <w:tc>
          <w:tcPr>
            <w:tcW w:w="677" w:type="dxa"/>
            <w:vMerge/>
            <w:vAlign w:val="center"/>
          </w:tcPr>
          <w:p w14:paraId="06B1A02E" w14:textId="77777777" w:rsidR="00E579B9" w:rsidRDefault="00E579B9">
            <w:pPr>
              <w:spacing w:line="360" w:lineRule="exact"/>
              <w:ind w:firstLineChars="0" w:firstLine="0"/>
              <w:jc w:val="center"/>
              <w:rPr>
                <w:sz w:val="21"/>
                <w:szCs w:val="21"/>
              </w:rPr>
            </w:pPr>
          </w:p>
        </w:tc>
        <w:tc>
          <w:tcPr>
            <w:tcW w:w="667" w:type="dxa"/>
            <w:vAlign w:val="center"/>
          </w:tcPr>
          <w:p w14:paraId="675AB171" w14:textId="77777777" w:rsidR="00E579B9" w:rsidRDefault="006A1398">
            <w:pPr>
              <w:spacing w:line="360" w:lineRule="exact"/>
              <w:ind w:firstLineChars="0" w:firstLine="0"/>
              <w:jc w:val="center"/>
              <w:rPr>
                <w:sz w:val="21"/>
                <w:szCs w:val="21"/>
              </w:rPr>
            </w:pPr>
            <w:r>
              <w:rPr>
                <w:sz w:val="21"/>
                <w:szCs w:val="21"/>
              </w:rPr>
              <w:t>4.2</w:t>
            </w:r>
          </w:p>
        </w:tc>
        <w:tc>
          <w:tcPr>
            <w:tcW w:w="4060" w:type="dxa"/>
            <w:vAlign w:val="center"/>
          </w:tcPr>
          <w:p w14:paraId="1D5626C0" w14:textId="77777777" w:rsidR="00E579B9" w:rsidRDefault="006A1398">
            <w:pPr>
              <w:spacing w:line="360" w:lineRule="exact"/>
              <w:ind w:firstLineChars="0" w:firstLine="0"/>
              <w:jc w:val="center"/>
              <w:rPr>
                <w:sz w:val="21"/>
                <w:szCs w:val="21"/>
              </w:rPr>
            </w:pPr>
            <w:r>
              <w:rPr>
                <w:sz w:val="21"/>
                <w:szCs w:val="21"/>
              </w:rPr>
              <w:t>矿产资源开发活动应符合国家和区域主体功能区规划、生态功能区划、生态环境保护规划的要求，采取有效预防和保护措施，避免和减轻矿产资源开发活动造成的生态破坏和环境污染。</w:t>
            </w:r>
          </w:p>
        </w:tc>
        <w:tc>
          <w:tcPr>
            <w:tcW w:w="2653" w:type="dxa"/>
            <w:vAlign w:val="center"/>
          </w:tcPr>
          <w:p w14:paraId="0D196068" w14:textId="77777777" w:rsidR="00E579B9" w:rsidRDefault="006A1398">
            <w:pPr>
              <w:spacing w:line="360" w:lineRule="exact"/>
              <w:ind w:firstLineChars="0" w:firstLine="0"/>
              <w:jc w:val="center"/>
              <w:rPr>
                <w:sz w:val="21"/>
                <w:szCs w:val="21"/>
              </w:rPr>
            </w:pPr>
            <w:r>
              <w:rPr>
                <w:sz w:val="21"/>
                <w:szCs w:val="21"/>
              </w:rPr>
              <w:t>符合当地相关规划，采取了有效预防和保护措施，避免和减轻矿产资源开发活动造成的生态破坏和环境污染的措施。</w:t>
            </w:r>
          </w:p>
        </w:tc>
        <w:tc>
          <w:tcPr>
            <w:tcW w:w="889" w:type="dxa"/>
            <w:vAlign w:val="center"/>
          </w:tcPr>
          <w:p w14:paraId="2194224A" w14:textId="77777777" w:rsidR="00E579B9" w:rsidRDefault="006A1398">
            <w:pPr>
              <w:spacing w:line="360" w:lineRule="exact"/>
              <w:ind w:firstLineChars="0" w:firstLine="0"/>
              <w:jc w:val="center"/>
              <w:rPr>
                <w:sz w:val="21"/>
                <w:szCs w:val="21"/>
              </w:rPr>
            </w:pPr>
            <w:r>
              <w:rPr>
                <w:sz w:val="21"/>
                <w:szCs w:val="21"/>
              </w:rPr>
              <w:t>符合</w:t>
            </w:r>
          </w:p>
        </w:tc>
      </w:tr>
      <w:tr w:rsidR="00E579B9" w14:paraId="42211BF9" w14:textId="77777777">
        <w:tc>
          <w:tcPr>
            <w:tcW w:w="677" w:type="dxa"/>
            <w:vMerge/>
            <w:vAlign w:val="center"/>
          </w:tcPr>
          <w:p w14:paraId="184833DD" w14:textId="77777777" w:rsidR="00E579B9" w:rsidRDefault="00E579B9">
            <w:pPr>
              <w:spacing w:line="360" w:lineRule="exact"/>
              <w:ind w:firstLineChars="0" w:firstLine="0"/>
              <w:jc w:val="center"/>
              <w:rPr>
                <w:sz w:val="21"/>
                <w:szCs w:val="21"/>
              </w:rPr>
            </w:pPr>
          </w:p>
        </w:tc>
        <w:tc>
          <w:tcPr>
            <w:tcW w:w="667" w:type="dxa"/>
            <w:vAlign w:val="center"/>
          </w:tcPr>
          <w:p w14:paraId="24FA7709" w14:textId="77777777" w:rsidR="00E579B9" w:rsidRDefault="006A1398">
            <w:pPr>
              <w:spacing w:line="360" w:lineRule="exact"/>
              <w:ind w:firstLineChars="0" w:firstLine="0"/>
              <w:jc w:val="center"/>
              <w:rPr>
                <w:sz w:val="21"/>
                <w:szCs w:val="21"/>
              </w:rPr>
            </w:pPr>
            <w:r>
              <w:rPr>
                <w:sz w:val="21"/>
                <w:szCs w:val="21"/>
              </w:rPr>
              <w:t>4.3</w:t>
            </w:r>
          </w:p>
        </w:tc>
        <w:tc>
          <w:tcPr>
            <w:tcW w:w="4060" w:type="dxa"/>
            <w:vAlign w:val="center"/>
          </w:tcPr>
          <w:p w14:paraId="37B54E44" w14:textId="77777777" w:rsidR="00E579B9" w:rsidRDefault="006A1398">
            <w:pPr>
              <w:spacing w:line="360" w:lineRule="exact"/>
              <w:ind w:firstLineChars="0" w:firstLine="0"/>
              <w:jc w:val="center"/>
              <w:rPr>
                <w:sz w:val="21"/>
                <w:szCs w:val="21"/>
              </w:rPr>
            </w:pPr>
            <w:r>
              <w:rPr>
                <w:sz w:val="21"/>
                <w:szCs w:val="21"/>
              </w:rPr>
              <w:t>坚持</w:t>
            </w:r>
            <w:r>
              <w:rPr>
                <w:sz w:val="21"/>
                <w:szCs w:val="21"/>
              </w:rPr>
              <w:t>“</w:t>
            </w:r>
            <w:r>
              <w:rPr>
                <w:sz w:val="21"/>
                <w:szCs w:val="21"/>
              </w:rPr>
              <w:t>预防为主，防治结合、过程控制</w:t>
            </w:r>
            <w:r>
              <w:rPr>
                <w:sz w:val="21"/>
                <w:szCs w:val="21"/>
              </w:rPr>
              <w:t>”</w:t>
            </w:r>
            <w:r>
              <w:rPr>
                <w:sz w:val="21"/>
                <w:szCs w:val="21"/>
              </w:rPr>
              <w:t>的原则，将矿山生态环境保护与恢复治理贯穿矿产资源开采的全过程。根据矿山生态环境保护与恢复治理的重点任务，合理确定矿山生态保护与恢复治理分区，优化矿区生产与生活空间布局。采用新技术、新方法、新工艺提高矿山生态环境保护与恢复治理水平</w:t>
            </w:r>
          </w:p>
        </w:tc>
        <w:tc>
          <w:tcPr>
            <w:tcW w:w="2653" w:type="dxa"/>
            <w:vMerge w:val="restart"/>
            <w:vAlign w:val="center"/>
          </w:tcPr>
          <w:p w14:paraId="418850CF" w14:textId="77777777" w:rsidR="00E579B9" w:rsidRDefault="006A1398">
            <w:pPr>
              <w:spacing w:line="360" w:lineRule="exact"/>
              <w:ind w:firstLineChars="0" w:firstLine="0"/>
              <w:jc w:val="center"/>
              <w:rPr>
                <w:sz w:val="21"/>
                <w:szCs w:val="21"/>
              </w:rPr>
            </w:pPr>
            <w:r>
              <w:rPr>
                <w:sz w:val="21"/>
                <w:szCs w:val="21"/>
              </w:rPr>
              <w:t>建议企业按照要求委托相关有资质单位编制实施矿山生态环境保护与恢复治理方案</w:t>
            </w:r>
          </w:p>
        </w:tc>
        <w:tc>
          <w:tcPr>
            <w:tcW w:w="889" w:type="dxa"/>
            <w:vMerge w:val="restart"/>
            <w:vAlign w:val="center"/>
          </w:tcPr>
          <w:p w14:paraId="2590E154" w14:textId="77777777" w:rsidR="00E579B9" w:rsidRDefault="006A1398">
            <w:pPr>
              <w:spacing w:line="360" w:lineRule="exact"/>
              <w:ind w:firstLineChars="0" w:firstLine="0"/>
              <w:jc w:val="center"/>
              <w:rPr>
                <w:sz w:val="21"/>
                <w:szCs w:val="21"/>
              </w:rPr>
            </w:pPr>
            <w:r>
              <w:rPr>
                <w:sz w:val="21"/>
                <w:szCs w:val="21"/>
              </w:rPr>
              <w:t>符合</w:t>
            </w:r>
          </w:p>
        </w:tc>
      </w:tr>
      <w:tr w:rsidR="00E579B9" w14:paraId="1F63424D" w14:textId="77777777">
        <w:tc>
          <w:tcPr>
            <w:tcW w:w="677" w:type="dxa"/>
            <w:vMerge/>
            <w:vAlign w:val="center"/>
          </w:tcPr>
          <w:p w14:paraId="0B3AEBBD" w14:textId="77777777" w:rsidR="00E579B9" w:rsidRDefault="00E579B9">
            <w:pPr>
              <w:spacing w:line="360" w:lineRule="exact"/>
              <w:ind w:firstLineChars="0" w:firstLine="0"/>
              <w:jc w:val="center"/>
              <w:rPr>
                <w:sz w:val="21"/>
                <w:szCs w:val="21"/>
              </w:rPr>
            </w:pPr>
          </w:p>
        </w:tc>
        <w:tc>
          <w:tcPr>
            <w:tcW w:w="667" w:type="dxa"/>
            <w:vAlign w:val="center"/>
          </w:tcPr>
          <w:p w14:paraId="6E7261B0" w14:textId="77777777" w:rsidR="00E579B9" w:rsidRDefault="006A1398">
            <w:pPr>
              <w:spacing w:line="360" w:lineRule="exact"/>
              <w:ind w:firstLineChars="0" w:firstLine="0"/>
              <w:jc w:val="center"/>
              <w:rPr>
                <w:sz w:val="21"/>
                <w:szCs w:val="21"/>
              </w:rPr>
            </w:pPr>
            <w:r>
              <w:rPr>
                <w:sz w:val="21"/>
                <w:szCs w:val="21"/>
              </w:rPr>
              <w:t>4.4</w:t>
            </w:r>
          </w:p>
        </w:tc>
        <w:tc>
          <w:tcPr>
            <w:tcW w:w="4060" w:type="dxa"/>
            <w:vAlign w:val="center"/>
          </w:tcPr>
          <w:p w14:paraId="351A8756" w14:textId="77777777" w:rsidR="00E579B9" w:rsidRDefault="006A1398">
            <w:pPr>
              <w:spacing w:line="360" w:lineRule="exact"/>
              <w:ind w:firstLineChars="0" w:firstLine="0"/>
              <w:jc w:val="center"/>
              <w:rPr>
                <w:sz w:val="21"/>
                <w:szCs w:val="21"/>
              </w:rPr>
            </w:pPr>
            <w:r>
              <w:rPr>
                <w:sz w:val="21"/>
                <w:szCs w:val="21"/>
              </w:rPr>
              <w:t>所有矿山企业均应对照本标准的各项要求，编制实施矿山生态环境保护与恢复治理方案。</w:t>
            </w:r>
          </w:p>
        </w:tc>
        <w:tc>
          <w:tcPr>
            <w:tcW w:w="2653" w:type="dxa"/>
            <w:vMerge/>
            <w:vAlign w:val="center"/>
          </w:tcPr>
          <w:p w14:paraId="55C6C562" w14:textId="77777777" w:rsidR="00E579B9" w:rsidRDefault="00E579B9">
            <w:pPr>
              <w:spacing w:line="360" w:lineRule="exact"/>
              <w:ind w:firstLineChars="0" w:firstLine="0"/>
              <w:jc w:val="center"/>
              <w:rPr>
                <w:sz w:val="21"/>
                <w:szCs w:val="21"/>
              </w:rPr>
            </w:pPr>
          </w:p>
        </w:tc>
        <w:tc>
          <w:tcPr>
            <w:tcW w:w="889" w:type="dxa"/>
            <w:vMerge/>
            <w:vAlign w:val="center"/>
          </w:tcPr>
          <w:p w14:paraId="458F23F5" w14:textId="77777777" w:rsidR="00E579B9" w:rsidRDefault="00E579B9">
            <w:pPr>
              <w:spacing w:line="360" w:lineRule="exact"/>
              <w:ind w:firstLineChars="0" w:firstLine="0"/>
              <w:jc w:val="center"/>
              <w:rPr>
                <w:sz w:val="21"/>
                <w:szCs w:val="21"/>
              </w:rPr>
            </w:pPr>
          </w:p>
        </w:tc>
      </w:tr>
      <w:tr w:rsidR="00E579B9" w14:paraId="461D00E9" w14:textId="77777777">
        <w:tc>
          <w:tcPr>
            <w:tcW w:w="677" w:type="dxa"/>
            <w:vMerge/>
            <w:vAlign w:val="center"/>
          </w:tcPr>
          <w:p w14:paraId="3DF344B6" w14:textId="77777777" w:rsidR="00E579B9" w:rsidRDefault="00E579B9">
            <w:pPr>
              <w:spacing w:line="360" w:lineRule="exact"/>
              <w:ind w:firstLineChars="0" w:firstLine="0"/>
              <w:jc w:val="center"/>
              <w:rPr>
                <w:sz w:val="21"/>
                <w:szCs w:val="21"/>
              </w:rPr>
            </w:pPr>
          </w:p>
        </w:tc>
        <w:tc>
          <w:tcPr>
            <w:tcW w:w="667" w:type="dxa"/>
            <w:vAlign w:val="center"/>
          </w:tcPr>
          <w:p w14:paraId="389FD18F" w14:textId="77777777" w:rsidR="00E579B9" w:rsidRDefault="006A1398">
            <w:pPr>
              <w:spacing w:line="360" w:lineRule="exact"/>
              <w:ind w:firstLineChars="0" w:firstLine="0"/>
              <w:jc w:val="center"/>
              <w:rPr>
                <w:sz w:val="21"/>
                <w:szCs w:val="21"/>
              </w:rPr>
            </w:pPr>
            <w:r>
              <w:rPr>
                <w:sz w:val="21"/>
                <w:szCs w:val="21"/>
              </w:rPr>
              <w:t>4.5</w:t>
            </w:r>
          </w:p>
        </w:tc>
        <w:tc>
          <w:tcPr>
            <w:tcW w:w="4060" w:type="dxa"/>
            <w:vAlign w:val="center"/>
          </w:tcPr>
          <w:p w14:paraId="663733D0" w14:textId="77777777" w:rsidR="00E579B9" w:rsidRDefault="006A1398">
            <w:pPr>
              <w:spacing w:line="360" w:lineRule="exact"/>
              <w:ind w:firstLineChars="0" w:firstLine="0"/>
              <w:jc w:val="center"/>
              <w:rPr>
                <w:sz w:val="21"/>
                <w:szCs w:val="21"/>
              </w:rPr>
            </w:pPr>
            <w:r>
              <w:rPr>
                <w:sz w:val="21"/>
                <w:szCs w:val="21"/>
              </w:rPr>
              <w:t>恢复治理后的各类场地应实现：安全稳定，对人类和动植物不造成威胁；对周边环境不产生污染；与周边自然环境和景观相协调；恢复土地基本功能，因地制宜实现土地可持续利用；区域整体生态功能得到保护与恢复。</w:t>
            </w:r>
          </w:p>
        </w:tc>
        <w:tc>
          <w:tcPr>
            <w:tcW w:w="2653" w:type="dxa"/>
            <w:vAlign w:val="center"/>
          </w:tcPr>
          <w:p w14:paraId="6ECB9CBC" w14:textId="77777777" w:rsidR="00E579B9" w:rsidRDefault="006A1398">
            <w:pPr>
              <w:spacing w:line="360" w:lineRule="exact"/>
              <w:ind w:firstLineChars="0" w:firstLine="0"/>
              <w:jc w:val="center"/>
              <w:rPr>
                <w:sz w:val="21"/>
                <w:szCs w:val="21"/>
              </w:rPr>
            </w:pPr>
            <w:r>
              <w:rPr>
                <w:rFonts w:hint="eastAsia"/>
                <w:sz w:val="21"/>
                <w:szCs w:val="21"/>
              </w:rPr>
              <w:t>采取边生产边恢复的治理措施，</w:t>
            </w:r>
            <w:r>
              <w:rPr>
                <w:sz w:val="21"/>
                <w:szCs w:val="21"/>
              </w:rPr>
              <w:t>主要恢复为林草地</w:t>
            </w:r>
          </w:p>
        </w:tc>
        <w:tc>
          <w:tcPr>
            <w:tcW w:w="889" w:type="dxa"/>
            <w:vAlign w:val="center"/>
          </w:tcPr>
          <w:p w14:paraId="1448C0E6" w14:textId="77777777" w:rsidR="00E579B9" w:rsidRDefault="006A1398">
            <w:pPr>
              <w:spacing w:line="360" w:lineRule="exact"/>
              <w:ind w:firstLineChars="0" w:firstLine="0"/>
              <w:jc w:val="center"/>
              <w:rPr>
                <w:sz w:val="21"/>
                <w:szCs w:val="21"/>
              </w:rPr>
            </w:pPr>
            <w:r>
              <w:rPr>
                <w:sz w:val="21"/>
                <w:szCs w:val="21"/>
              </w:rPr>
              <w:t>符合</w:t>
            </w:r>
          </w:p>
        </w:tc>
      </w:tr>
      <w:tr w:rsidR="00E579B9" w14:paraId="626FA920" w14:textId="77777777">
        <w:tc>
          <w:tcPr>
            <w:tcW w:w="677" w:type="dxa"/>
            <w:vMerge w:val="restart"/>
            <w:vAlign w:val="center"/>
          </w:tcPr>
          <w:p w14:paraId="61B8BDD0" w14:textId="77777777" w:rsidR="00E579B9" w:rsidRDefault="006A1398">
            <w:pPr>
              <w:spacing w:line="360" w:lineRule="exact"/>
              <w:ind w:firstLineChars="0" w:firstLine="0"/>
              <w:jc w:val="center"/>
              <w:rPr>
                <w:sz w:val="21"/>
                <w:szCs w:val="21"/>
              </w:rPr>
            </w:pPr>
            <w:r>
              <w:rPr>
                <w:sz w:val="21"/>
                <w:szCs w:val="21"/>
              </w:rPr>
              <w:t>矿山生态保护</w:t>
            </w:r>
          </w:p>
        </w:tc>
        <w:tc>
          <w:tcPr>
            <w:tcW w:w="667" w:type="dxa"/>
            <w:vAlign w:val="center"/>
          </w:tcPr>
          <w:p w14:paraId="0756C63C" w14:textId="77777777" w:rsidR="00E579B9" w:rsidRDefault="006A1398">
            <w:pPr>
              <w:spacing w:line="360" w:lineRule="exact"/>
              <w:ind w:firstLineChars="0" w:firstLine="0"/>
              <w:jc w:val="center"/>
              <w:rPr>
                <w:sz w:val="21"/>
                <w:szCs w:val="21"/>
              </w:rPr>
            </w:pPr>
            <w:r>
              <w:rPr>
                <w:sz w:val="21"/>
                <w:szCs w:val="21"/>
              </w:rPr>
              <w:t>5.2</w:t>
            </w:r>
          </w:p>
        </w:tc>
        <w:tc>
          <w:tcPr>
            <w:tcW w:w="4060" w:type="dxa"/>
            <w:vAlign w:val="center"/>
          </w:tcPr>
          <w:p w14:paraId="26FF8DF7" w14:textId="77777777" w:rsidR="00E579B9" w:rsidRDefault="006A1398">
            <w:pPr>
              <w:spacing w:line="360" w:lineRule="exact"/>
              <w:ind w:firstLineChars="0" w:firstLine="0"/>
              <w:jc w:val="center"/>
              <w:rPr>
                <w:sz w:val="21"/>
                <w:szCs w:val="21"/>
              </w:rPr>
            </w:pPr>
            <w:r>
              <w:rPr>
                <w:sz w:val="21"/>
                <w:szCs w:val="21"/>
              </w:rPr>
              <w:t>矿山开采前应在矿区范围及各种采矿活动可能影响区进行生物多样性调查，对于国家或地方保护动植物或生态系统，须采取</w:t>
            </w:r>
            <w:r>
              <w:rPr>
                <w:sz w:val="21"/>
                <w:szCs w:val="21"/>
              </w:rPr>
              <w:lastRenderedPageBreak/>
              <w:t>就地保护或迁地保护等措施保护矿山生物多样性。</w:t>
            </w:r>
          </w:p>
        </w:tc>
        <w:tc>
          <w:tcPr>
            <w:tcW w:w="2653" w:type="dxa"/>
            <w:vAlign w:val="center"/>
          </w:tcPr>
          <w:p w14:paraId="34F60FFA" w14:textId="77777777" w:rsidR="00E579B9" w:rsidRDefault="006A1398">
            <w:pPr>
              <w:spacing w:line="360" w:lineRule="exact"/>
              <w:ind w:firstLineChars="0" w:firstLine="0"/>
              <w:jc w:val="center"/>
              <w:rPr>
                <w:sz w:val="21"/>
                <w:szCs w:val="21"/>
              </w:rPr>
            </w:pPr>
            <w:r>
              <w:rPr>
                <w:sz w:val="21"/>
                <w:szCs w:val="21"/>
              </w:rPr>
              <w:lastRenderedPageBreak/>
              <w:t>矿区范围内无国家或地方保护动植物或生态系统。</w:t>
            </w:r>
          </w:p>
        </w:tc>
        <w:tc>
          <w:tcPr>
            <w:tcW w:w="889" w:type="dxa"/>
            <w:vAlign w:val="center"/>
          </w:tcPr>
          <w:p w14:paraId="5ECFBC17" w14:textId="77777777" w:rsidR="00E579B9" w:rsidRDefault="006A1398">
            <w:pPr>
              <w:spacing w:line="360" w:lineRule="exact"/>
              <w:ind w:firstLineChars="0" w:firstLine="0"/>
              <w:jc w:val="center"/>
              <w:rPr>
                <w:sz w:val="21"/>
                <w:szCs w:val="21"/>
              </w:rPr>
            </w:pPr>
            <w:r>
              <w:rPr>
                <w:sz w:val="21"/>
                <w:szCs w:val="21"/>
              </w:rPr>
              <w:t>符合</w:t>
            </w:r>
          </w:p>
        </w:tc>
      </w:tr>
      <w:tr w:rsidR="00E579B9" w14:paraId="09F9783E" w14:textId="77777777">
        <w:tc>
          <w:tcPr>
            <w:tcW w:w="677" w:type="dxa"/>
            <w:vMerge/>
            <w:vAlign w:val="center"/>
          </w:tcPr>
          <w:p w14:paraId="70B82A9B" w14:textId="77777777" w:rsidR="00E579B9" w:rsidRDefault="00E579B9">
            <w:pPr>
              <w:spacing w:line="360" w:lineRule="exact"/>
              <w:ind w:firstLineChars="0" w:firstLine="0"/>
              <w:jc w:val="center"/>
              <w:rPr>
                <w:sz w:val="21"/>
                <w:szCs w:val="21"/>
              </w:rPr>
            </w:pPr>
          </w:p>
        </w:tc>
        <w:tc>
          <w:tcPr>
            <w:tcW w:w="667" w:type="dxa"/>
            <w:vAlign w:val="center"/>
          </w:tcPr>
          <w:p w14:paraId="6447716B" w14:textId="77777777" w:rsidR="00E579B9" w:rsidRDefault="006A1398">
            <w:pPr>
              <w:spacing w:line="360" w:lineRule="exact"/>
              <w:ind w:firstLineChars="0" w:firstLine="0"/>
              <w:jc w:val="center"/>
              <w:rPr>
                <w:sz w:val="21"/>
                <w:szCs w:val="21"/>
              </w:rPr>
            </w:pPr>
            <w:r>
              <w:rPr>
                <w:sz w:val="21"/>
                <w:szCs w:val="21"/>
              </w:rPr>
              <w:t>5.3</w:t>
            </w:r>
          </w:p>
        </w:tc>
        <w:tc>
          <w:tcPr>
            <w:tcW w:w="4060" w:type="dxa"/>
            <w:vAlign w:val="center"/>
          </w:tcPr>
          <w:p w14:paraId="23D7127B" w14:textId="77777777" w:rsidR="00E579B9" w:rsidRDefault="006A1398">
            <w:pPr>
              <w:spacing w:line="360" w:lineRule="exact"/>
              <w:ind w:firstLineChars="0" w:firstLine="0"/>
              <w:jc w:val="center"/>
              <w:rPr>
                <w:sz w:val="21"/>
                <w:szCs w:val="21"/>
              </w:rPr>
            </w:pPr>
            <w:r>
              <w:rPr>
                <w:sz w:val="21"/>
                <w:szCs w:val="21"/>
              </w:rPr>
              <w:t>高寒区露天采矿、设置排土场和尾矿库时，应将剥离的草皮层集中养护，满足恢复条件后及时移植，恢复植被；严格控制临时施工场地与施工道路面积和范围，减少对地表植被的破坏。</w:t>
            </w:r>
          </w:p>
        </w:tc>
        <w:tc>
          <w:tcPr>
            <w:tcW w:w="2653" w:type="dxa"/>
            <w:vAlign w:val="center"/>
          </w:tcPr>
          <w:p w14:paraId="0CECAEC9" w14:textId="77777777" w:rsidR="00E579B9" w:rsidRDefault="006A1398">
            <w:pPr>
              <w:spacing w:line="360" w:lineRule="exact"/>
              <w:ind w:firstLineChars="0" w:firstLine="0"/>
              <w:jc w:val="center"/>
              <w:rPr>
                <w:sz w:val="21"/>
                <w:szCs w:val="21"/>
              </w:rPr>
            </w:pPr>
            <w:r>
              <w:rPr>
                <w:sz w:val="21"/>
                <w:szCs w:val="21"/>
              </w:rPr>
              <w:t>不属于高寒区。</w:t>
            </w:r>
          </w:p>
        </w:tc>
        <w:tc>
          <w:tcPr>
            <w:tcW w:w="889" w:type="dxa"/>
            <w:vAlign w:val="center"/>
          </w:tcPr>
          <w:p w14:paraId="6EFA0E0A" w14:textId="77777777" w:rsidR="00E579B9" w:rsidRDefault="006A1398">
            <w:pPr>
              <w:spacing w:line="360" w:lineRule="exact"/>
              <w:ind w:firstLineChars="0" w:firstLine="0"/>
              <w:jc w:val="center"/>
              <w:rPr>
                <w:sz w:val="21"/>
                <w:szCs w:val="21"/>
              </w:rPr>
            </w:pPr>
            <w:r>
              <w:rPr>
                <w:sz w:val="21"/>
                <w:szCs w:val="21"/>
              </w:rPr>
              <w:t>符合</w:t>
            </w:r>
          </w:p>
        </w:tc>
      </w:tr>
      <w:tr w:rsidR="00E579B9" w14:paraId="661A0D22" w14:textId="77777777">
        <w:tc>
          <w:tcPr>
            <w:tcW w:w="677" w:type="dxa"/>
            <w:vMerge/>
            <w:vAlign w:val="center"/>
          </w:tcPr>
          <w:p w14:paraId="4286977F" w14:textId="77777777" w:rsidR="00E579B9" w:rsidRDefault="00E579B9">
            <w:pPr>
              <w:spacing w:line="360" w:lineRule="exact"/>
              <w:ind w:firstLineChars="0" w:firstLine="0"/>
              <w:jc w:val="center"/>
              <w:rPr>
                <w:sz w:val="21"/>
                <w:szCs w:val="21"/>
              </w:rPr>
            </w:pPr>
          </w:p>
        </w:tc>
        <w:tc>
          <w:tcPr>
            <w:tcW w:w="667" w:type="dxa"/>
            <w:vAlign w:val="center"/>
          </w:tcPr>
          <w:p w14:paraId="406ECD16" w14:textId="77777777" w:rsidR="00E579B9" w:rsidRDefault="006A1398">
            <w:pPr>
              <w:spacing w:line="360" w:lineRule="exact"/>
              <w:ind w:firstLineChars="0" w:firstLine="0"/>
              <w:jc w:val="center"/>
              <w:rPr>
                <w:sz w:val="21"/>
                <w:szCs w:val="21"/>
              </w:rPr>
            </w:pPr>
            <w:r>
              <w:rPr>
                <w:sz w:val="21"/>
                <w:szCs w:val="21"/>
              </w:rPr>
              <w:t>5.4</w:t>
            </w:r>
          </w:p>
        </w:tc>
        <w:tc>
          <w:tcPr>
            <w:tcW w:w="4060" w:type="dxa"/>
            <w:vAlign w:val="center"/>
          </w:tcPr>
          <w:p w14:paraId="75BE98AF" w14:textId="77777777" w:rsidR="00E579B9" w:rsidRDefault="006A1398">
            <w:pPr>
              <w:spacing w:line="360" w:lineRule="exact"/>
              <w:ind w:firstLineChars="0" w:firstLine="0"/>
              <w:jc w:val="center"/>
              <w:rPr>
                <w:sz w:val="21"/>
                <w:szCs w:val="21"/>
              </w:rPr>
            </w:pPr>
            <w:r>
              <w:rPr>
                <w:sz w:val="21"/>
                <w:szCs w:val="21"/>
              </w:rPr>
              <w:t>荒漠和风沙区矿产资源开发应避开易发生风蚀和生态退化地带，减少开采、排土和运输等活动对土壤结皮、砾幕及沙区植被的破坏和扰动；排土场、料场及尾矿库等场地应采取围挡和覆盖等防风蚀措施。</w:t>
            </w:r>
          </w:p>
        </w:tc>
        <w:tc>
          <w:tcPr>
            <w:tcW w:w="2653" w:type="dxa"/>
            <w:vAlign w:val="center"/>
          </w:tcPr>
          <w:p w14:paraId="2BF46DA8" w14:textId="77777777" w:rsidR="00E579B9" w:rsidRDefault="006A1398">
            <w:pPr>
              <w:spacing w:line="360" w:lineRule="exact"/>
              <w:ind w:firstLineChars="0" w:firstLine="0"/>
              <w:jc w:val="center"/>
              <w:rPr>
                <w:sz w:val="21"/>
                <w:szCs w:val="21"/>
              </w:rPr>
            </w:pPr>
            <w:r>
              <w:rPr>
                <w:sz w:val="21"/>
                <w:szCs w:val="21"/>
              </w:rPr>
              <w:t>不属于荒漠和风沙区。</w:t>
            </w:r>
          </w:p>
        </w:tc>
        <w:tc>
          <w:tcPr>
            <w:tcW w:w="889" w:type="dxa"/>
            <w:vAlign w:val="center"/>
          </w:tcPr>
          <w:p w14:paraId="5B1F9814" w14:textId="77777777" w:rsidR="00E579B9" w:rsidRDefault="006A1398">
            <w:pPr>
              <w:spacing w:line="360" w:lineRule="exact"/>
              <w:ind w:firstLineChars="0" w:firstLine="0"/>
              <w:jc w:val="center"/>
              <w:rPr>
                <w:sz w:val="21"/>
                <w:szCs w:val="21"/>
              </w:rPr>
            </w:pPr>
            <w:r>
              <w:rPr>
                <w:sz w:val="21"/>
                <w:szCs w:val="21"/>
              </w:rPr>
              <w:t>符合</w:t>
            </w:r>
          </w:p>
        </w:tc>
      </w:tr>
      <w:tr w:rsidR="00E579B9" w14:paraId="3DFFDBB2" w14:textId="77777777">
        <w:tc>
          <w:tcPr>
            <w:tcW w:w="677" w:type="dxa"/>
            <w:vMerge/>
            <w:vAlign w:val="center"/>
          </w:tcPr>
          <w:p w14:paraId="1076B157" w14:textId="77777777" w:rsidR="00E579B9" w:rsidRDefault="00E579B9">
            <w:pPr>
              <w:spacing w:line="360" w:lineRule="exact"/>
              <w:ind w:firstLineChars="0" w:firstLine="0"/>
              <w:jc w:val="center"/>
              <w:rPr>
                <w:sz w:val="21"/>
                <w:szCs w:val="21"/>
              </w:rPr>
            </w:pPr>
          </w:p>
        </w:tc>
        <w:tc>
          <w:tcPr>
            <w:tcW w:w="667" w:type="dxa"/>
            <w:vAlign w:val="center"/>
          </w:tcPr>
          <w:p w14:paraId="347DFDDE" w14:textId="77777777" w:rsidR="00E579B9" w:rsidRDefault="006A1398">
            <w:pPr>
              <w:spacing w:line="360" w:lineRule="exact"/>
              <w:ind w:firstLineChars="0" w:firstLine="0"/>
              <w:jc w:val="center"/>
              <w:rPr>
                <w:sz w:val="21"/>
                <w:szCs w:val="21"/>
              </w:rPr>
            </w:pPr>
            <w:r>
              <w:rPr>
                <w:sz w:val="21"/>
                <w:szCs w:val="21"/>
              </w:rPr>
              <w:t>5.5</w:t>
            </w:r>
          </w:p>
        </w:tc>
        <w:tc>
          <w:tcPr>
            <w:tcW w:w="4060" w:type="dxa"/>
            <w:vAlign w:val="center"/>
          </w:tcPr>
          <w:p w14:paraId="60810E61" w14:textId="77777777" w:rsidR="00E579B9" w:rsidRDefault="006A1398">
            <w:pPr>
              <w:spacing w:line="360" w:lineRule="exact"/>
              <w:ind w:firstLineChars="0" w:firstLine="0"/>
              <w:jc w:val="center"/>
              <w:rPr>
                <w:sz w:val="21"/>
                <w:szCs w:val="21"/>
              </w:rPr>
            </w:pPr>
            <w:r>
              <w:rPr>
                <w:sz w:val="21"/>
                <w:szCs w:val="21"/>
              </w:rPr>
              <w:t>水蚀敏感区矿产资源开发应科学设置露天采场、排土场、尾矿库及料场，并采取防洪、排水、边坡防护、工程拦挡等水土保持措施，减少对天然林草植被的破坏。</w:t>
            </w:r>
          </w:p>
        </w:tc>
        <w:tc>
          <w:tcPr>
            <w:tcW w:w="2653" w:type="dxa"/>
            <w:vAlign w:val="center"/>
          </w:tcPr>
          <w:p w14:paraId="52118C2F" w14:textId="77777777" w:rsidR="00E579B9" w:rsidRDefault="006A1398">
            <w:pPr>
              <w:spacing w:line="360" w:lineRule="exact"/>
              <w:ind w:firstLineChars="0" w:firstLine="0"/>
              <w:jc w:val="center"/>
              <w:rPr>
                <w:sz w:val="21"/>
                <w:szCs w:val="21"/>
              </w:rPr>
            </w:pPr>
            <w:r>
              <w:rPr>
                <w:sz w:val="21"/>
                <w:szCs w:val="21"/>
              </w:rPr>
              <w:t>已采取相关的防洪、排水、边坡防洪及其他水保措施。</w:t>
            </w:r>
          </w:p>
        </w:tc>
        <w:tc>
          <w:tcPr>
            <w:tcW w:w="889" w:type="dxa"/>
            <w:vAlign w:val="center"/>
          </w:tcPr>
          <w:p w14:paraId="063BC4F7" w14:textId="77777777" w:rsidR="00E579B9" w:rsidRDefault="006A1398">
            <w:pPr>
              <w:spacing w:line="360" w:lineRule="exact"/>
              <w:ind w:firstLineChars="0" w:firstLine="0"/>
              <w:jc w:val="center"/>
              <w:rPr>
                <w:sz w:val="21"/>
                <w:szCs w:val="21"/>
              </w:rPr>
            </w:pPr>
            <w:r>
              <w:rPr>
                <w:sz w:val="21"/>
                <w:szCs w:val="21"/>
              </w:rPr>
              <w:t>符合</w:t>
            </w:r>
          </w:p>
        </w:tc>
      </w:tr>
      <w:tr w:rsidR="00E579B9" w14:paraId="11ADB074" w14:textId="77777777">
        <w:tc>
          <w:tcPr>
            <w:tcW w:w="677" w:type="dxa"/>
            <w:vMerge/>
            <w:vAlign w:val="center"/>
          </w:tcPr>
          <w:p w14:paraId="1B9C1CB3" w14:textId="77777777" w:rsidR="00E579B9" w:rsidRDefault="00E579B9">
            <w:pPr>
              <w:spacing w:line="360" w:lineRule="exact"/>
              <w:ind w:firstLineChars="0" w:firstLine="0"/>
              <w:jc w:val="center"/>
              <w:rPr>
                <w:sz w:val="21"/>
                <w:szCs w:val="21"/>
              </w:rPr>
            </w:pPr>
          </w:p>
        </w:tc>
        <w:tc>
          <w:tcPr>
            <w:tcW w:w="667" w:type="dxa"/>
            <w:vAlign w:val="center"/>
          </w:tcPr>
          <w:p w14:paraId="4F05BB1F" w14:textId="77777777" w:rsidR="00E579B9" w:rsidRDefault="006A1398">
            <w:pPr>
              <w:spacing w:line="360" w:lineRule="exact"/>
              <w:ind w:firstLineChars="0" w:firstLine="0"/>
              <w:jc w:val="center"/>
              <w:rPr>
                <w:sz w:val="21"/>
                <w:szCs w:val="21"/>
              </w:rPr>
            </w:pPr>
            <w:r>
              <w:rPr>
                <w:sz w:val="21"/>
                <w:szCs w:val="21"/>
              </w:rPr>
              <w:t>5.6</w:t>
            </w:r>
          </w:p>
        </w:tc>
        <w:tc>
          <w:tcPr>
            <w:tcW w:w="4060" w:type="dxa"/>
            <w:vAlign w:val="center"/>
          </w:tcPr>
          <w:p w14:paraId="29E861AA" w14:textId="77777777" w:rsidR="00E579B9" w:rsidRDefault="006A1398">
            <w:pPr>
              <w:autoSpaceDE w:val="0"/>
              <w:autoSpaceDN w:val="0"/>
              <w:spacing w:line="360" w:lineRule="exact"/>
              <w:ind w:firstLineChars="0" w:firstLine="0"/>
              <w:jc w:val="center"/>
              <w:rPr>
                <w:sz w:val="21"/>
                <w:szCs w:val="21"/>
              </w:rPr>
            </w:pPr>
            <w:r>
              <w:rPr>
                <w:sz w:val="21"/>
                <w:szCs w:val="21"/>
              </w:rPr>
              <w:t>在基本农田保护区下采矿，应结合矿山沉陷区治理方案确定优先充填开采区域，防止地表二次治理；在需要保水开采的区块，应采取有效措施避免破坏地下水系。</w:t>
            </w:r>
          </w:p>
        </w:tc>
        <w:tc>
          <w:tcPr>
            <w:tcW w:w="2653" w:type="dxa"/>
            <w:vAlign w:val="center"/>
          </w:tcPr>
          <w:p w14:paraId="52F78296" w14:textId="77777777" w:rsidR="00E579B9" w:rsidRDefault="006A1398">
            <w:pPr>
              <w:spacing w:line="360" w:lineRule="exact"/>
              <w:ind w:firstLineChars="0" w:firstLine="0"/>
              <w:jc w:val="center"/>
              <w:rPr>
                <w:sz w:val="21"/>
                <w:szCs w:val="21"/>
              </w:rPr>
            </w:pPr>
            <w:r>
              <w:rPr>
                <w:sz w:val="21"/>
                <w:szCs w:val="21"/>
              </w:rPr>
              <w:t>不属于基本农田保护区。不属于井下开采，不会产生采空塌陷</w:t>
            </w:r>
          </w:p>
        </w:tc>
        <w:tc>
          <w:tcPr>
            <w:tcW w:w="889" w:type="dxa"/>
            <w:vAlign w:val="center"/>
          </w:tcPr>
          <w:p w14:paraId="7C59876F" w14:textId="77777777" w:rsidR="00E579B9" w:rsidRDefault="006A1398">
            <w:pPr>
              <w:spacing w:line="360" w:lineRule="exact"/>
              <w:ind w:firstLineChars="0" w:firstLine="0"/>
              <w:jc w:val="center"/>
              <w:rPr>
                <w:sz w:val="21"/>
                <w:szCs w:val="21"/>
              </w:rPr>
            </w:pPr>
            <w:r>
              <w:rPr>
                <w:sz w:val="21"/>
                <w:szCs w:val="21"/>
              </w:rPr>
              <w:t>符合</w:t>
            </w:r>
          </w:p>
        </w:tc>
      </w:tr>
      <w:tr w:rsidR="00E579B9" w14:paraId="0EDF7645" w14:textId="77777777">
        <w:tc>
          <w:tcPr>
            <w:tcW w:w="677" w:type="dxa"/>
            <w:vMerge/>
            <w:vAlign w:val="center"/>
          </w:tcPr>
          <w:p w14:paraId="4F5700D2" w14:textId="77777777" w:rsidR="00E579B9" w:rsidRDefault="00E579B9">
            <w:pPr>
              <w:spacing w:line="360" w:lineRule="exact"/>
              <w:ind w:firstLineChars="0" w:firstLine="0"/>
              <w:jc w:val="center"/>
              <w:rPr>
                <w:sz w:val="21"/>
                <w:szCs w:val="21"/>
              </w:rPr>
            </w:pPr>
          </w:p>
        </w:tc>
        <w:tc>
          <w:tcPr>
            <w:tcW w:w="667" w:type="dxa"/>
            <w:vAlign w:val="center"/>
          </w:tcPr>
          <w:p w14:paraId="57C75859" w14:textId="77777777" w:rsidR="00E579B9" w:rsidRDefault="006A1398">
            <w:pPr>
              <w:spacing w:line="360" w:lineRule="exact"/>
              <w:ind w:firstLineChars="0" w:firstLine="0"/>
              <w:jc w:val="center"/>
              <w:rPr>
                <w:sz w:val="21"/>
                <w:szCs w:val="21"/>
              </w:rPr>
            </w:pPr>
            <w:r>
              <w:rPr>
                <w:sz w:val="21"/>
                <w:szCs w:val="21"/>
              </w:rPr>
              <w:t>5.7</w:t>
            </w:r>
          </w:p>
        </w:tc>
        <w:tc>
          <w:tcPr>
            <w:tcW w:w="4060" w:type="dxa"/>
            <w:vAlign w:val="center"/>
          </w:tcPr>
          <w:p w14:paraId="159522EE" w14:textId="77777777" w:rsidR="00E579B9" w:rsidRDefault="006A1398">
            <w:pPr>
              <w:spacing w:line="360" w:lineRule="exact"/>
              <w:ind w:firstLineChars="0" w:firstLine="0"/>
              <w:jc w:val="center"/>
              <w:rPr>
                <w:sz w:val="21"/>
                <w:szCs w:val="21"/>
              </w:rPr>
            </w:pPr>
            <w:r>
              <w:rPr>
                <w:sz w:val="21"/>
                <w:szCs w:val="21"/>
              </w:rPr>
              <w:t>采矿产生的固体废物，应在专用场所堆放，并采取措施防止二次污染；禁止向河流、湖泊、水库等水体及行洪渠道排放岩土、含油垃圾、泥浆、煤渣、煤矸石和其他固体废物。</w:t>
            </w:r>
          </w:p>
        </w:tc>
        <w:tc>
          <w:tcPr>
            <w:tcW w:w="2653" w:type="dxa"/>
            <w:vAlign w:val="center"/>
          </w:tcPr>
          <w:p w14:paraId="1569BAB6" w14:textId="77777777" w:rsidR="00E579B9" w:rsidRDefault="006A1398">
            <w:pPr>
              <w:spacing w:line="360" w:lineRule="exact"/>
              <w:ind w:firstLineChars="0" w:firstLine="0"/>
              <w:jc w:val="center"/>
              <w:rPr>
                <w:sz w:val="21"/>
                <w:szCs w:val="21"/>
              </w:rPr>
            </w:pPr>
            <w:r>
              <w:rPr>
                <w:rFonts w:hint="eastAsia"/>
                <w:sz w:val="21"/>
                <w:szCs w:val="21"/>
              </w:rPr>
              <w:t>本项目设置临时表土场，</w:t>
            </w:r>
            <w:r>
              <w:rPr>
                <w:sz w:val="21"/>
                <w:szCs w:val="21"/>
              </w:rPr>
              <w:t>设置采取</w:t>
            </w:r>
            <w:r>
              <w:rPr>
                <w:rFonts w:hint="eastAsia"/>
                <w:sz w:val="21"/>
                <w:szCs w:val="21"/>
              </w:rPr>
              <w:t>挡墙</w:t>
            </w:r>
            <w:r>
              <w:rPr>
                <w:sz w:val="21"/>
                <w:szCs w:val="21"/>
              </w:rPr>
              <w:t>、截排水及闭库后生态恢复措施。</w:t>
            </w:r>
          </w:p>
        </w:tc>
        <w:tc>
          <w:tcPr>
            <w:tcW w:w="889" w:type="dxa"/>
            <w:vAlign w:val="center"/>
          </w:tcPr>
          <w:p w14:paraId="142C9F14" w14:textId="77777777" w:rsidR="00E579B9" w:rsidRDefault="006A1398">
            <w:pPr>
              <w:spacing w:line="360" w:lineRule="exact"/>
              <w:ind w:firstLineChars="0" w:firstLine="0"/>
              <w:jc w:val="center"/>
              <w:rPr>
                <w:sz w:val="21"/>
                <w:szCs w:val="21"/>
              </w:rPr>
            </w:pPr>
            <w:r>
              <w:rPr>
                <w:sz w:val="21"/>
                <w:szCs w:val="21"/>
              </w:rPr>
              <w:t>符合</w:t>
            </w:r>
          </w:p>
        </w:tc>
      </w:tr>
      <w:tr w:rsidR="00E579B9" w14:paraId="209728E2" w14:textId="77777777">
        <w:tc>
          <w:tcPr>
            <w:tcW w:w="677" w:type="dxa"/>
            <w:vMerge/>
            <w:vAlign w:val="center"/>
          </w:tcPr>
          <w:p w14:paraId="2DC8EACB" w14:textId="77777777" w:rsidR="00E579B9" w:rsidRDefault="00E579B9">
            <w:pPr>
              <w:spacing w:line="360" w:lineRule="exact"/>
              <w:ind w:firstLineChars="0" w:firstLine="0"/>
              <w:jc w:val="center"/>
              <w:rPr>
                <w:sz w:val="21"/>
                <w:szCs w:val="21"/>
              </w:rPr>
            </w:pPr>
          </w:p>
        </w:tc>
        <w:tc>
          <w:tcPr>
            <w:tcW w:w="667" w:type="dxa"/>
            <w:vAlign w:val="center"/>
          </w:tcPr>
          <w:p w14:paraId="0FE42A4B" w14:textId="77777777" w:rsidR="00E579B9" w:rsidRDefault="006A1398">
            <w:pPr>
              <w:spacing w:line="360" w:lineRule="exact"/>
              <w:ind w:firstLineChars="0" w:firstLine="0"/>
              <w:jc w:val="center"/>
              <w:rPr>
                <w:sz w:val="21"/>
                <w:szCs w:val="21"/>
              </w:rPr>
            </w:pPr>
            <w:r>
              <w:rPr>
                <w:sz w:val="21"/>
                <w:szCs w:val="21"/>
              </w:rPr>
              <w:t>5.8</w:t>
            </w:r>
          </w:p>
        </w:tc>
        <w:tc>
          <w:tcPr>
            <w:tcW w:w="4060" w:type="dxa"/>
            <w:vAlign w:val="center"/>
          </w:tcPr>
          <w:p w14:paraId="3F3729BB" w14:textId="77777777" w:rsidR="00E579B9" w:rsidRDefault="006A1398">
            <w:pPr>
              <w:spacing w:line="360" w:lineRule="exact"/>
              <w:ind w:firstLineChars="0" w:firstLine="0"/>
              <w:jc w:val="center"/>
              <w:rPr>
                <w:sz w:val="21"/>
                <w:szCs w:val="21"/>
              </w:rPr>
            </w:pPr>
            <w:r>
              <w:rPr>
                <w:sz w:val="21"/>
                <w:szCs w:val="21"/>
              </w:rPr>
              <w:t>评估采矿活动对地表水和地下水的影响，避免破坏流域水平衡和污染水环境；采矿区与河道之间应保留环境安全距离，防止采矿对河流生物、河岸植被、河流水环境功能和防洪安全造成破坏性影响。</w:t>
            </w:r>
          </w:p>
        </w:tc>
        <w:tc>
          <w:tcPr>
            <w:tcW w:w="2653" w:type="dxa"/>
            <w:vAlign w:val="center"/>
          </w:tcPr>
          <w:p w14:paraId="4248C466" w14:textId="77777777" w:rsidR="00E579B9" w:rsidRDefault="006A1398">
            <w:pPr>
              <w:spacing w:line="360" w:lineRule="exact"/>
              <w:ind w:firstLineChars="0" w:firstLine="0"/>
              <w:jc w:val="center"/>
              <w:rPr>
                <w:sz w:val="21"/>
                <w:szCs w:val="21"/>
              </w:rPr>
            </w:pPr>
            <w:r>
              <w:rPr>
                <w:sz w:val="21"/>
                <w:szCs w:val="21"/>
              </w:rPr>
              <w:t>由于矿体位于当地最低侵蚀基准面以上，直接出露地表，露天采矿不会产生矿坑涌水，在采取了环评建议的措施后不会对地下水和地表水环境产生影响。</w:t>
            </w:r>
          </w:p>
        </w:tc>
        <w:tc>
          <w:tcPr>
            <w:tcW w:w="889" w:type="dxa"/>
            <w:vAlign w:val="center"/>
          </w:tcPr>
          <w:p w14:paraId="7CA3523F" w14:textId="77777777" w:rsidR="00E579B9" w:rsidRDefault="006A1398">
            <w:pPr>
              <w:spacing w:line="360" w:lineRule="exact"/>
              <w:ind w:firstLineChars="0" w:firstLine="0"/>
              <w:jc w:val="center"/>
              <w:rPr>
                <w:sz w:val="21"/>
                <w:szCs w:val="21"/>
              </w:rPr>
            </w:pPr>
            <w:r>
              <w:rPr>
                <w:sz w:val="21"/>
                <w:szCs w:val="21"/>
              </w:rPr>
              <w:t>符合</w:t>
            </w:r>
          </w:p>
        </w:tc>
      </w:tr>
      <w:tr w:rsidR="00E579B9" w14:paraId="5B2181D9" w14:textId="77777777">
        <w:tc>
          <w:tcPr>
            <w:tcW w:w="677" w:type="dxa"/>
            <w:vMerge/>
            <w:vAlign w:val="center"/>
          </w:tcPr>
          <w:p w14:paraId="62083274" w14:textId="77777777" w:rsidR="00E579B9" w:rsidRDefault="00E579B9">
            <w:pPr>
              <w:spacing w:line="360" w:lineRule="exact"/>
              <w:ind w:firstLineChars="0" w:firstLine="0"/>
              <w:jc w:val="center"/>
              <w:rPr>
                <w:sz w:val="21"/>
                <w:szCs w:val="21"/>
              </w:rPr>
            </w:pPr>
          </w:p>
        </w:tc>
        <w:tc>
          <w:tcPr>
            <w:tcW w:w="667" w:type="dxa"/>
            <w:vAlign w:val="center"/>
          </w:tcPr>
          <w:p w14:paraId="6F846980" w14:textId="77777777" w:rsidR="00E579B9" w:rsidRDefault="006A1398">
            <w:pPr>
              <w:spacing w:line="360" w:lineRule="exact"/>
              <w:ind w:firstLineChars="0" w:firstLine="0"/>
              <w:jc w:val="center"/>
              <w:rPr>
                <w:sz w:val="21"/>
                <w:szCs w:val="21"/>
              </w:rPr>
            </w:pPr>
            <w:r>
              <w:rPr>
                <w:sz w:val="21"/>
                <w:szCs w:val="21"/>
              </w:rPr>
              <w:t>5.9</w:t>
            </w:r>
          </w:p>
        </w:tc>
        <w:tc>
          <w:tcPr>
            <w:tcW w:w="4060" w:type="dxa"/>
            <w:vAlign w:val="center"/>
          </w:tcPr>
          <w:p w14:paraId="45D039C7" w14:textId="77777777" w:rsidR="00E579B9" w:rsidRDefault="006A1398">
            <w:pPr>
              <w:spacing w:line="360" w:lineRule="exact"/>
              <w:ind w:firstLineChars="0" w:firstLine="0"/>
              <w:jc w:val="center"/>
              <w:rPr>
                <w:sz w:val="21"/>
                <w:szCs w:val="21"/>
              </w:rPr>
            </w:pPr>
            <w:r>
              <w:rPr>
                <w:sz w:val="21"/>
                <w:szCs w:val="21"/>
              </w:rPr>
              <w:t>矿区专用道路选线应绕避环境敏感区和环境敏感点，防止对环境保护目标造成不利影响。</w:t>
            </w:r>
          </w:p>
        </w:tc>
        <w:tc>
          <w:tcPr>
            <w:tcW w:w="2653" w:type="dxa"/>
            <w:vAlign w:val="center"/>
          </w:tcPr>
          <w:p w14:paraId="60455EE2" w14:textId="77777777" w:rsidR="00E579B9" w:rsidRDefault="006A1398">
            <w:pPr>
              <w:spacing w:line="360" w:lineRule="exact"/>
              <w:ind w:firstLineChars="0" w:firstLine="0"/>
              <w:jc w:val="center"/>
              <w:rPr>
                <w:sz w:val="21"/>
                <w:szCs w:val="21"/>
              </w:rPr>
            </w:pPr>
            <w:r>
              <w:rPr>
                <w:rFonts w:hint="eastAsia"/>
                <w:sz w:val="21"/>
                <w:szCs w:val="21"/>
              </w:rPr>
              <w:t>矿区运输道路主要利用现有村村通道路及乡道，出矿区运输过程中经过居民区，评价建议运输过程中</w:t>
            </w:r>
            <w:r>
              <w:rPr>
                <w:rFonts w:hint="eastAsia"/>
                <w:sz w:val="21"/>
                <w:szCs w:val="21"/>
              </w:rPr>
              <w:lastRenderedPageBreak/>
              <w:t>采取低速，降低对环境保护目标的影响。</w:t>
            </w:r>
          </w:p>
        </w:tc>
        <w:tc>
          <w:tcPr>
            <w:tcW w:w="889" w:type="dxa"/>
            <w:vAlign w:val="center"/>
          </w:tcPr>
          <w:p w14:paraId="6055EAE7" w14:textId="77777777" w:rsidR="00E579B9" w:rsidRDefault="006A1398">
            <w:pPr>
              <w:spacing w:line="360" w:lineRule="exact"/>
              <w:ind w:firstLineChars="0" w:firstLine="0"/>
              <w:jc w:val="center"/>
              <w:rPr>
                <w:sz w:val="21"/>
                <w:szCs w:val="21"/>
              </w:rPr>
            </w:pPr>
            <w:r>
              <w:rPr>
                <w:sz w:val="21"/>
                <w:szCs w:val="21"/>
              </w:rPr>
              <w:lastRenderedPageBreak/>
              <w:t>符合</w:t>
            </w:r>
          </w:p>
        </w:tc>
      </w:tr>
      <w:tr w:rsidR="00E579B9" w14:paraId="0B909CE0" w14:textId="77777777">
        <w:tc>
          <w:tcPr>
            <w:tcW w:w="677" w:type="dxa"/>
            <w:vAlign w:val="center"/>
          </w:tcPr>
          <w:p w14:paraId="2F7F4B2F" w14:textId="77777777" w:rsidR="00E579B9" w:rsidRDefault="00E579B9">
            <w:pPr>
              <w:spacing w:line="360" w:lineRule="exact"/>
              <w:ind w:firstLineChars="0" w:firstLine="0"/>
              <w:jc w:val="center"/>
              <w:rPr>
                <w:sz w:val="21"/>
                <w:szCs w:val="21"/>
              </w:rPr>
            </w:pPr>
          </w:p>
        </w:tc>
        <w:tc>
          <w:tcPr>
            <w:tcW w:w="667" w:type="dxa"/>
            <w:vAlign w:val="center"/>
          </w:tcPr>
          <w:p w14:paraId="41740C63" w14:textId="77777777" w:rsidR="00E579B9" w:rsidRDefault="006A1398">
            <w:pPr>
              <w:spacing w:line="360" w:lineRule="exact"/>
              <w:ind w:firstLineChars="0" w:firstLine="0"/>
              <w:jc w:val="center"/>
              <w:rPr>
                <w:sz w:val="21"/>
                <w:szCs w:val="21"/>
              </w:rPr>
            </w:pPr>
            <w:r>
              <w:rPr>
                <w:sz w:val="21"/>
                <w:szCs w:val="21"/>
              </w:rPr>
              <w:t>5.10</w:t>
            </w:r>
          </w:p>
        </w:tc>
        <w:tc>
          <w:tcPr>
            <w:tcW w:w="4060" w:type="dxa"/>
            <w:vAlign w:val="center"/>
          </w:tcPr>
          <w:p w14:paraId="1C0C024A" w14:textId="77777777" w:rsidR="00E579B9" w:rsidRDefault="006A1398">
            <w:pPr>
              <w:spacing w:line="360" w:lineRule="exact"/>
              <w:ind w:firstLineChars="0" w:firstLine="0"/>
              <w:jc w:val="center"/>
              <w:rPr>
                <w:sz w:val="21"/>
                <w:szCs w:val="21"/>
              </w:rPr>
            </w:pPr>
            <w:r>
              <w:rPr>
                <w:sz w:val="21"/>
                <w:szCs w:val="21"/>
              </w:rPr>
              <w:t>排土场、采场、尾矿库、矿区专用道路等各类场地建设前，应视土壤类型对表土进行剥离。对矿区耕作土壤的剥离，应对耕作层和心土层单独剥离与回填，表土剥离厚度一般情况下不少于</w:t>
            </w:r>
            <w:r>
              <w:rPr>
                <w:sz w:val="21"/>
                <w:szCs w:val="21"/>
              </w:rPr>
              <w:t>30cm</w:t>
            </w:r>
            <w:r>
              <w:rPr>
                <w:sz w:val="21"/>
                <w:szCs w:val="21"/>
              </w:rPr>
              <w:t>；对矿区非耕作土壤的采集，应对表土层进行单独剥离，如果表土层厚度小于</w:t>
            </w:r>
            <w:r>
              <w:rPr>
                <w:sz w:val="21"/>
                <w:szCs w:val="21"/>
              </w:rPr>
              <w:t>20cm</w:t>
            </w:r>
            <w:r>
              <w:rPr>
                <w:sz w:val="21"/>
                <w:szCs w:val="21"/>
              </w:rPr>
              <w:t>，则将表土层及其下面贴近的心土层一起构成的至少</w:t>
            </w:r>
            <w:r>
              <w:rPr>
                <w:sz w:val="21"/>
                <w:szCs w:val="21"/>
              </w:rPr>
              <w:t>20cm</w:t>
            </w:r>
            <w:r>
              <w:rPr>
                <w:sz w:val="21"/>
                <w:szCs w:val="21"/>
              </w:rPr>
              <w:t>厚的土层进行单独剥离；高寒区表土剥离应保留好草皮层，剥离厚度不少于</w:t>
            </w:r>
            <w:r>
              <w:rPr>
                <w:sz w:val="21"/>
                <w:szCs w:val="21"/>
              </w:rPr>
              <w:t>20cm</w:t>
            </w:r>
            <w:r>
              <w:rPr>
                <w:sz w:val="21"/>
                <w:szCs w:val="21"/>
              </w:rPr>
              <w:t>。剥离的表层土壤不能及时铺覆到已整治场地的，应选择适宜的场地进行堆存，并采取围挡等措施防止水土流失。</w:t>
            </w:r>
          </w:p>
        </w:tc>
        <w:tc>
          <w:tcPr>
            <w:tcW w:w="2653" w:type="dxa"/>
            <w:vAlign w:val="center"/>
          </w:tcPr>
          <w:p w14:paraId="13C09FEF" w14:textId="77777777" w:rsidR="00E579B9" w:rsidRDefault="006A1398">
            <w:pPr>
              <w:spacing w:line="360" w:lineRule="exact"/>
              <w:ind w:firstLineChars="0" w:firstLine="0"/>
              <w:jc w:val="center"/>
              <w:rPr>
                <w:sz w:val="21"/>
                <w:szCs w:val="21"/>
              </w:rPr>
            </w:pPr>
            <w:r>
              <w:rPr>
                <w:sz w:val="21"/>
                <w:szCs w:val="21"/>
              </w:rPr>
              <w:t>拟对采场表土进行剥离并集中堆存，并采取拦挡和截排水措施。</w:t>
            </w:r>
          </w:p>
        </w:tc>
        <w:tc>
          <w:tcPr>
            <w:tcW w:w="889" w:type="dxa"/>
            <w:vAlign w:val="center"/>
          </w:tcPr>
          <w:p w14:paraId="5FC45F80" w14:textId="77777777" w:rsidR="00E579B9" w:rsidRDefault="006A1398">
            <w:pPr>
              <w:spacing w:line="360" w:lineRule="exact"/>
              <w:ind w:firstLineChars="0" w:firstLine="0"/>
              <w:jc w:val="center"/>
              <w:rPr>
                <w:sz w:val="21"/>
                <w:szCs w:val="21"/>
              </w:rPr>
            </w:pPr>
            <w:r>
              <w:rPr>
                <w:sz w:val="21"/>
                <w:szCs w:val="21"/>
              </w:rPr>
              <w:t>符合</w:t>
            </w:r>
          </w:p>
        </w:tc>
      </w:tr>
      <w:tr w:rsidR="00E579B9" w14:paraId="7754D7C1" w14:textId="77777777">
        <w:tc>
          <w:tcPr>
            <w:tcW w:w="677" w:type="dxa"/>
            <w:vMerge w:val="restart"/>
            <w:vAlign w:val="center"/>
          </w:tcPr>
          <w:p w14:paraId="45DEFC04" w14:textId="77777777" w:rsidR="00E579B9" w:rsidRDefault="006A1398">
            <w:pPr>
              <w:spacing w:line="360" w:lineRule="exact"/>
              <w:ind w:firstLineChars="0" w:firstLine="0"/>
              <w:jc w:val="center"/>
              <w:rPr>
                <w:sz w:val="21"/>
                <w:szCs w:val="21"/>
              </w:rPr>
            </w:pPr>
            <w:r>
              <w:rPr>
                <w:sz w:val="21"/>
                <w:szCs w:val="21"/>
              </w:rPr>
              <w:t>排土场植被恢复</w:t>
            </w:r>
          </w:p>
        </w:tc>
        <w:tc>
          <w:tcPr>
            <w:tcW w:w="667" w:type="dxa"/>
            <w:vAlign w:val="center"/>
          </w:tcPr>
          <w:p w14:paraId="1676F99A" w14:textId="77777777" w:rsidR="00E579B9" w:rsidRDefault="006A1398">
            <w:pPr>
              <w:spacing w:line="360" w:lineRule="exact"/>
              <w:ind w:firstLineChars="0" w:firstLine="0"/>
              <w:jc w:val="center"/>
              <w:rPr>
                <w:sz w:val="21"/>
                <w:szCs w:val="21"/>
              </w:rPr>
            </w:pPr>
            <w:r>
              <w:rPr>
                <w:sz w:val="21"/>
                <w:szCs w:val="21"/>
              </w:rPr>
              <w:t>7.3.1</w:t>
            </w:r>
          </w:p>
        </w:tc>
        <w:tc>
          <w:tcPr>
            <w:tcW w:w="4060" w:type="dxa"/>
            <w:vAlign w:val="center"/>
          </w:tcPr>
          <w:p w14:paraId="6D523BBF" w14:textId="77777777" w:rsidR="00E579B9" w:rsidRDefault="006A1398">
            <w:pPr>
              <w:autoSpaceDE w:val="0"/>
              <w:autoSpaceDN w:val="0"/>
              <w:spacing w:line="360" w:lineRule="exact"/>
              <w:ind w:firstLineChars="0" w:firstLine="0"/>
              <w:jc w:val="center"/>
              <w:rPr>
                <w:sz w:val="21"/>
                <w:szCs w:val="21"/>
              </w:rPr>
            </w:pPr>
            <w:r>
              <w:rPr>
                <w:sz w:val="21"/>
                <w:szCs w:val="21"/>
              </w:rPr>
              <w:t>排土场总高度大于</w:t>
            </w:r>
            <w:r>
              <w:rPr>
                <w:sz w:val="21"/>
                <w:szCs w:val="21"/>
              </w:rPr>
              <w:t>10m</w:t>
            </w:r>
            <w:r>
              <w:rPr>
                <w:sz w:val="21"/>
                <w:szCs w:val="21"/>
              </w:rPr>
              <w:t>时应进行削坡开级，每一台阶高度不超过</w:t>
            </w:r>
            <w:r>
              <w:rPr>
                <w:sz w:val="21"/>
                <w:szCs w:val="21"/>
              </w:rPr>
              <w:t>5-8m</w:t>
            </w:r>
            <w:r>
              <w:rPr>
                <w:sz w:val="21"/>
                <w:szCs w:val="21"/>
              </w:rPr>
              <w:t>，台阶宽度应在</w:t>
            </w:r>
            <w:r>
              <w:rPr>
                <w:sz w:val="21"/>
                <w:szCs w:val="21"/>
              </w:rPr>
              <w:t>2m</w:t>
            </w:r>
            <w:r>
              <w:rPr>
                <w:sz w:val="21"/>
                <w:szCs w:val="21"/>
              </w:rPr>
              <w:t>以上，台阶边坡坡度小于</w:t>
            </w:r>
            <w:r>
              <w:rPr>
                <w:sz w:val="21"/>
                <w:szCs w:val="21"/>
              </w:rPr>
              <w:t>35º</w:t>
            </w:r>
            <w:r>
              <w:rPr>
                <w:sz w:val="21"/>
                <w:szCs w:val="21"/>
              </w:rPr>
              <w:t>，形成有利于林木植被恢复的地表条件。</w:t>
            </w:r>
          </w:p>
        </w:tc>
        <w:tc>
          <w:tcPr>
            <w:tcW w:w="2653" w:type="dxa"/>
            <w:vAlign w:val="center"/>
          </w:tcPr>
          <w:p w14:paraId="06CAEE13" w14:textId="77777777" w:rsidR="00E579B9" w:rsidRDefault="006A1398">
            <w:pPr>
              <w:spacing w:line="360" w:lineRule="exact"/>
              <w:ind w:firstLineChars="0" w:firstLine="0"/>
              <w:jc w:val="center"/>
              <w:rPr>
                <w:sz w:val="21"/>
                <w:szCs w:val="21"/>
              </w:rPr>
            </w:pPr>
            <w:r>
              <w:rPr>
                <w:rFonts w:hint="eastAsia"/>
                <w:sz w:val="21"/>
                <w:szCs w:val="21"/>
              </w:rPr>
              <w:t>项目临时排土场堆存</w:t>
            </w:r>
            <w:r>
              <w:rPr>
                <w:sz w:val="21"/>
                <w:szCs w:val="21"/>
              </w:rPr>
              <w:t>高</w:t>
            </w:r>
            <w:r>
              <w:rPr>
                <w:rFonts w:hint="eastAsia"/>
                <w:sz w:val="21"/>
                <w:szCs w:val="21"/>
              </w:rPr>
              <w:t>度</w:t>
            </w:r>
            <w:r>
              <w:rPr>
                <w:sz w:val="21"/>
                <w:szCs w:val="21"/>
              </w:rPr>
              <w:t>约</w:t>
            </w:r>
            <w:r>
              <w:rPr>
                <w:rFonts w:hint="eastAsia"/>
                <w:sz w:val="21"/>
                <w:szCs w:val="21"/>
              </w:rPr>
              <w:t>3m</w:t>
            </w:r>
          </w:p>
        </w:tc>
        <w:tc>
          <w:tcPr>
            <w:tcW w:w="889" w:type="dxa"/>
            <w:vAlign w:val="center"/>
          </w:tcPr>
          <w:p w14:paraId="321C00BB" w14:textId="77777777" w:rsidR="00E579B9" w:rsidRDefault="006A1398">
            <w:pPr>
              <w:spacing w:line="360" w:lineRule="exact"/>
              <w:ind w:firstLineChars="0" w:firstLine="0"/>
              <w:jc w:val="center"/>
              <w:rPr>
                <w:sz w:val="21"/>
                <w:szCs w:val="21"/>
              </w:rPr>
            </w:pPr>
            <w:r>
              <w:rPr>
                <w:sz w:val="21"/>
                <w:szCs w:val="21"/>
              </w:rPr>
              <w:t>符合</w:t>
            </w:r>
          </w:p>
        </w:tc>
      </w:tr>
      <w:tr w:rsidR="00E579B9" w14:paraId="444D1D34" w14:textId="77777777">
        <w:tc>
          <w:tcPr>
            <w:tcW w:w="677" w:type="dxa"/>
            <w:vMerge/>
            <w:vAlign w:val="center"/>
          </w:tcPr>
          <w:p w14:paraId="0CE5EE71" w14:textId="77777777" w:rsidR="00E579B9" w:rsidRDefault="00E579B9">
            <w:pPr>
              <w:spacing w:line="360" w:lineRule="exact"/>
              <w:ind w:firstLineChars="0" w:firstLine="0"/>
              <w:jc w:val="center"/>
              <w:rPr>
                <w:sz w:val="21"/>
                <w:szCs w:val="21"/>
              </w:rPr>
            </w:pPr>
          </w:p>
        </w:tc>
        <w:tc>
          <w:tcPr>
            <w:tcW w:w="667" w:type="dxa"/>
            <w:vAlign w:val="center"/>
          </w:tcPr>
          <w:p w14:paraId="6BF92B1B" w14:textId="77777777" w:rsidR="00E579B9" w:rsidRDefault="006A1398">
            <w:pPr>
              <w:spacing w:line="360" w:lineRule="exact"/>
              <w:ind w:firstLineChars="0" w:firstLine="0"/>
              <w:jc w:val="center"/>
              <w:rPr>
                <w:sz w:val="21"/>
                <w:szCs w:val="21"/>
              </w:rPr>
            </w:pPr>
            <w:r>
              <w:rPr>
                <w:sz w:val="21"/>
                <w:szCs w:val="21"/>
              </w:rPr>
              <w:t>7.3.2</w:t>
            </w:r>
          </w:p>
        </w:tc>
        <w:tc>
          <w:tcPr>
            <w:tcW w:w="4060" w:type="dxa"/>
            <w:vAlign w:val="center"/>
          </w:tcPr>
          <w:p w14:paraId="50F7A4A4" w14:textId="77777777" w:rsidR="00E579B9" w:rsidRDefault="006A1398">
            <w:pPr>
              <w:spacing w:line="360" w:lineRule="exact"/>
              <w:ind w:firstLineChars="0" w:firstLine="0"/>
              <w:jc w:val="center"/>
              <w:rPr>
                <w:sz w:val="21"/>
                <w:szCs w:val="21"/>
              </w:rPr>
            </w:pPr>
            <w:r>
              <w:rPr>
                <w:sz w:val="21"/>
                <w:szCs w:val="21"/>
              </w:rPr>
              <w:t>充分利用工程前收集的表土覆盖于排土场表层，覆盖土层厚度根据植被恢复类型和场地用途确定。恢复为农业植被的，覆土厚度应在</w:t>
            </w:r>
            <w:r>
              <w:rPr>
                <w:sz w:val="21"/>
                <w:szCs w:val="21"/>
              </w:rPr>
              <w:t>50cm</w:t>
            </w:r>
            <w:r>
              <w:rPr>
                <w:sz w:val="21"/>
                <w:szCs w:val="21"/>
              </w:rPr>
              <w:t>以上；恢复为林灌草等生态或景观用地的，根据土源情况进行适当覆土。</w:t>
            </w:r>
          </w:p>
        </w:tc>
        <w:tc>
          <w:tcPr>
            <w:tcW w:w="2653" w:type="dxa"/>
            <w:vMerge w:val="restart"/>
            <w:vAlign w:val="center"/>
          </w:tcPr>
          <w:p w14:paraId="47740EE7" w14:textId="77777777" w:rsidR="00E579B9" w:rsidRDefault="006A1398">
            <w:pPr>
              <w:spacing w:line="360" w:lineRule="exact"/>
              <w:ind w:firstLineChars="0" w:firstLine="0"/>
              <w:jc w:val="center"/>
              <w:rPr>
                <w:sz w:val="21"/>
                <w:szCs w:val="21"/>
              </w:rPr>
            </w:pPr>
            <w:r>
              <w:rPr>
                <w:sz w:val="21"/>
                <w:szCs w:val="21"/>
              </w:rPr>
              <w:t>表土建设期剥离堆存用于后期覆土生态恢复。生态恢复类型与现状相似，物种选择以本地物种为主。</w:t>
            </w:r>
          </w:p>
        </w:tc>
        <w:tc>
          <w:tcPr>
            <w:tcW w:w="889" w:type="dxa"/>
            <w:vMerge w:val="restart"/>
            <w:vAlign w:val="center"/>
          </w:tcPr>
          <w:p w14:paraId="4A6CA044" w14:textId="77777777" w:rsidR="00E579B9" w:rsidRDefault="006A1398">
            <w:pPr>
              <w:spacing w:line="360" w:lineRule="exact"/>
              <w:ind w:firstLineChars="0" w:firstLine="0"/>
              <w:jc w:val="center"/>
              <w:rPr>
                <w:sz w:val="21"/>
                <w:szCs w:val="21"/>
              </w:rPr>
            </w:pPr>
            <w:r>
              <w:rPr>
                <w:sz w:val="21"/>
                <w:szCs w:val="21"/>
              </w:rPr>
              <w:t>符合</w:t>
            </w:r>
          </w:p>
        </w:tc>
      </w:tr>
      <w:tr w:rsidR="00E579B9" w14:paraId="53B68453" w14:textId="77777777">
        <w:trPr>
          <w:trHeight w:val="1435"/>
        </w:trPr>
        <w:tc>
          <w:tcPr>
            <w:tcW w:w="677" w:type="dxa"/>
            <w:vMerge/>
            <w:vAlign w:val="center"/>
          </w:tcPr>
          <w:p w14:paraId="5D663F30" w14:textId="77777777" w:rsidR="00E579B9" w:rsidRDefault="00E579B9">
            <w:pPr>
              <w:spacing w:line="360" w:lineRule="exact"/>
              <w:ind w:firstLineChars="0" w:firstLine="0"/>
              <w:jc w:val="center"/>
              <w:rPr>
                <w:sz w:val="21"/>
                <w:szCs w:val="21"/>
              </w:rPr>
            </w:pPr>
          </w:p>
        </w:tc>
        <w:tc>
          <w:tcPr>
            <w:tcW w:w="667" w:type="dxa"/>
            <w:vAlign w:val="center"/>
          </w:tcPr>
          <w:p w14:paraId="3692F279" w14:textId="77777777" w:rsidR="00E579B9" w:rsidRDefault="006A1398">
            <w:pPr>
              <w:spacing w:line="360" w:lineRule="exact"/>
              <w:ind w:firstLineChars="0" w:firstLine="0"/>
              <w:jc w:val="center"/>
              <w:rPr>
                <w:sz w:val="21"/>
                <w:szCs w:val="21"/>
              </w:rPr>
            </w:pPr>
            <w:r>
              <w:rPr>
                <w:sz w:val="21"/>
                <w:szCs w:val="21"/>
              </w:rPr>
              <w:t>7.3.4</w:t>
            </w:r>
          </w:p>
        </w:tc>
        <w:tc>
          <w:tcPr>
            <w:tcW w:w="4060" w:type="dxa"/>
            <w:vAlign w:val="center"/>
          </w:tcPr>
          <w:p w14:paraId="3E6CE439" w14:textId="77777777" w:rsidR="00E579B9" w:rsidRDefault="006A1398">
            <w:pPr>
              <w:spacing w:line="360" w:lineRule="exact"/>
              <w:ind w:firstLineChars="0" w:firstLine="0"/>
              <w:jc w:val="center"/>
              <w:rPr>
                <w:sz w:val="21"/>
                <w:szCs w:val="21"/>
              </w:rPr>
            </w:pPr>
            <w:r>
              <w:rPr>
                <w:sz w:val="21"/>
                <w:szCs w:val="21"/>
              </w:rPr>
              <w:t>排土场植被恢复宜林则林、宜草则草、草灌优先，恢复后的植被覆盖率不应低于当地同类土地植被覆盖率，植被类型要与原有类型相似、与周边自然景观协调。不得使用外来有害植物种进行排土场植被恢复。已采用外来物种进行植被恢复造成危害的，应采取人工铲除、生物防治、化学防治等措施及时清理。</w:t>
            </w:r>
          </w:p>
        </w:tc>
        <w:tc>
          <w:tcPr>
            <w:tcW w:w="2653" w:type="dxa"/>
            <w:vMerge/>
            <w:vAlign w:val="center"/>
          </w:tcPr>
          <w:p w14:paraId="727C377F" w14:textId="77777777" w:rsidR="00E579B9" w:rsidRDefault="00E579B9">
            <w:pPr>
              <w:spacing w:line="360" w:lineRule="exact"/>
              <w:ind w:firstLineChars="0" w:firstLine="0"/>
              <w:jc w:val="center"/>
              <w:rPr>
                <w:sz w:val="21"/>
                <w:szCs w:val="21"/>
              </w:rPr>
            </w:pPr>
          </w:p>
        </w:tc>
        <w:tc>
          <w:tcPr>
            <w:tcW w:w="889" w:type="dxa"/>
            <w:vMerge/>
            <w:vAlign w:val="center"/>
          </w:tcPr>
          <w:p w14:paraId="2269E658" w14:textId="77777777" w:rsidR="00E579B9" w:rsidRDefault="00E579B9">
            <w:pPr>
              <w:spacing w:line="360" w:lineRule="exact"/>
              <w:ind w:firstLineChars="0" w:firstLine="0"/>
              <w:jc w:val="center"/>
              <w:rPr>
                <w:sz w:val="21"/>
                <w:szCs w:val="21"/>
              </w:rPr>
            </w:pPr>
          </w:p>
        </w:tc>
      </w:tr>
      <w:tr w:rsidR="00E579B9" w14:paraId="0577E375" w14:textId="77777777">
        <w:trPr>
          <w:trHeight w:val="195"/>
        </w:trPr>
        <w:tc>
          <w:tcPr>
            <w:tcW w:w="677" w:type="dxa"/>
            <w:vMerge w:val="restart"/>
            <w:vAlign w:val="center"/>
          </w:tcPr>
          <w:p w14:paraId="1BFF5380" w14:textId="77777777" w:rsidR="00E579B9" w:rsidRDefault="006A1398">
            <w:pPr>
              <w:spacing w:line="360" w:lineRule="exact"/>
              <w:ind w:firstLineChars="0" w:firstLine="0"/>
              <w:jc w:val="center"/>
              <w:rPr>
                <w:sz w:val="21"/>
                <w:szCs w:val="21"/>
              </w:rPr>
            </w:pPr>
            <w:r>
              <w:rPr>
                <w:sz w:val="21"/>
                <w:szCs w:val="21"/>
              </w:rPr>
              <w:t>矿区专用道路</w:t>
            </w:r>
            <w:r>
              <w:rPr>
                <w:sz w:val="21"/>
                <w:szCs w:val="21"/>
              </w:rPr>
              <w:lastRenderedPageBreak/>
              <w:t>生态恢复</w:t>
            </w:r>
          </w:p>
        </w:tc>
        <w:tc>
          <w:tcPr>
            <w:tcW w:w="667" w:type="dxa"/>
            <w:vAlign w:val="center"/>
          </w:tcPr>
          <w:p w14:paraId="2D3305D5" w14:textId="77777777" w:rsidR="00E579B9" w:rsidRDefault="006A1398">
            <w:pPr>
              <w:spacing w:line="360" w:lineRule="exact"/>
              <w:ind w:firstLineChars="0" w:firstLine="0"/>
              <w:jc w:val="center"/>
              <w:rPr>
                <w:sz w:val="21"/>
                <w:szCs w:val="21"/>
              </w:rPr>
            </w:pPr>
            <w:r>
              <w:rPr>
                <w:sz w:val="21"/>
                <w:szCs w:val="21"/>
              </w:rPr>
              <w:lastRenderedPageBreak/>
              <w:t>10.1</w:t>
            </w:r>
          </w:p>
        </w:tc>
        <w:tc>
          <w:tcPr>
            <w:tcW w:w="4060" w:type="dxa"/>
            <w:vAlign w:val="center"/>
          </w:tcPr>
          <w:p w14:paraId="197375ED" w14:textId="77777777" w:rsidR="00E579B9" w:rsidRDefault="006A1398">
            <w:pPr>
              <w:autoSpaceDE w:val="0"/>
              <w:autoSpaceDN w:val="0"/>
              <w:spacing w:line="360" w:lineRule="exact"/>
              <w:ind w:firstLineChars="0" w:firstLine="0"/>
              <w:jc w:val="center"/>
              <w:rPr>
                <w:sz w:val="21"/>
                <w:szCs w:val="21"/>
              </w:rPr>
            </w:pPr>
            <w:r>
              <w:rPr>
                <w:sz w:val="21"/>
                <w:szCs w:val="21"/>
              </w:rPr>
              <w:t>矿区专用道路用地应严格控制占地面积和范围。开挖路基及取弃土工程，均应根据道路施工进度有计划地进行表土剥离并保</w:t>
            </w:r>
            <w:r>
              <w:rPr>
                <w:sz w:val="21"/>
                <w:szCs w:val="21"/>
              </w:rPr>
              <w:lastRenderedPageBreak/>
              <w:t>存，必要时应设置截排水沟、挡土墙等相应保护措施。</w:t>
            </w:r>
          </w:p>
        </w:tc>
        <w:tc>
          <w:tcPr>
            <w:tcW w:w="2653" w:type="dxa"/>
            <w:vMerge w:val="restart"/>
            <w:vAlign w:val="center"/>
          </w:tcPr>
          <w:p w14:paraId="7D7FCBC0" w14:textId="77777777" w:rsidR="00E579B9" w:rsidRDefault="006A1398">
            <w:pPr>
              <w:spacing w:line="360" w:lineRule="exact"/>
              <w:ind w:firstLineChars="0" w:firstLine="0"/>
              <w:jc w:val="center"/>
              <w:rPr>
                <w:sz w:val="21"/>
                <w:szCs w:val="21"/>
              </w:rPr>
            </w:pPr>
            <w:r>
              <w:rPr>
                <w:sz w:val="21"/>
                <w:szCs w:val="21"/>
              </w:rPr>
              <w:lastRenderedPageBreak/>
              <w:t>矿区专用道路部分利用现有道路，</w:t>
            </w:r>
            <w:r>
              <w:rPr>
                <w:rFonts w:hint="eastAsia"/>
                <w:sz w:val="21"/>
                <w:szCs w:val="21"/>
              </w:rPr>
              <w:t>部分</w:t>
            </w:r>
            <w:r>
              <w:rPr>
                <w:sz w:val="21"/>
                <w:szCs w:val="21"/>
              </w:rPr>
              <w:t>新建</w:t>
            </w:r>
            <w:r>
              <w:rPr>
                <w:rFonts w:hint="eastAsia"/>
                <w:sz w:val="21"/>
                <w:szCs w:val="21"/>
              </w:rPr>
              <w:t>道路，挖路基及取弃土工程，根</w:t>
            </w:r>
            <w:r>
              <w:rPr>
                <w:rFonts w:hint="eastAsia"/>
                <w:sz w:val="21"/>
                <w:szCs w:val="21"/>
              </w:rPr>
              <w:lastRenderedPageBreak/>
              <w:t>据道路施工进度有计划地进行表土剥离并保存，必要时应设置截排水沟、挡土墙等相应保护措施。</w:t>
            </w:r>
          </w:p>
        </w:tc>
        <w:tc>
          <w:tcPr>
            <w:tcW w:w="889" w:type="dxa"/>
            <w:vMerge w:val="restart"/>
            <w:vAlign w:val="center"/>
          </w:tcPr>
          <w:p w14:paraId="2AB88FF8" w14:textId="77777777" w:rsidR="00E579B9" w:rsidRDefault="006A1398">
            <w:pPr>
              <w:spacing w:line="360" w:lineRule="exact"/>
              <w:ind w:firstLineChars="0" w:firstLine="0"/>
              <w:jc w:val="center"/>
              <w:rPr>
                <w:sz w:val="21"/>
                <w:szCs w:val="21"/>
              </w:rPr>
            </w:pPr>
            <w:r>
              <w:rPr>
                <w:sz w:val="21"/>
                <w:szCs w:val="21"/>
              </w:rPr>
              <w:lastRenderedPageBreak/>
              <w:t>符合</w:t>
            </w:r>
          </w:p>
        </w:tc>
      </w:tr>
      <w:tr w:rsidR="00E579B9" w14:paraId="6A442D6D" w14:textId="77777777">
        <w:trPr>
          <w:trHeight w:val="377"/>
        </w:trPr>
        <w:tc>
          <w:tcPr>
            <w:tcW w:w="677" w:type="dxa"/>
            <w:vMerge/>
            <w:vAlign w:val="center"/>
          </w:tcPr>
          <w:p w14:paraId="635DA21E" w14:textId="77777777" w:rsidR="00E579B9" w:rsidRDefault="00E579B9">
            <w:pPr>
              <w:spacing w:line="360" w:lineRule="exact"/>
              <w:ind w:firstLineChars="0" w:firstLine="0"/>
              <w:jc w:val="center"/>
              <w:rPr>
                <w:sz w:val="21"/>
                <w:szCs w:val="21"/>
              </w:rPr>
            </w:pPr>
          </w:p>
        </w:tc>
        <w:tc>
          <w:tcPr>
            <w:tcW w:w="667" w:type="dxa"/>
            <w:vAlign w:val="center"/>
          </w:tcPr>
          <w:p w14:paraId="1A2155F5" w14:textId="77777777" w:rsidR="00E579B9" w:rsidRDefault="006A1398">
            <w:pPr>
              <w:spacing w:line="360" w:lineRule="exact"/>
              <w:ind w:firstLineChars="0" w:firstLine="0"/>
              <w:jc w:val="center"/>
              <w:rPr>
                <w:sz w:val="21"/>
                <w:szCs w:val="21"/>
              </w:rPr>
            </w:pPr>
            <w:r>
              <w:rPr>
                <w:sz w:val="21"/>
                <w:szCs w:val="21"/>
              </w:rPr>
              <w:t>10.2</w:t>
            </w:r>
          </w:p>
        </w:tc>
        <w:tc>
          <w:tcPr>
            <w:tcW w:w="4060" w:type="dxa"/>
            <w:vAlign w:val="center"/>
          </w:tcPr>
          <w:p w14:paraId="0BEB518D" w14:textId="77777777" w:rsidR="00E579B9" w:rsidRDefault="006A1398">
            <w:pPr>
              <w:autoSpaceDE w:val="0"/>
              <w:autoSpaceDN w:val="0"/>
              <w:spacing w:line="360" w:lineRule="exact"/>
              <w:ind w:firstLineChars="0" w:firstLine="0"/>
              <w:jc w:val="center"/>
              <w:rPr>
                <w:sz w:val="21"/>
                <w:szCs w:val="21"/>
              </w:rPr>
            </w:pPr>
            <w:r>
              <w:rPr>
                <w:sz w:val="21"/>
                <w:szCs w:val="21"/>
              </w:rPr>
              <w:t>矿区专用道路取弃土工程结束后，取弃土场应及时回填、整平、压实，并利用堆存的表土进行植被和景观恢复。</w:t>
            </w:r>
          </w:p>
        </w:tc>
        <w:tc>
          <w:tcPr>
            <w:tcW w:w="2653" w:type="dxa"/>
            <w:vMerge/>
            <w:vAlign w:val="center"/>
          </w:tcPr>
          <w:p w14:paraId="5DA454E1" w14:textId="77777777" w:rsidR="00E579B9" w:rsidRDefault="00E579B9">
            <w:pPr>
              <w:spacing w:line="360" w:lineRule="exact"/>
              <w:ind w:firstLineChars="0" w:firstLine="0"/>
              <w:jc w:val="center"/>
              <w:rPr>
                <w:sz w:val="21"/>
                <w:szCs w:val="21"/>
              </w:rPr>
            </w:pPr>
          </w:p>
        </w:tc>
        <w:tc>
          <w:tcPr>
            <w:tcW w:w="889" w:type="dxa"/>
            <w:vMerge/>
            <w:vAlign w:val="center"/>
          </w:tcPr>
          <w:p w14:paraId="04592099" w14:textId="77777777" w:rsidR="00E579B9" w:rsidRDefault="00E579B9">
            <w:pPr>
              <w:spacing w:line="360" w:lineRule="exact"/>
              <w:ind w:firstLineChars="0" w:firstLine="0"/>
              <w:jc w:val="center"/>
              <w:rPr>
                <w:sz w:val="21"/>
                <w:szCs w:val="21"/>
              </w:rPr>
            </w:pPr>
          </w:p>
        </w:tc>
      </w:tr>
      <w:tr w:rsidR="00E579B9" w14:paraId="4AE7EA3E" w14:textId="77777777">
        <w:trPr>
          <w:trHeight w:val="769"/>
        </w:trPr>
        <w:tc>
          <w:tcPr>
            <w:tcW w:w="677" w:type="dxa"/>
            <w:vMerge/>
            <w:vAlign w:val="center"/>
          </w:tcPr>
          <w:p w14:paraId="548F9001" w14:textId="77777777" w:rsidR="00E579B9" w:rsidRDefault="00E579B9">
            <w:pPr>
              <w:spacing w:line="360" w:lineRule="exact"/>
              <w:ind w:firstLineChars="0" w:firstLine="0"/>
              <w:jc w:val="center"/>
              <w:rPr>
                <w:sz w:val="21"/>
                <w:szCs w:val="21"/>
              </w:rPr>
            </w:pPr>
          </w:p>
        </w:tc>
        <w:tc>
          <w:tcPr>
            <w:tcW w:w="667" w:type="dxa"/>
            <w:vAlign w:val="center"/>
          </w:tcPr>
          <w:p w14:paraId="2294554D" w14:textId="77777777" w:rsidR="00E579B9" w:rsidRDefault="006A1398">
            <w:pPr>
              <w:spacing w:line="360" w:lineRule="exact"/>
              <w:ind w:firstLineChars="0" w:firstLine="0"/>
              <w:jc w:val="center"/>
              <w:rPr>
                <w:sz w:val="21"/>
                <w:szCs w:val="21"/>
              </w:rPr>
            </w:pPr>
            <w:r>
              <w:rPr>
                <w:sz w:val="21"/>
                <w:szCs w:val="21"/>
              </w:rPr>
              <w:t>10.3</w:t>
            </w:r>
          </w:p>
        </w:tc>
        <w:tc>
          <w:tcPr>
            <w:tcW w:w="4060" w:type="dxa"/>
            <w:vAlign w:val="center"/>
          </w:tcPr>
          <w:p w14:paraId="2F9923C5" w14:textId="77777777" w:rsidR="00E579B9" w:rsidRDefault="006A1398">
            <w:pPr>
              <w:autoSpaceDE w:val="0"/>
              <w:autoSpaceDN w:val="0"/>
              <w:spacing w:line="360" w:lineRule="exact"/>
              <w:ind w:firstLineChars="0" w:firstLine="0"/>
              <w:jc w:val="center"/>
              <w:rPr>
                <w:sz w:val="21"/>
                <w:szCs w:val="21"/>
              </w:rPr>
            </w:pPr>
            <w:r>
              <w:rPr>
                <w:sz w:val="21"/>
                <w:szCs w:val="21"/>
              </w:rPr>
              <w:t>矿区专用道路使用期间，有条件的地区应对道路两侧进行绿化。道路绿化应以乡土树（草）种为主，选择适应性强、防尘效果好、护坡功能强的植物种。</w:t>
            </w:r>
          </w:p>
        </w:tc>
        <w:tc>
          <w:tcPr>
            <w:tcW w:w="2653" w:type="dxa"/>
            <w:vMerge/>
            <w:vAlign w:val="center"/>
          </w:tcPr>
          <w:p w14:paraId="20FE0A45" w14:textId="77777777" w:rsidR="00E579B9" w:rsidRDefault="00E579B9">
            <w:pPr>
              <w:spacing w:line="360" w:lineRule="exact"/>
              <w:ind w:firstLineChars="0" w:firstLine="0"/>
              <w:jc w:val="center"/>
              <w:rPr>
                <w:sz w:val="21"/>
                <w:szCs w:val="21"/>
              </w:rPr>
            </w:pPr>
          </w:p>
        </w:tc>
        <w:tc>
          <w:tcPr>
            <w:tcW w:w="889" w:type="dxa"/>
            <w:vMerge/>
            <w:vAlign w:val="center"/>
          </w:tcPr>
          <w:p w14:paraId="4CDCBA67" w14:textId="77777777" w:rsidR="00E579B9" w:rsidRDefault="00E579B9">
            <w:pPr>
              <w:spacing w:line="360" w:lineRule="exact"/>
              <w:ind w:firstLineChars="0" w:firstLine="0"/>
              <w:jc w:val="center"/>
              <w:rPr>
                <w:sz w:val="21"/>
                <w:szCs w:val="21"/>
              </w:rPr>
            </w:pPr>
          </w:p>
        </w:tc>
      </w:tr>
      <w:tr w:rsidR="00E579B9" w14:paraId="081D30BC" w14:textId="77777777">
        <w:trPr>
          <w:trHeight w:val="302"/>
        </w:trPr>
        <w:tc>
          <w:tcPr>
            <w:tcW w:w="677" w:type="dxa"/>
            <w:vMerge/>
            <w:vAlign w:val="center"/>
          </w:tcPr>
          <w:p w14:paraId="3E122AC9" w14:textId="77777777" w:rsidR="00E579B9" w:rsidRDefault="00E579B9">
            <w:pPr>
              <w:spacing w:line="360" w:lineRule="exact"/>
              <w:ind w:firstLineChars="0" w:firstLine="0"/>
              <w:jc w:val="center"/>
              <w:rPr>
                <w:sz w:val="21"/>
                <w:szCs w:val="21"/>
              </w:rPr>
            </w:pPr>
          </w:p>
        </w:tc>
        <w:tc>
          <w:tcPr>
            <w:tcW w:w="667" w:type="dxa"/>
            <w:vAlign w:val="center"/>
          </w:tcPr>
          <w:p w14:paraId="5A0027D3" w14:textId="77777777" w:rsidR="00E579B9" w:rsidRDefault="006A1398">
            <w:pPr>
              <w:spacing w:line="360" w:lineRule="exact"/>
              <w:ind w:firstLineChars="0" w:firstLine="0"/>
              <w:jc w:val="center"/>
              <w:rPr>
                <w:sz w:val="21"/>
                <w:szCs w:val="21"/>
              </w:rPr>
            </w:pPr>
            <w:r>
              <w:rPr>
                <w:sz w:val="21"/>
                <w:szCs w:val="21"/>
              </w:rPr>
              <w:t>10.4</w:t>
            </w:r>
          </w:p>
        </w:tc>
        <w:tc>
          <w:tcPr>
            <w:tcW w:w="4060" w:type="dxa"/>
            <w:vAlign w:val="center"/>
          </w:tcPr>
          <w:p w14:paraId="5304BC71" w14:textId="77777777" w:rsidR="00E579B9" w:rsidRDefault="006A1398">
            <w:pPr>
              <w:autoSpaceDE w:val="0"/>
              <w:autoSpaceDN w:val="0"/>
              <w:spacing w:line="360" w:lineRule="exact"/>
              <w:ind w:firstLineChars="0" w:firstLine="0"/>
              <w:jc w:val="center"/>
              <w:rPr>
                <w:sz w:val="21"/>
                <w:szCs w:val="21"/>
              </w:rPr>
            </w:pPr>
            <w:r>
              <w:rPr>
                <w:sz w:val="21"/>
                <w:szCs w:val="21"/>
              </w:rPr>
              <w:t>道路建设施工结束后，临时占地应及时恢复，与原有地貌和景观协调。</w:t>
            </w:r>
          </w:p>
        </w:tc>
        <w:tc>
          <w:tcPr>
            <w:tcW w:w="2653" w:type="dxa"/>
            <w:vMerge/>
            <w:vAlign w:val="center"/>
          </w:tcPr>
          <w:p w14:paraId="77BE1F60" w14:textId="77777777" w:rsidR="00E579B9" w:rsidRDefault="00E579B9">
            <w:pPr>
              <w:spacing w:line="360" w:lineRule="exact"/>
              <w:ind w:firstLineChars="0" w:firstLine="0"/>
              <w:jc w:val="center"/>
              <w:rPr>
                <w:sz w:val="21"/>
                <w:szCs w:val="21"/>
              </w:rPr>
            </w:pPr>
          </w:p>
        </w:tc>
        <w:tc>
          <w:tcPr>
            <w:tcW w:w="889" w:type="dxa"/>
            <w:vMerge/>
            <w:vAlign w:val="center"/>
          </w:tcPr>
          <w:p w14:paraId="53C6AE65" w14:textId="77777777" w:rsidR="00E579B9" w:rsidRDefault="00E579B9">
            <w:pPr>
              <w:spacing w:line="360" w:lineRule="exact"/>
              <w:ind w:firstLineChars="0" w:firstLine="0"/>
              <w:jc w:val="center"/>
              <w:rPr>
                <w:sz w:val="21"/>
                <w:szCs w:val="21"/>
              </w:rPr>
            </w:pPr>
          </w:p>
        </w:tc>
      </w:tr>
      <w:tr w:rsidR="00E579B9" w14:paraId="467173D2" w14:textId="77777777">
        <w:trPr>
          <w:trHeight w:val="1435"/>
        </w:trPr>
        <w:tc>
          <w:tcPr>
            <w:tcW w:w="677" w:type="dxa"/>
            <w:vAlign w:val="center"/>
          </w:tcPr>
          <w:p w14:paraId="62E3602E" w14:textId="77777777" w:rsidR="00E579B9" w:rsidRDefault="006A1398">
            <w:pPr>
              <w:spacing w:line="360" w:lineRule="exact"/>
              <w:ind w:firstLineChars="0" w:firstLine="0"/>
              <w:jc w:val="center"/>
              <w:rPr>
                <w:sz w:val="21"/>
                <w:szCs w:val="21"/>
              </w:rPr>
            </w:pPr>
            <w:r>
              <w:rPr>
                <w:sz w:val="21"/>
                <w:szCs w:val="21"/>
              </w:rPr>
              <w:t>工业场地生态恢复</w:t>
            </w:r>
          </w:p>
        </w:tc>
        <w:tc>
          <w:tcPr>
            <w:tcW w:w="667" w:type="dxa"/>
            <w:vAlign w:val="center"/>
          </w:tcPr>
          <w:p w14:paraId="47EDB447" w14:textId="77777777" w:rsidR="00E579B9" w:rsidRDefault="006A1398">
            <w:pPr>
              <w:spacing w:line="360" w:lineRule="exact"/>
              <w:ind w:firstLineChars="0" w:firstLine="0"/>
              <w:jc w:val="center"/>
              <w:rPr>
                <w:sz w:val="21"/>
                <w:szCs w:val="21"/>
              </w:rPr>
            </w:pPr>
            <w:r>
              <w:rPr>
                <w:sz w:val="21"/>
                <w:szCs w:val="21"/>
              </w:rPr>
              <w:t>11.1</w:t>
            </w:r>
          </w:p>
        </w:tc>
        <w:tc>
          <w:tcPr>
            <w:tcW w:w="4060" w:type="dxa"/>
            <w:vAlign w:val="center"/>
          </w:tcPr>
          <w:p w14:paraId="0529F365" w14:textId="77777777" w:rsidR="00E579B9" w:rsidRDefault="006A1398">
            <w:pPr>
              <w:autoSpaceDE w:val="0"/>
              <w:autoSpaceDN w:val="0"/>
              <w:spacing w:line="360" w:lineRule="exact"/>
              <w:ind w:firstLineChars="0" w:firstLine="0"/>
              <w:jc w:val="center"/>
              <w:rPr>
                <w:sz w:val="21"/>
                <w:szCs w:val="21"/>
              </w:rPr>
            </w:pPr>
            <w:r>
              <w:rPr>
                <w:sz w:val="21"/>
                <w:szCs w:val="21"/>
              </w:rPr>
              <w:t>矿山工业场地不再使用的厂房、堆料场、沉沙设施、垃圾池、管线等各项建（构）筑物和基础设施应全部拆除，并进行景观和植被恢复。转为商住等其他用途的，应开展污染场地调查、风险评估与修复治理。</w:t>
            </w:r>
          </w:p>
        </w:tc>
        <w:tc>
          <w:tcPr>
            <w:tcW w:w="2653" w:type="dxa"/>
            <w:vAlign w:val="center"/>
          </w:tcPr>
          <w:p w14:paraId="356B16E0" w14:textId="77777777" w:rsidR="00E579B9" w:rsidRDefault="006A1398">
            <w:pPr>
              <w:spacing w:line="360" w:lineRule="exact"/>
              <w:ind w:firstLineChars="0" w:firstLine="0"/>
              <w:jc w:val="center"/>
              <w:rPr>
                <w:sz w:val="21"/>
                <w:szCs w:val="21"/>
              </w:rPr>
            </w:pPr>
            <w:r>
              <w:rPr>
                <w:sz w:val="21"/>
                <w:szCs w:val="21"/>
              </w:rPr>
              <w:t>服务期满后拆除构筑物，覆土恢复植被。</w:t>
            </w:r>
          </w:p>
        </w:tc>
        <w:tc>
          <w:tcPr>
            <w:tcW w:w="889" w:type="dxa"/>
            <w:vAlign w:val="center"/>
          </w:tcPr>
          <w:p w14:paraId="68595727" w14:textId="77777777" w:rsidR="00E579B9" w:rsidRDefault="006A1398">
            <w:pPr>
              <w:spacing w:line="360" w:lineRule="exact"/>
              <w:ind w:firstLineChars="0" w:firstLine="0"/>
              <w:jc w:val="center"/>
              <w:rPr>
                <w:sz w:val="21"/>
                <w:szCs w:val="21"/>
              </w:rPr>
            </w:pPr>
            <w:r>
              <w:rPr>
                <w:sz w:val="21"/>
                <w:szCs w:val="21"/>
              </w:rPr>
              <w:t>符合</w:t>
            </w:r>
          </w:p>
        </w:tc>
      </w:tr>
      <w:tr w:rsidR="00E579B9" w14:paraId="1E0BB12E" w14:textId="77777777">
        <w:trPr>
          <w:trHeight w:val="302"/>
        </w:trPr>
        <w:tc>
          <w:tcPr>
            <w:tcW w:w="677" w:type="dxa"/>
            <w:vMerge w:val="restart"/>
            <w:vAlign w:val="center"/>
          </w:tcPr>
          <w:p w14:paraId="09751469" w14:textId="77777777" w:rsidR="00E579B9" w:rsidRDefault="006A1398">
            <w:pPr>
              <w:spacing w:line="360" w:lineRule="exact"/>
              <w:ind w:firstLineChars="0" w:firstLine="0"/>
              <w:jc w:val="center"/>
              <w:rPr>
                <w:sz w:val="21"/>
                <w:szCs w:val="21"/>
              </w:rPr>
            </w:pPr>
            <w:r>
              <w:rPr>
                <w:sz w:val="21"/>
                <w:szCs w:val="21"/>
              </w:rPr>
              <w:t>矿山大气污染防治</w:t>
            </w:r>
          </w:p>
        </w:tc>
        <w:tc>
          <w:tcPr>
            <w:tcW w:w="667" w:type="dxa"/>
            <w:vAlign w:val="center"/>
          </w:tcPr>
          <w:p w14:paraId="6B9CC0CE" w14:textId="77777777" w:rsidR="00E579B9" w:rsidRDefault="006A1398">
            <w:pPr>
              <w:spacing w:line="360" w:lineRule="exact"/>
              <w:ind w:firstLineChars="0" w:firstLine="0"/>
              <w:jc w:val="center"/>
              <w:rPr>
                <w:sz w:val="21"/>
                <w:szCs w:val="21"/>
              </w:rPr>
            </w:pPr>
            <w:r>
              <w:rPr>
                <w:sz w:val="21"/>
                <w:szCs w:val="21"/>
              </w:rPr>
              <w:t>12.1</w:t>
            </w:r>
          </w:p>
        </w:tc>
        <w:tc>
          <w:tcPr>
            <w:tcW w:w="4060" w:type="dxa"/>
            <w:vAlign w:val="center"/>
          </w:tcPr>
          <w:p w14:paraId="779D95AB" w14:textId="77777777" w:rsidR="00E579B9" w:rsidRDefault="006A1398">
            <w:pPr>
              <w:autoSpaceDE w:val="0"/>
              <w:autoSpaceDN w:val="0"/>
              <w:spacing w:line="360" w:lineRule="exact"/>
              <w:ind w:firstLineChars="0" w:firstLine="0"/>
              <w:jc w:val="center"/>
              <w:rPr>
                <w:sz w:val="21"/>
                <w:szCs w:val="21"/>
              </w:rPr>
            </w:pPr>
            <w:r>
              <w:rPr>
                <w:sz w:val="21"/>
                <w:szCs w:val="21"/>
              </w:rPr>
              <w:t>矿山采选过程中产生的大气污染物排放应符合</w:t>
            </w:r>
            <w:r>
              <w:rPr>
                <w:sz w:val="21"/>
                <w:szCs w:val="21"/>
              </w:rPr>
              <w:t>GB9078</w:t>
            </w:r>
            <w:r>
              <w:rPr>
                <w:sz w:val="21"/>
                <w:szCs w:val="21"/>
              </w:rPr>
              <w:t>、</w:t>
            </w:r>
            <w:r>
              <w:rPr>
                <w:sz w:val="21"/>
                <w:szCs w:val="21"/>
              </w:rPr>
              <w:t>GB16297</w:t>
            </w:r>
            <w:r>
              <w:rPr>
                <w:sz w:val="21"/>
                <w:szCs w:val="21"/>
              </w:rPr>
              <w:t>、</w:t>
            </w:r>
            <w:r>
              <w:rPr>
                <w:sz w:val="21"/>
                <w:szCs w:val="21"/>
              </w:rPr>
              <w:t>GB20426</w:t>
            </w:r>
            <w:r>
              <w:rPr>
                <w:sz w:val="21"/>
                <w:szCs w:val="21"/>
              </w:rPr>
              <w:t>、</w:t>
            </w:r>
            <w:r>
              <w:rPr>
                <w:sz w:val="21"/>
                <w:szCs w:val="21"/>
              </w:rPr>
              <w:t>GB25465</w:t>
            </w:r>
            <w:r>
              <w:rPr>
                <w:sz w:val="21"/>
                <w:szCs w:val="21"/>
              </w:rPr>
              <w:t>、</w:t>
            </w:r>
            <w:r>
              <w:rPr>
                <w:sz w:val="21"/>
                <w:szCs w:val="21"/>
              </w:rPr>
              <w:t>GB25466</w:t>
            </w:r>
            <w:r>
              <w:rPr>
                <w:sz w:val="21"/>
                <w:szCs w:val="21"/>
              </w:rPr>
              <w:t>、</w:t>
            </w:r>
            <w:r>
              <w:rPr>
                <w:sz w:val="21"/>
                <w:szCs w:val="21"/>
              </w:rPr>
              <w:t>B25467</w:t>
            </w:r>
            <w:r>
              <w:rPr>
                <w:sz w:val="21"/>
                <w:szCs w:val="21"/>
              </w:rPr>
              <w:t>、</w:t>
            </w:r>
            <w:r>
              <w:rPr>
                <w:sz w:val="21"/>
                <w:szCs w:val="21"/>
              </w:rPr>
              <w:t>GB25468</w:t>
            </w:r>
            <w:r>
              <w:rPr>
                <w:sz w:val="21"/>
                <w:szCs w:val="21"/>
              </w:rPr>
              <w:t>、</w:t>
            </w:r>
            <w:r>
              <w:rPr>
                <w:sz w:val="21"/>
                <w:szCs w:val="21"/>
              </w:rPr>
              <w:t>GB26451</w:t>
            </w:r>
            <w:r>
              <w:rPr>
                <w:sz w:val="21"/>
                <w:szCs w:val="21"/>
              </w:rPr>
              <w:t>、</w:t>
            </w:r>
            <w:r>
              <w:rPr>
                <w:sz w:val="21"/>
                <w:szCs w:val="21"/>
              </w:rPr>
              <w:t>GB28661</w:t>
            </w:r>
            <w:r>
              <w:rPr>
                <w:sz w:val="21"/>
                <w:szCs w:val="21"/>
              </w:rPr>
              <w:t>等国家大气污染物排放标准以及所在省（自治区、直辖市）人民政府发布实施的地方污染物排放标准。矿区环境空气质量应符合</w:t>
            </w:r>
            <w:r>
              <w:rPr>
                <w:sz w:val="21"/>
                <w:szCs w:val="21"/>
              </w:rPr>
              <w:t>GB3095</w:t>
            </w:r>
            <w:r>
              <w:rPr>
                <w:sz w:val="21"/>
                <w:szCs w:val="21"/>
              </w:rPr>
              <w:t>标准要求。</w:t>
            </w:r>
          </w:p>
        </w:tc>
        <w:tc>
          <w:tcPr>
            <w:tcW w:w="2653" w:type="dxa"/>
            <w:vAlign w:val="center"/>
          </w:tcPr>
          <w:p w14:paraId="7383C49E" w14:textId="77777777" w:rsidR="00E579B9" w:rsidRDefault="006A1398">
            <w:pPr>
              <w:spacing w:line="360" w:lineRule="exact"/>
              <w:ind w:firstLineChars="0" w:firstLine="0"/>
              <w:jc w:val="center"/>
              <w:rPr>
                <w:sz w:val="21"/>
                <w:szCs w:val="21"/>
              </w:rPr>
            </w:pPr>
            <w:r>
              <w:rPr>
                <w:sz w:val="21"/>
                <w:szCs w:val="21"/>
              </w:rPr>
              <w:t>本项目废气排放满足相应标准要求。</w:t>
            </w:r>
          </w:p>
        </w:tc>
        <w:tc>
          <w:tcPr>
            <w:tcW w:w="889" w:type="dxa"/>
            <w:vAlign w:val="center"/>
          </w:tcPr>
          <w:p w14:paraId="211AD936" w14:textId="77777777" w:rsidR="00E579B9" w:rsidRDefault="006A1398">
            <w:pPr>
              <w:spacing w:line="360" w:lineRule="exact"/>
              <w:ind w:firstLineChars="0" w:firstLine="0"/>
              <w:jc w:val="center"/>
              <w:rPr>
                <w:sz w:val="21"/>
                <w:szCs w:val="21"/>
              </w:rPr>
            </w:pPr>
            <w:r>
              <w:rPr>
                <w:sz w:val="21"/>
                <w:szCs w:val="21"/>
              </w:rPr>
              <w:t>符合</w:t>
            </w:r>
          </w:p>
        </w:tc>
      </w:tr>
      <w:tr w:rsidR="00E579B9" w14:paraId="77FC4DCD" w14:textId="77777777">
        <w:trPr>
          <w:trHeight w:val="650"/>
        </w:trPr>
        <w:tc>
          <w:tcPr>
            <w:tcW w:w="677" w:type="dxa"/>
            <w:vMerge/>
            <w:vAlign w:val="center"/>
          </w:tcPr>
          <w:p w14:paraId="4198ECE8" w14:textId="77777777" w:rsidR="00E579B9" w:rsidRDefault="00E579B9">
            <w:pPr>
              <w:spacing w:line="360" w:lineRule="exact"/>
              <w:ind w:firstLineChars="0" w:firstLine="0"/>
              <w:jc w:val="center"/>
              <w:rPr>
                <w:sz w:val="21"/>
                <w:szCs w:val="21"/>
              </w:rPr>
            </w:pPr>
          </w:p>
        </w:tc>
        <w:tc>
          <w:tcPr>
            <w:tcW w:w="667" w:type="dxa"/>
            <w:vMerge w:val="restart"/>
            <w:vAlign w:val="center"/>
          </w:tcPr>
          <w:p w14:paraId="22C546CA" w14:textId="77777777" w:rsidR="00E579B9" w:rsidRDefault="006A1398">
            <w:pPr>
              <w:spacing w:line="360" w:lineRule="exact"/>
              <w:ind w:firstLineChars="0" w:firstLine="0"/>
              <w:jc w:val="center"/>
              <w:rPr>
                <w:sz w:val="21"/>
                <w:szCs w:val="21"/>
              </w:rPr>
            </w:pPr>
            <w:r>
              <w:rPr>
                <w:sz w:val="21"/>
                <w:szCs w:val="21"/>
              </w:rPr>
              <w:t>12.2</w:t>
            </w:r>
            <w:r>
              <w:rPr>
                <w:sz w:val="21"/>
                <w:szCs w:val="21"/>
              </w:rPr>
              <w:t>矿山企业应采取如下措施避免或减轻大气污染</w:t>
            </w:r>
          </w:p>
        </w:tc>
        <w:tc>
          <w:tcPr>
            <w:tcW w:w="4060" w:type="dxa"/>
            <w:vAlign w:val="center"/>
          </w:tcPr>
          <w:p w14:paraId="05398A4E" w14:textId="77777777" w:rsidR="00E579B9" w:rsidRDefault="006A1398">
            <w:pPr>
              <w:autoSpaceDE w:val="0"/>
              <w:autoSpaceDN w:val="0"/>
              <w:spacing w:line="360" w:lineRule="exact"/>
              <w:ind w:firstLineChars="0" w:firstLine="0"/>
              <w:jc w:val="center"/>
              <w:rPr>
                <w:sz w:val="21"/>
                <w:szCs w:val="21"/>
              </w:rPr>
            </w:pPr>
            <w:r>
              <w:rPr>
                <w:sz w:val="21"/>
                <w:szCs w:val="21"/>
              </w:rPr>
              <w:t>采矿清理地面植被时，禁止燃烧植被。运输剥离土的道路应洒水或采取其他措施减少粉尘。</w:t>
            </w:r>
          </w:p>
        </w:tc>
        <w:tc>
          <w:tcPr>
            <w:tcW w:w="2653" w:type="dxa"/>
            <w:vAlign w:val="center"/>
          </w:tcPr>
          <w:p w14:paraId="0B7B7A6D" w14:textId="77777777" w:rsidR="00E579B9" w:rsidRDefault="006A1398">
            <w:pPr>
              <w:spacing w:line="360" w:lineRule="exact"/>
              <w:ind w:firstLineChars="0" w:firstLine="0"/>
              <w:jc w:val="center"/>
              <w:rPr>
                <w:sz w:val="21"/>
                <w:szCs w:val="21"/>
              </w:rPr>
            </w:pPr>
            <w:r>
              <w:rPr>
                <w:sz w:val="21"/>
                <w:szCs w:val="21"/>
              </w:rPr>
              <w:t>按规定清理地面植被，运输道路洒水抑尘。</w:t>
            </w:r>
          </w:p>
        </w:tc>
        <w:tc>
          <w:tcPr>
            <w:tcW w:w="889" w:type="dxa"/>
            <w:vAlign w:val="center"/>
          </w:tcPr>
          <w:p w14:paraId="1B1461E5" w14:textId="77777777" w:rsidR="00E579B9" w:rsidRDefault="006A1398">
            <w:pPr>
              <w:spacing w:line="360" w:lineRule="exact"/>
              <w:ind w:firstLineChars="0" w:firstLine="0"/>
              <w:jc w:val="center"/>
              <w:rPr>
                <w:sz w:val="21"/>
                <w:szCs w:val="21"/>
              </w:rPr>
            </w:pPr>
            <w:r>
              <w:rPr>
                <w:sz w:val="21"/>
                <w:szCs w:val="21"/>
              </w:rPr>
              <w:t>符合</w:t>
            </w:r>
          </w:p>
        </w:tc>
      </w:tr>
      <w:tr w:rsidR="00E579B9" w14:paraId="1DCBDAD7" w14:textId="77777777">
        <w:trPr>
          <w:trHeight w:val="302"/>
        </w:trPr>
        <w:tc>
          <w:tcPr>
            <w:tcW w:w="677" w:type="dxa"/>
            <w:vMerge/>
            <w:vAlign w:val="center"/>
          </w:tcPr>
          <w:p w14:paraId="2541B9D8" w14:textId="77777777" w:rsidR="00E579B9" w:rsidRDefault="00E579B9">
            <w:pPr>
              <w:spacing w:line="360" w:lineRule="exact"/>
              <w:ind w:firstLineChars="0" w:firstLine="0"/>
              <w:jc w:val="center"/>
              <w:rPr>
                <w:sz w:val="21"/>
                <w:szCs w:val="21"/>
              </w:rPr>
            </w:pPr>
          </w:p>
        </w:tc>
        <w:tc>
          <w:tcPr>
            <w:tcW w:w="667" w:type="dxa"/>
            <w:vMerge/>
            <w:vAlign w:val="center"/>
          </w:tcPr>
          <w:p w14:paraId="65835D6C" w14:textId="77777777" w:rsidR="00E579B9" w:rsidRDefault="00E579B9">
            <w:pPr>
              <w:spacing w:line="360" w:lineRule="exact"/>
              <w:ind w:firstLineChars="0" w:firstLine="0"/>
              <w:jc w:val="center"/>
              <w:rPr>
                <w:sz w:val="21"/>
                <w:szCs w:val="21"/>
              </w:rPr>
            </w:pPr>
          </w:p>
        </w:tc>
        <w:tc>
          <w:tcPr>
            <w:tcW w:w="4060" w:type="dxa"/>
            <w:vAlign w:val="center"/>
          </w:tcPr>
          <w:p w14:paraId="7BA3DCC9" w14:textId="77777777" w:rsidR="00E579B9" w:rsidRDefault="006A1398">
            <w:pPr>
              <w:autoSpaceDE w:val="0"/>
              <w:autoSpaceDN w:val="0"/>
              <w:spacing w:line="360" w:lineRule="exact"/>
              <w:ind w:firstLineChars="0" w:firstLine="0"/>
              <w:jc w:val="center"/>
              <w:rPr>
                <w:sz w:val="21"/>
                <w:szCs w:val="21"/>
              </w:rPr>
            </w:pPr>
            <w:r>
              <w:rPr>
                <w:sz w:val="21"/>
                <w:szCs w:val="21"/>
              </w:rPr>
              <w:t>勘探、采矿及选矿作业中所用设备应配备粉尘收集或降尘设施。</w:t>
            </w:r>
          </w:p>
        </w:tc>
        <w:tc>
          <w:tcPr>
            <w:tcW w:w="2653" w:type="dxa"/>
            <w:vAlign w:val="center"/>
          </w:tcPr>
          <w:p w14:paraId="585A0214" w14:textId="77777777" w:rsidR="00E579B9" w:rsidRDefault="006A1398">
            <w:pPr>
              <w:spacing w:line="360" w:lineRule="exact"/>
              <w:ind w:firstLineChars="0" w:firstLine="0"/>
              <w:jc w:val="center"/>
              <w:rPr>
                <w:sz w:val="21"/>
                <w:szCs w:val="21"/>
              </w:rPr>
            </w:pPr>
            <w:r>
              <w:rPr>
                <w:rFonts w:hint="eastAsia"/>
                <w:sz w:val="21"/>
                <w:szCs w:val="21"/>
              </w:rPr>
              <w:t>运输、装卸、破碎等工序洒水降尘</w:t>
            </w:r>
          </w:p>
        </w:tc>
        <w:tc>
          <w:tcPr>
            <w:tcW w:w="889" w:type="dxa"/>
            <w:vAlign w:val="center"/>
          </w:tcPr>
          <w:p w14:paraId="100EAB3C" w14:textId="77777777" w:rsidR="00E579B9" w:rsidRDefault="006A1398">
            <w:pPr>
              <w:spacing w:line="360" w:lineRule="exact"/>
              <w:ind w:firstLineChars="0" w:firstLine="0"/>
              <w:jc w:val="center"/>
              <w:rPr>
                <w:sz w:val="21"/>
                <w:szCs w:val="21"/>
              </w:rPr>
            </w:pPr>
            <w:r>
              <w:rPr>
                <w:sz w:val="21"/>
                <w:szCs w:val="21"/>
              </w:rPr>
              <w:t>符合</w:t>
            </w:r>
          </w:p>
        </w:tc>
      </w:tr>
      <w:tr w:rsidR="00E579B9" w14:paraId="74BF14DB" w14:textId="77777777">
        <w:trPr>
          <w:trHeight w:val="302"/>
        </w:trPr>
        <w:tc>
          <w:tcPr>
            <w:tcW w:w="677" w:type="dxa"/>
            <w:vMerge/>
            <w:vAlign w:val="center"/>
          </w:tcPr>
          <w:p w14:paraId="30972CDE" w14:textId="77777777" w:rsidR="00E579B9" w:rsidRDefault="00E579B9">
            <w:pPr>
              <w:spacing w:line="360" w:lineRule="exact"/>
              <w:ind w:firstLineChars="0" w:firstLine="0"/>
              <w:jc w:val="center"/>
              <w:rPr>
                <w:sz w:val="21"/>
                <w:szCs w:val="21"/>
              </w:rPr>
            </w:pPr>
          </w:p>
        </w:tc>
        <w:tc>
          <w:tcPr>
            <w:tcW w:w="667" w:type="dxa"/>
            <w:vMerge/>
            <w:vAlign w:val="center"/>
          </w:tcPr>
          <w:p w14:paraId="32A1146B" w14:textId="77777777" w:rsidR="00E579B9" w:rsidRDefault="00E579B9">
            <w:pPr>
              <w:spacing w:line="360" w:lineRule="exact"/>
              <w:ind w:firstLineChars="0" w:firstLine="0"/>
              <w:jc w:val="center"/>
              <w:rPr>
                <w:sz w:val="21"/>
                <w:szCs w:val="21"/>
              </w:rPr>
            </w:pPr>
          </w:p>
        </w:tc>
        <w:tc>
          <w:tcPr>
            <w:tcW w:w="4060" w:type="dxa"/>
            <w:vAlign w:val="center"/>
          </w:tcPr>
          <w:p w14:paraId="6899298E" w14:textId="77777777" w:rsidR="00E579B9" w:rsidRDefault="006A1398">
            <w:pPr>
              <w:autoSpaceDE w:val="0"/>
              <w:autoSpaceDN w:val="0"/>
              <w:spacing w:line="360" w:lineRule="exact"/>
              <w:ind w:firstLineChars="0" w:firstLine="0"/>
              <w:jc w:val="center"/>
              <w:rPr>
                <w:sz w:val="21"/>
                <w:szCs w:val="21"/>
              </w:rPr>
            </w:pPr>
            <w:r>
              <w:rPr>
                <w:sz w:val="21"/>
                <w:szCs w:val="21"/>
              </w:rPr>
              <w:t>矿物和矿渣运输道路应硬化并洒水防尘，运输车辆应采取围挡、遮盖等措施。</w:t>
            </w:r>
          </w:p>
        </w:tc>
        <w:tc>
          <w:tcPr>
            <w:tcW w:w="2653" w:type="dxa"/>
            <w:vAlign w:val="center"/>
          </w:tcPr>
          <w:p w14:paraId="56DC20E0" w14:textId="77777777" w:rsidR="00E579B9" w:rsidRDefault="006A1398">
            <w:pPr>
              <w:spacing w:line="360" w:lineRule="exact"/>
              <w:ind w:firstLineChars="0" w:firstLine="0"/>
              <w:jc w:val="center"/>
              <w:rPr>
                <w:sz w:val="21"/>
                <w:szCs w:val="21"/>
              </w:rPr>
            </w:pPr>
            <w:r>
              <w:rPr>
                <w:sz w:val="21"/>
                <w:szCs w:val="21"/>
              </w:rPr>
              <w:t>矿石洒水抑尘、运输车辆加盖帆布。</w:t>
            </w:r>
          </w:p>
        </w:tc>
        <w:tc>
          <w:tcPr>
            <w:tcW w:w="889" w:type="dxa"/>
            <w:vAlign w:val="center"/>
          </w:tcPr>
          <w:p w14:paraId="55E6079E" w14:textId="77777777" w:rsidR="00E579B9" w:rsidRDefault="006A1398">
            <w:pPr>
              <w:spacing w:line="360" w:lineRule="exact"/>
              <w:ind w:firstLineChars="0" w:firstLine="0"/>
              <w:jc w:val="center"/>
              <w:rPr>
                <w:sz w:val="21"/>
                <w:szCs w:val="21"/>
              </w:rPr>
            </w:pPr>
            <w:r>
              <w:rPr>
                <w:sz w:val="21"/>
                <w:szCs w:val="21"/>
              </w:rPr>
              <w:t>符合</w:t>
            </w:r>
          </w:p>
        </w:tc>
      </w:tr>
      <w:tr w:rsidR="00E579B9" w14:paraId="41757CFA" w14:textId="77777777">
        <w:trPr>
          <w:trHeight w:val="302"/>
        </w:trPr>
        <w:tc>
          <w:tcPr>
            <w:tcW w:w="677" w:type="dxa"/>
            <w:vMerge/>
            <w:vAlign w:val="center"/>
          </w:tcPr>
          <w:p w14:paraId="61901B4E" w14:textId="77777777" w:rsidR="00E579B9" w:rsidRDefault="00E579B9">
            <w:pPr>
              <w:spacing w:line="360" w:lineRule="exact"/>
              <w:ind w:firstLineChars="0" w:firstLine="0"/>
              <w:jc w:val="center"/>
              <w:rPr>
                <w:sz w:val="21"/>
                <w:szCs w:val="21"/>
              </w:rPr>
            </w:pPr>
          </w:p>
        </w:tc>
        <w:tc>
          <w:tcPr>
            <w:tcW w:w="667" w:type="dxa"/>
            <w:vMerge/>
            <w:vAlign w:val="center"/>
          </w:tcPr>
          <w:p w14:paraId="70746204" w14:textId="77777777" w:rsidR="00E579B9" w:rsidRDefault="00E579B9">
            <w:pPr>
              <w:spacing w:line="360" w:lineRule="exact"/>
              <w:ind w:firstLineChars="0" w:firstLine="0"/>
              <w:jc w:val="center"/>
              <w:rPr>
                <w:sz w:val="21"/>
                <w:szCs w:val="21"/>
              </w:rPr>
            </w:pPr>
          </w:p>
        </w:tc>
        <w:tc>
          <w:tcPr>
            <w:tcW w:w="4060" w:type="dxa"/>
            <w:vAlign w:val="center"/>
          </w:tcPr>
          <w:p w14:paraId="3BE115C2" w14:textId="77777777" w:rsidR="00E579B9" w:rsidRDefault="006A1398">
            <w:pPr>
              <w:autoSpaceDE w:val="0"/>
              <w:autoSpaceDN w:val="0"/>
              <w:spacing w:line="360" w:lineRule="exact"/>
              <w:ind w:firstLineChars="0" w:firstLine="0"/>
              <w:jc w:val="center"/>
              <w:rPr>
                <w:sz w:val="21"/>
                <w:szCs w:val="21"/>
              </w:rPr>
            </w:pPr>
            <w:r>
              <w:rPr>
                <w:sz w:val="21"/>
                <w:szCs w:val="21"/>
              </w:rPr>
              <w:t>矿物堆场和临时料场应采取防止风蚀和扬尘措施。</w:t>
            </w:r>
          </w:p>
        </w:tc>
        <w:tc>
          <w:tcPr>
            <w:tcW w:w="2653" w:type="dxa"/>
            <w:vAlign w:val="center"/>
          </w:tcPr>
          <w:p w14:paraId="450C994E" w14:textId="77777777" w:rsidR="00E579B9" w:rsidRDefault="006A1398">
            <w:pPr>
              <w:spacing w:line="360" w:lineRule="exact"/>
              <w:ind w:firstLineChars="0" w:firstLine="0"/>
              <w:jc w:val="center"/>
              <w:rPr>
                <w:sz w:val="21"/>
                <w:szCs w:val="21"/>
              </w:rPr>
            </w:pPr>
            <w:r>
              <w:rPr>
                <w:sz w:val="21"/>
                <w:szCs w:val="21"/>
              </w:rPr>
              <w:t>矿石堆场</w:t>
            </w:r>
            <w:r>
              <w:rPr>
                <w:rFonts w:hint="eastAsia"/>
                <w:sz w:val="21"/>
                <w:szCs w:val="21"/>
              </w:rPr>
              <w:t>密闭措施，同时设置</w:t>
            </w:r>
            <w:r>
              <w:rPr>
                <w:sz w:val="21"/>
                <w:szCs w:val="21"/>
              </w:rPr>
              <w:t>洒水抑尘</w:t>
            </w:r>
            <w:r>
              <w:rPr>
                <w:rFonts w:hint="eastAsia"/>
                <w:sz w:val="21"/>
                <w:szCs w:val="21"/>
              </w:rPr>
              <w:t>装置</w:t>
            </w:r>
            <w:r>
              <w:rPr>
                <w:sz w:val="21"/>
                <w:szCs w:val="21"/>
              </w:rPr>
              <w:t>。</w:t>
            </w:r>
          </w:p>
        </w:tc>
        <w:tc>
          <w:tcPr>
            <w:tcW w:w="889" w:type="dxa"/>
            <w:vAlign w:val="center"/>
          </w:tcPr>
          <w:p w14:paraId="0F621969" w14:textId="77777777" w:rsidR="00E579B9" w:rsidRDefault="006A1398">
            <w:pPr>
              <w:spacing w:line="360" w:lineRule="exact"/>
              <w:ind w:firstLineChars="0" w:firstLine="0"/>
              <w:jc w:val="center"/>
              <w:rPr>
                <w:sz w:val="21"/>
                <w:szCs w:val="21"/>
              </w:rPr>
            </w:pPr>
            <w:r>
              <w:rPr>
                <w:sz w:val="21"/>
                <w:szCs w:val="21"/>
              </w:rPr>
              <w:t>符合</w:t>
            </w:r>
          </w:p>
        </w:tc>
      </w:tr>
      <w:tr w:rsidR="00E579B9" w14:paraId="1C649C06" w14:textId="77777777">
        <w:trPr>
          <w:trHeight w:val="302"/>
        </w:trPr>
        <w:tc>
          <w:tcPr>
            <w:tcW w:w="677" w:type="dxa"/>
            <w:vMerge w:val="restart"/>
            <w:vAlign w:val="center"/>
          </w:tcPr>
          <w:p w14:paraId="534866A0" w14:textId="77777777" w:rsidR="00E579B9" w:rsidRDefault="006A1398">
            <w:pPr>
              <w:spacing w:line="360" w:lineRule="exact"/>
              <w:ind w:firstLineChars="0" w:firstLine="0"/>
              <w:jc w:val="center"/>
              <w:rPr>
                <w:sz w:val="21"/>
                <w:szCs w:val="21"/>
              </w:rPr>
            </w:pPr>
            <w:r>
              <w:rPr>
                <w:sz w:val="21"/>
                <w:szCs w:val="21"/>
              </w:rPr>
              <w:lastRenderedPageBreak/>
              <w:t>矿山水污染防治</w:t>
            </w:r>
          </w:p>
        </w:tc>
        <w:tc>
          <w:tcPr>
            <w:tcW w:w="667" w:type="dxa"/>
            <w:vAlign w:val="center"/>
          </w:tcPr>
          <w:p w14:paraId="1B95DFDE" w14:textId="77777777" w:rsidR="00E579B9" w:rsidRDefault="006A1398">
            <w:pPr>
              <w:spacing w:line="360" w:lineRule="exact"/>
              <w:ind w:firstLineChars="0" w:firstLine="0"/>
              <w:jc w:val="center"/>
              <w:rPr>
                <w:sz w:val="21"/>
                <w:szCs w:val="21"/>
              </w:rPr>
            </w:pPr>
            <w:r>
              <w:rPr>
                <w:sz w:val="21"/>
                <w:szCs w:val="21"/>
              </w:rPr>
              <w:t>13.1</w:t>
            </w:r>
          </w:p>
        </w:tc>
        <w:tc>
          <w:tcPr>
            <w:tcW w:w="4060" w:type="dxa"/>
            <w:vAlign w:val="center"/>
          </w:tcPr>
          <w:p w14:paraId="5FBA1606" w14:textId="77777777" w:rsidR="00E579B9" w:rsidRDefault="006A1398">
            <w:pPr>
              <w:autoSpaceDE w:val="0"/>
              <w:autoSpaceDN w:val="0"/>
              <w:spacing w:line="360" w:lineRule="exact"/>
              <w:ind w:firstLineChars="0" w:firstLine="0"/>
              <w:jc w:val="center"/>
              <w:rPr>
                <w:sz w:val="21"/>
                <w:szCs w:val="21"/>
              </w:rPr>
            </w:pPr>
            <w:r>
              <w:rPr>
                <w:sz w:val="21"/>
                <w:szCs w:val="21"/>
              </w:rPr>
              <w:t>充分利用矿井水、选矿废水和尾矿库废水，避免或减少废水外排。矿山采选的各类废水排放应达到</w:t>
            </w:r>
            <w:r>
              <w:rPr>
                <w:sz w:val="21"/>
                <w:szCs w:val="21"/>
              </w:rPr>
              <w:t>GB8978</w:t>
            </w:r>
            <w:r>
              <w:rPr>
                <w:sz w:val="21"/>
                <w:szCs w:val="21"/>
              </w:rPr>
              <w:t>、</w:t>
            </w:r>
            <w:r>
              <w:rPr>
                <w:sz w:val="21"/>
                <w:szCs w:val="21"/>
              </w:rPr>
              <w:t>GB20426</w:t>
            </w:r>
            <w:r>
              <w:rPr>
                <w:sz w:val="21"/>
                <w:szCs w:val="21"/>
              </w:rPr>
              <w:t>、</w:t>
            </w:r>
            <w:r>
              <w:rPr>
                <w:sz w:val="21"/>
                <w:szCs w:val="21"/>
              </w:rPr>
              <w:t>GB25465</w:t>
            </w:r>
            <w:r>
              <w:rPr>
                <w:sz w:val="21"/>
                <w:szCs w:val="21"/>
              </w:rPr>
              <w:t>、</w:t>
            </w:r>
            <w:r>
              <w:rPr>
                <w:sz w:val="21"/>
                <w:szCs w:val="21"/>
              </w:rPr>
              <w:t>GB25466</w:t>
            </w:r>
            <w:r>
              <w:rPr>
                <w:sz w:val="21"/>
                <w:szCs w:val="21"/>
              </w:rPr>
              <w:t>、</w:t>
            </w:r>
            <w:r>
              <w:rPr>
                <w:sz w:val="21"/>
                <w:szCs w:val="21"/>
              </w:rPr>
              <w:t>GB25467</w:t>
            </w:r>
            <w:r>
              <w:rPr>
                <w:sz w:val="21"/>
                <w:szCs w:val="21"/>
              </w:rPr>
              <w:t>、</w:t>
            </w:r>
            <w:r>
              <w:rPr>
                <w:sz w:val="21"/>
                <w:szCs w:val="21"/>
              </w:rPr>
              <w:t>GB25468</w:t>
            </w:r>
            <w:r>
              <w:rPr>
                <w:sz w:val="21"/>
                <w:szCs w:val="21"/>
              </w:rPr>
              <w:t>、</w:t>
            </w:r>
            <w:r>
              <w:rPr>
                <w:sz w:val="21"/>
                <w:szCs w:val="21"/>
              </w:rPr>
              <w:t>GB26451</w:t>
            </w:r>
            <w:r>
              <w:rPr>
                <w:sz w:val="21"/>
                <w:szCs w:val="21"/>
              </w:rPr>
              <w:t>、</w:t>
            </w:r>
            <w:r>
              <w:rPr>
                <w:sz w:val="21"/>
                <w:szCs w:val="21"/>
              </w:rPr>
              <w:t>GB28661</w:t>
            </w:r>
            <w:r>
              <w:rPr>
                <w:sz w:val="21"/>
                <w:szCs w:val="21"/>
              </w:rPr>
              <w:t>等标准要求，矿区水环境质量应符合</w:t>
            </w:r>
            <w:r>
              <w:rPr>
                <w:sz w:val="21"/>
                <w:szCs w:val="21"/>
              </w:rPr>
              <w:t>GB3838</w:t>
            </w:r>
            <w:r>
              <w:rPr>
                <w:sz w:val="21"/>
                <w:szCs w:val="21"/>
              </w:rPr>
              <w:t>、</w:t>
            </w:r>
            <w:r>
              <w:rPr>
                <w:sz w:val="21"/>
                <w:szCs w:val="21"/>
              </w:rPr>
              <w:t>GB/T14848</w:t>
            </w:r>
            <w:r>
              <w:rPr>
                <w:sz w:val="21"/>
                <w:szCs w:val="21"/>
              </w:rPr>
              <w:t>标准要求；污废水处理后作为农业和渔业用水的，应符合</w:t>
            </w:r>
            <w:r>
              <w:rPr>
                <w:sz w:val="21"/>
                <w:szCs w:val="21"/>
              </w:rPr>
              <w:t>GB5084</w:t>
            </w:r>
            <w:r>
              <w:rPr>
                <w:sz w:val="21"/>
                <w:szCs w:val="21"/>
              </w:rPr>
              <w:t>、</w:t>
            </w:r>
            <w:r>
              <w:rPr>
                <w:sz w:val="21"/>
                <w:szCs w:val="21"/>
              </w:rPr>
              <w:t>GB11607</w:t>
            </w:r>
            <w:r>
              <w:rPr>
                <w:sz w:val="21"/>
                <w:szCs w:val="21"/>
              </w:rPr>
              <w:t>标准要求；实施清洁生产认证的企业废水污染物排放与废水利用率还应满足</w:t>
            </w:r>
            <w:r>
              <w:rPr>
                <w:sz w:val="21"/>
                <w:szCs w:val="21"/>
              </w:rPr>
              <w:t>HJ/T294</w:t>
            </w:r>
            <w:r>
              <w:rPr>
                <w:sz w:val="21"/>
                <w:szCs w:val="21"/>
              </w:rPr>
              <w:t>、</w:t>
            </w:r>
            <w:r>
              <w:rPr>
                <w:sz w:val="21"/>
                <w:szCs w:val="21"/>
              </w:rPr>
              <w:t>HJ/T358</w:t>
            </w:r>
            <w:r>
              <w:rPr>
                <w:sz w:val="21"/>
                <w:szCs w:val="21"/>
              </w:rPr>
              <w:t>、</w:t>
            </w:r>
            <w:r>
              <w:rPr>
                <w:sz w:val="21"/>
                <w:szCs w:val="21"/>
              </w:rPr>
              <w:t>HJ446</w:t>
            </w:r>
            <w:r>
              <w:rPr>
                <w:sz w:val="21"/>
                <w:szCs w:val="21"/>
              </w:rPr>
              <w:t>等清洁生产标准的相关要求。</w:t>
            </w:r>
          </w:p>
        </w:tc>
        <w:tc>
          <w:tcPr>
            <w:tcW w:w="2653" w:type="dxa"/>
            <w:vMerge w:val="restart"/>
            <w:vAlign w:val="center"/>
          </w:tcPr>
          <w:p w14:paraId="00EBBDDF" w14:textId="77777777" w:rsidR="00E579B9" w:rsidRDefault="006A1398">
            <w:pPr>
              <w:spacing w:line="360" w:lineRule="exact"/>
              <w:ind w:firstLineChars="0" w:firstLine="0"/>
              <w:jc w:val="center"/>
              <w:rPr>
                <w:sz w:val="21"/>
                <w:szCs w:val="21"/>
              </w:rPr>
            </w:pPr>
            <w:r>
              <w:rPr>
                <w:sz w:val="21"/>
                <w:szCs w:val="21"/>
              </w:rPr>
              <w:t>无矿坑涌水。</w:t>
            </w:r>
          </w:p>
        </w:tc>
        <w:tc>
          <w:tcPr>
            <w:tcW w:w="889" w:type="dxa"/>
            <w:vMerge w:val="restart"/>
            <w:vAlign w:val="center"/>
          </w:tcPr>
          <w:p w14:paraId="6EDFD7BF" w14:textId="77777777" w:rsidR="00E579B9" w:rsidRDefault="006A1398">
            <w:pPr>
              <w:spacing w:line="360" w:lineRule="exact"/>
              <w:ind w:firstLineChars="0" w:firstLine="0"/>
              <w:jc w:val="center"/>
              <w:rPr>
                <w:sz w:val="21"/>
                <w:szCs w:val="21"/>
              </w:rPr>
            </w:pPr>
            <w:r>
              <w:rPr>
                <w:sz w:val="21"/>
                <w:szCs w:val="21"/>
              </w:rPr>
              <w:t>符合</w:t>
            </w:r>
          </w:p>
        </w:tc>
      </w:tr>
      <w:tr w:rsidR="00E579B9" w14:paraId="3A94F437" w14:textId="77777777">
        <w:trPr>
          <w:trHeight w:val="302"/>
        </w:trPr>
        <w:tc>
          <w:tcPr>
            <w:tcW w:w="677" w:type="dxa"/>
            <w:vMerge/>
            <w:vAlign w:val="center"/>
          </w:tcPr>
          <w:p w14:paraId="5AC244E8" w14:textId="77777777" w:rsidR="00E579B9" w:rsidRDefault="00E579B9">
            <w:pPr>
              <w:widowControl w:val="0"/>
              <w:numPr>
                <w:ilvl w:val="2"/>
                <w:numId w:val="9"/>
              </w:numPr>
              <w:tabs>
                <w:tab w:val="clear" w:pos="709"/>
              </w:tabs>
              <w:spacing w:line="360" w:lineRule="exact"/>
              <w:ind w:left="0" w:firstLineChars="0" w:firstLine="0"/>
              <w:jc w:val="center"/>
              <w:rPr>
                <w:kern w:val="0"/>
                <w:sz w:val="21"/>
                <w:szCs w:val="21"/>
              </w:rPr>
            </w:pPr>
          </w:p>
        </w:tc>
        <w:tc>
          <w:tcPr>
            <w:tcW w:w="667" w:type="dxa"/>
            <w:vAlign w:val="center"/>
          </w:tcPr>
          <w:p w14:paraId="69DA50FE" w14:textId="77777777" w:rsidR="00E579B9" w:rsidRDefault="006A1398">
            <w:pPr>
              <w:spacing w:line="360" w:lineRule="exact"/>
              <w:ind w:firstLineChars="0" w:firstLine="0"/>
              <w:jc w:val="center"/>
              <w:rPr>
                <w:kern w:val="0"/>
                <w:sz w:val="21"/>
                <w:szCs w:val="21"/>
              </w:rPr>
            </w:pPr>
            <w:r>
              <w:rPr>
                <w:sz w:val="21"/>
                <w:szCs w:val="21"/>
              </w:rPr>
              <w:t>13.3</w:t>
            </w:r>
          </w:p>
        </w:tc>
        <w:tc>
          <w:tcPr>
            <w:tcW w:w="4060" w:type="dxa"/>
            <w:vAlign w:val="center"/>
          </w:tcPr>
          <w:p w14:paraId="776222DF" w14:textId="77777777" w:rsidR="00E579B9" w:rsidRDefault="006A1398">
            <w:pPr>
              <w:spacing w:line="360" w:lineRule="exact"/>
              <w:ind w:firstLineChars="0" w:firstLine="0"/>
              <w:jc w:val="center"/>
              <w:rPr>
                <w:kern w:val="0"/>
                <w:sz w:val="21"/>
                <w:szCs w:val="21"/>
              </w:rPr>
            </w:pPr>
            <w:r>
              <w:rPr>
                <w:sz w:val="21"/>
                <w:szCs w:val="21"/>
              </w:rPr>
              <w:t>矿井水和露天采场内的季节性和临时性积水应在采取沉淀、过滤等措施去除污染物后重复利用。</w:t>
            </w:r>
          </w:p>
        </w:tc>
        <w:tc>
          <w:tcPr>
            <w:tcW w:w="2653" w:type="dxa"/>
            <w:vMerge/>
            <w:vAlign w:val="center"/>
          </w:tcPr>
          <w:p w14:paraId="0AE0B5DB" w14:textId="77777777" w:rsidR="00E579B9" w:rsidRDefault="00E579B9">
            <w:pPr>
              <w:widowControl w:val="0"/>
              <w:numPr>
                <w:ilvl w:val="2"/>
                <w:numId w:val="9"/>
              </w:numPr>
              <w:tabs>
                <w:tab w:val="clear" w:pos="709"/>
              </w:tabs>
              <w:spacing w:line="360" w:lineRule="exact"/>
              <w:ind w:left="0" w:firstLineChars="0" w:firstLine="0"/>
              <w:jc w:val="center"/>
              <w:rPr>
                <w:kern w:val="0"/>
                <w:sz w:val="21"/>
                <w:szCs w:val="21"/>
              </w:rPr>
            </w:pPr>
          </w:p>
        </w:tc>
        <w:tc>
          <w:tcPr>
            <w:tcW w:w="889" w:type="dxa"/>
            <w:vMerge/>
            <w:vAlign w:val="center"/>
          </w:tcPr>
          <w:p w14:paraId="69AD5B50" w14:textId="77777777" w:rsidR="00E579B9" w:rsidRDefault="00E579B9">
            <w:pPr>
              <w:widowControl w:val="0"/>
              <w:numPr>
                <w:ilvl w:val="2"/>
                <w:numId w:val="9"/>
              </w:numPr>
              <w:tabs>
                <w:tab w:val="clear" w:pos="709"/>
              </w:tabs>
              <w:spacing w:line="360" w:lineRule="exact"/>
              <w:ind w:left="0" w:firstLineChars="0" w:firstLine="0"/>
              <w:jc w:val="center"/>
              <w:rPr>
                <w:sz w:val="21"/>
                <w:szCs w:val="21"/>
              </w:rPr>
            </w:pPr>
          </w:p>
        </w:tc>
      </w:tr>
    </w:tbl>
    <w:p w14:paraId="7F69A7E3" w14:textId="77777777" w:rsidR="00E579B9" w:rsidRDefault="006A1398">
      <w:pPr>
        <w:pStyle w:val="226"/>
        <w:rPr>
          <w:rFonts w:cs="Times New Roman"/>
        </w:rPr>
      </w:pPr>
      <w:r>
        <w:rPr>
          <w:rFonts w:cs="Times New Roman" w:hint="eastAsia"/>
        </w:rPr>
        <w:t>综上可知，项目采取的生态保护措施满足</w:t>
      </w:r>
      <w:r>
        <w:rPr>
          <w:rFonts w:cs="Times New Roman" w:hint="eastAsia"/>
          <w:kern w:val="0"/>
        </w:rPr>
        <w:t>《矿山生态环境保护与恢复治理技术规范（试行）》（</w:t>
      </w:r>
      <w:r>
        <w:rPr>
          <w:rFonts w:cs="Times New Roman" w:hint="eastAsia"/>
          <w:kern w:val="0"/>
        </w:rPr>
        <w:t>HJ651-2013</w:t>
      </w:r>
      <w:r>
        <w:rPr>
          <w:rFonts w:cs="Times New Roman" w:hint="eastAsia"/>
          <w:kern w:val="0"/>
        </w:rPr>
        <w:t>）的要求。</w:t>
      </w:r>
    </w:p>
    <w:p w14:paraId="2A865558" w14:textId="77777777" w:rsidR="00E579B9" w:rsidRDefault="00E579B9">
      <w:pPr>
        <w:pStyle w:val="1"/>
        <w:sectPr w:rsidR="00E579B9">
          <w:headerReference w:type="even" r:id="rId72"/>
          <w:headerReference w:type="default" r:id="rId73"/>
          <w:footerReference w:type="even" r:id="rId74"/>
          <w:footerReference w:type="default" r:id="rId75"/>
          <w:headerReference w:type="first" r:id="rId76"/>
          <w:footerReference w:type="first" r:id="rId77"/>
          <w:pgSz w:w="11906" w:h="16838"/>
          <w:pgMar w:top="1701" w:right="1588" w:bottom="1985" w:left="1588" w:header="1077" w:footer="680" w:gutter="0"/>
          <w:cols w:space="720"/>
          <w:docGrid w:type="lines" w:linePitch="312"/>
        </w:sectPr>
      </w:pPr>
    </w:p>
    <w:p w14:paraId="7E84ECD4" w14:textId="77777777" w:rsidR="00E579B9" w:rsidRDefault="006A1398">
      <w:pPr>
        <w:pStyle w:val="1"/>
      </w:pPr>
      <w:bookmarkStart w:id="432" w:name="_Toc535847566"/>
      <w:bookmarkStart w:id="433" w:name="_Toc33021815"/>
      <w:bookmarkEnd w:id="171"/>
      <w:bookmarkEnd w:id="172"/>
      <w:r>
        <w:lastRenderedPageBreak/>
        <w:t>第</w:t>
      </w:r>
      <w:r>
        <w:rPr>
          <w:rFonts w:hint="eastAsia"/>
        </w:rPr>
        <w:t>七</w:t>
      </w:r>
      <w:r>
        <w:t>章</w:t>
      </w:r>
      <w:r>
        <w:rPr>
          <w:rFonts w:hint="eastAsia"/>
        </w:rPr>
        <w:t>环境保护措施</w:t>
      </w:r>
      <w:r>
        <w:t>及</w:t>
      </w:r>
      <w:r>
        <w:rPr>
          <w:rFonts w:hint="eastAsia"/>
        </w:rPr>
        <w:t>其可行性论证</w:t>
      </w:r>
      <w:bookmarkEnd w:id="432"/>
      <w:bookmarkEnd w:id="433"/>
    </w:p>
    <w:p w14:paraId="4C7E7561" w14:textId="77777777" w:rsidR="00E579B9" w:rsidRDefault="006A1398">
      <w:r>
        <w:t>本项目矿山</w:t>
      </w:r>
      <w:r>
        <w:rPr>
          <w:rFonts w:hint="eastAsia"/>
        </w:rPr>
        <w:t>开采方式为</w:t>
      </w:r>
      <w:r>
        <w:t>露天开采，正常情况下有废气、废水、噪声及固体废物等污染物产生，同时占用土地等生态环境的破坏现象。本次评价中的污染防治及生态恢复措施，是根据当地环境保护目标和环境质量现状，在工程分析的基础上，结合设计提出的环保措施及环境影响分析结果，对设计所提出措施的可行性进行分析论证，针对项目存在的环境问题提出合理可行的污染防治及生态保护综合措施。以下分别从项目建设期、营运期、闭矿期三个阶段进行分析。</w:t>
      </w:r>
    </w:p>
    <w:p w14:paraId="2A69E787" w14:textId="77777777" w:rsidR="00E579B9" w:rsidRDefault="006A1398">
      <w:pPr>
        <w:pStyle w:val="2"/>
        <w:ind w:firstLine="560"/>
      </w:pPr>
      <w:bookmarkStart w:id="434" w:name="_Toc535847567"/>
      <w:bookmarkStart w:id="435" w:name="_Toc33021816"/>
      <w:r>
        <w:t>7.1</w:t>
      </w:r>
      <w:r>
        <w:rPr>
          <w:rFonts w:hint="eastAsia"/>
        </w:rPr>
        <w:t>建设期污染防治措施分析</w:t>
      </w:r>
      <w:bookmarkEnd w:id="434"/>
      <w:bookmarkEnd w:id="435"/>
    </w:p>
    <w:p w14:paraId="3BE3DEFD" w14:textId="77777777" w:rsidR="00E579B9" w:rsidRDefault="006A1398">
      <w:r>
        <w:rPr>
          <w:rFonts w:hint="eastAsia"/>
        </w:rPr>
        <w:t>根据现场踏勘，本项目工程建设期主要为矿体消顶、新矿山道路修建等。</w:t>
      </w:r>
    </w:p>
    <w:p w14:paraId="2FEE6B8C" w14:textId="77777777" w:rsidR="00E579B9" w:rsidRDefault="006A1398">
      <w:pPr>
        <w:pStyle w:val="3"/>
        <w:ind w:firstLine="560"/>
      </w:pPr>
      <w:bookmarkStart w:id="436" w:name="_Toc535847568"/>
      <w:r>
        <w:rPr>
          <w:rFonts w:hint="eastAsia"/>
        </w:rPr>
        <w:t>7.1</w:t>
      </w:r>
      <w:r>
        <w:t>.1</w:t>
      </w:r>
      <w:r>
        <w:rPr>
          <w:rFonts w:hint="eastAsia"/>
        </w:rPr>
        <w:t>建设期</w:t>
      </w:r>
      <w:r>
        <w:t>大气污染防治措施</w:t>
      </w:r>
      <w:bookmarkEnd w:id="436"/>
    </w:p>
    <w:p w14:paraId="68A0B951" w14:textId="77777777" w:rsidR="00E579B9" w:rsidRDefault="006A1398">
      <w:r>
        <w:t>本项目建设期对环境空气产生的影响主要是来自采区表土剥离、矿区道路的建设、物料运输及堆放等，以粉尘污染为主，呈无组织形式排放。</w:t>
      </w:r>
    </w:p>
    <w:p w14:paraId="78F241FF" w14:textId="77777777" w:rsidR="00E579B9" w:rsidRDefault="006A1398">
      <w:pPr>
        <w:ind w:firstLine="464"/>
      </w:pPr>
      <w:r>
        <w:rPr>
          <w:rFonts w:hint="eastAsia"/>
          <w:spacing w:val="-4"/>
        </w:rPr>
        <w:t>根据《河南省污染防治攻坚战三年行动计划（</w:t>
      </w:r>
      <w:r>
        <w:rPr>
          <w:rFonts w:hint="eastAsia"/>
          <w:spacing w:val="-4"/>
        </w:rPr>
        <w:t>2</w:t>
      </w:r>
      <w:r>
        <w:rPr>
          <w:spacing w:val="-4"/>
        </w:rPr>
        <w:t>018-2020</w:t>
      </w:r>
      <w:r>
        <w:rPr>
          <w:rFonts w:hint="eastAsia"/>
          <w:spacing w:val="-4"/>
        </w:rPr>
        <w:t>年）》、《打赢蓝天保卫战三年行动计划》、《驻马店市污染防治攻坚战三年行动计划（</w:t>
      </w:r>
      <w:r>
        <w:rPr>
          <w:rFonts w:hint="eastAsia"/>
          <w:spacing w:val="-4"/>
        </w:rPr>
        <w:t>2</w:t>
      </w:r>
      <w:r>
        <w:rPr>
          <w:spacing w:val="-4"/>
        </w:rPr>
        <w:t>018-2020</w:t>
      </w:r>
      <w:r>
        <w:rPr>
          <w:rFonts w:hint="eastAsia"/>
          <w:spacing w:val="-4"/>
        </w:rPr>
        <w:t>年）》、</w:t>
      </w:r>
      <w:r>
        <w:t>《河南省</w:t>
      </w:r>
      <w:r>
        <w:t>2019</w:t>
      </w:r>
      <w:r>
        <w:t>年大气污染防治攻坚战实施方案》（豫环攻坚办</w:t>
      </w:r>
      <w:r>
        <w:t>[2019]25</w:t>
      </w:r>
      <w:r>
        <w:t>号）</w:t>
      </w:r>
      <w:r>
        <w:rPr>
          <w:rFonts w:hint="eastAsia"/>
        </w:rPr>
        <w:t>、</w:t>
      </w:r>
      <w:r>
        <w:rPr>
          <w:rFonts w:cs="Times New Roman"/>
        </w:rPr>
        <w:t>《驻马店市人民政府关于印发驻马店市</w:t>
      </w:r>
      <w:r>
        <w:rPr>
          <w:rFonts w:cs="Times New Roman"/>
        </w:rPr>
        <w:t>2019</w:t>
      </w:r>
      <w:r>
        <w:rPr>
          <w:rFonts w:cs="Times New Roman"/>
        </w:rPr>
        <w:t>年大气污染防治攻坚战实施方案的通知》</w:t>
      </w:r>
      <w:r>
        <w:rPr>
          <w:rFonts w:hint="eastAsia"/>
          <w:spacing w:val="-4"/>
        </w:rPr>
        <w:t>等环保政策的要求，</w:t>
      </w:r>
      <w:bookmarkStart w:id="437" w:name="_Toc535847569"/>
      <w:r>
        <w:rPr>
          <w:rFonts w:ascii="宋体" w:hAnsi="宋体"/>
        </w:rPr>
        <w:t>减轻建设期扬尘对环境的影响，评价要求建设单位采取以下措施：</w:t>
      </w:r>
    </w:p>
    <w:p w14:paraId="00DAD139" w14:textId="77777777" w:rsidR="00E579B9" w:rsidRDefault="006A1398">
      <w:pPr>
        <w:pStyle w:val="226"/>
      </w:pPr>
      <w:r>
        <w:rPr>
          <w:rFonts w:hint="eastAsia"/>
        </w:rPr>
        <w:t>①所有施工现场必须做到“八个百分百”：即工地周边</w:t>
      </w:r>
      <w:r>
        <w:t>100%</w:t>
      </w:r>
      <w:r>
        <w:rPr>
          <w:rFonts w:ascii="宋体" w:hAnsi="宋体" w:hint="eastAsia"/>
        </w:rPr>
        <w:t>围挡、各类物料堆放</w:t>
      </w:r>
      <w:r>
        <w:t>100%</w:t>
      </w:r>
      <w:r>
        <w:rPr>
          <w:rFonts w:ascii="宋体" w:hAnsi="宋体" w:hint="eastAsia"/>
        </w:rPr>
        <w:t>覆盖、土方开挖及拆迁作业</w:t>
      </w:r>
      <w:r>
        <w:t>100%</w:t>
      </w:r>
      <w:r>
        <w:rPr>
          <w:rFonts w:ascii="宋体" w:hAnsi="宋体" w:hint="eastAsia"/>
        </w:rPr>
        <w:t>湿法作业、出入车辆</w:t>
      </w:r>
      <w:r>
        <w:t>100%</w:t>
      </w:r>
      <w:r>
        <w:rPr>
          <w:rFonts w:ascii="宋体" w:hAnsi="宋体" w:hint="eastAsia"/>
        </w:rPr>
        <w:t>清洗、施工现场路面</w:t>
      </w:r>
      <w:r>
        <w:t>100%</w:t>
      </w:r>
      <w:r>
        <w:rPr>
          <w:rFonts w:ascii="宋体" w:hAnsi="宋体" w:hint="eastAsia"/>
        </w:rPr>
        <w:t>硬化、渣土车辆</w:t>
      </w:r>
      <w:r>
        <w:t>100%</w:t>
      </w:r>
      <w:r>
        <w:rPr>
          <w:rFonts w:ascii="宋体" w:hAnsi="宋体" w:hint="eastAsia"/>
        </w:rPr>
        <w:t>密闭运输、建筑面积</w:t>
      </w:r>
      <w:r>
        <w:t>1</w:t>
      </w:r>
      <w:r>
        <w:rPr>
          <w:rFonts w:ascii="宋体" w:hAnsi="宋体" w:hint="eastAsia"/>
        </w:rPr>
        <w:t>万平方米以上及涉土石方作业的施工工地</w:t>
      </w:r>
      <w:r>
        <w:t>100%</w:t>
      </w:r>
      <w:r>
        <w:rPr>
          <w:rFonts w:ascii="宋体" w:hAnsi="宋体" w:hint="eastAsia"/>
        </w:rPr>
        <w:t>安装在线视频监控、工地内非道路移动机械使用油品及车辆</w:t>
      </w:r>
      <w:r>
        <w:t>100%</w:t>
      </w:r>
      <w:r>
        <w:rPr>
          <w:rFonts w:ascii="宋体" w:hAnsi="宋体" w:hint="eastAsia"/>
        </w:rPr>
        <w:t>达标。具体措施为：本项目在破碎车间施工场地四周设置不低于</w:t>
      </w:r>
      <w:r>
        <w:t>2m</w:t>
      </w:r>
      <w:r>
        <w:rPr>
          <w:rFonts w:ascii="宋体" w:hAnsi="宋体" w:hint="eastAsia"/>
        </w:rPr>
        <w:t>高的围挡，采区露天采场在作业区域四周设置移动式围挡；易产生扬尘的施工材料加盖抑尘网；表土及时运至表土堆场，并用抑尘网全覆盖；本项目配备雾炮车在采场基建剥离前及剥离</w:t>
      </w:r>
      <w:r>
        <w:rPr>
          <w:rFonts w:ascii="宋体" w:hAnsi="宋体" w:hint="eastAsia"/>
        </w:rPr>
        <w:lastRenderedPageBreak/>
        <w:t>过程中对工作面进行喷雾洒水保证</w:t>
      </w:r>
      <w:r>
        <w:t>100%</w:t>
      </w:r>
      <w:r>
        <w:rPr>
          <w:rFonts w:ascii="宋体" w:hAnsi="宋体" w:hint="eastAsia"/>
        </w:rPr>
        <w:t>湿法作业；采区出口处及破碎站均设置车辆冲洗装置对进出车辆进行清洗，冲洗废水沉淀后回用不外排；场外运输道路全部硬化</w:t>
      </w:r>
      <w:r>
        <w:t>(</w:t>
      </w:r>
      <w:r>
        <w:rPr>
          <w:rFonts w:ascii="宋体" w:hAnsi="宋体" w:hint="eastAsia"/>
        </w:rPr>
        <w:t>沥青路面</w:t>
      </w:r>
      <w:r>
        <w:t>)</w:t>
      </w:r>
      <w:r>
        <w:rPr>
          <w:rFonts w:ascii="宋体" w:hAnsi="宋体" w:hint="eastAsia"/>
        </w:rPr>
        <w:t>，配备辆洒水车（定期对运输道路进行洒水降尘；运输物料的车辆不得超载，加盖帆布篷；采区露天采场及破碎场地均在建设期施工场地安装在线视频监控（</w:t>
      </w:r>
      <w:r>
        <w:t>4</w:t>
      </w:r>
      <w:r>
        <w:rPr>
          <w:rFonts w:ascii="宋体" w:hAnsi="宋体" w:hint="eastAsia"/>
        </w:rPr>
        <w:t>套）；本项目选用先进的矿山机械，企业选择正规企业供油，保证油品及车辆尾气达标排放。符合</w:t>
      </w:r>
      <w:r>
        <w:rPr>
          <w:rFonts w:hint="eastAsia"/>
        </w:rPr>
        <w:t>“八个百分百”要求。</w:t>
      </w:r>
    </w:p>
    <w:p w14:paraId="6599154D" w14:textId="77777777" w:rsidR="00E579B9" w:rsidRDefault="006A1398">
      <w:pPr>
        <w:pStyle w:val="226"/>
      </w:pPr>
      <w:r>
        <w:rPr>
          <w:rFonts w:hint="eastAsia"/>
        </w:rPr>
        <w:t>②尽量缩短施工期，缩小施工影响范围，及时恢复场地植被，干燥、大风天气施工必须采取洒水抑尘措施。遇到四级或四级以上大风天气，应停止土方等易产生扬尘作业的建设工程。</w:t>
      </w:r>
    </w:p>
    <w:p w14:paraId="3CD32183" w14:textId="77777777" w:rsidR="00E579B9" w:rsidRDefault="006A1398">
      <w:pPr>
        <w:pStyle w:val="226"/>
      </w:pPr>
      <w:r>
        <w:rPr>
          <w:rFonts w:hint="eastAsia"/>
        </w:rPr>
        <w:t>③在离居民点较近的运矿道路等施工现场应采用遮挡措施，围挡高度应不低于</w:t>
      </w:r>
      <w:r>
        <w:t>2.5m</w:t>
      </w:r>
      <w:r>
        <w:rPr>
          <w:rFonts w:ascii="宋体" w:hAnsi="宋体" w:hint="eastAsia"/>
        </w:rPr>
        <w:t>；通过采取洒水、覆盖等措施，使得在各工程土方作业时，达到作业区目测扬尘高度小于</w:t>
      </w:r>
      <w:r>
        <w:t>2m</w:t>
      </w:r>
      <w:r>
        <w:rPr>
          <w:rFonts w:ascii="宋体" w:hAnsi="宋体" w:hint="eastAsia"/>
        </w:rPr>
        <w:t>。</w:t>
      </w:r>
    </w:p>
    <w:p w14:paraId="0AB96B2C" w14:textId="77777777" w:rsidR="00E579B9" w:rsidRDefault="006A1398">
      <w:pPr>
        <w:pStyle w:val="226"/>
      </w:pPr>
      <w:r>
        <w:rPr>
          <w:rFonts w:hint="eastAsia"/>
        </w:rPr>
        <w:t>④矿区运输道路全部硬化，同时设置洒水车对运输道路进行定期清扫、洒水。增设洗车平台，对进出采区、加工区车辆进行清洗。同时要求文明装卸物料，运输物料的车辆应限速，不得超载，并采取遮盖、密闭措施，减少沿途抛洒。</w:t>
      </w:r>
    </w:p>
    <w:p w14:paraId="06511C87" w14:textId="77777777" w:rsidR="00E579B9" w:rsidRDefault="006A1398">
      <w:pPr>
        <w:pStyle w:val="226"/>
        <w:rPr>
          <w:rFonts w:cs="Times New Roman"/>
        </w:rPr>
      </w:pPr>
      <w:r>
        <w:rPr>
          <w:rFonts w:ascii="宋体" w:hAnsi="宋体"/>
        </w:rPr>
        <w:t>采取以上措施后，</w:t>
      </w:r>
      <w:r>
        <w:rPr>
          <w:rFonts w:ascii="宋体" w:hAnsi="宋体" w:hint="eastAsia"/>
        </w:rPr>
        <w:t>项目</w:t>
      </w:r>
      <w:r>
        <w:rPr>
          <w:rFonts w:ascii="宋体" w:hAnsi="宋体" w:hint="eastAsia"/>
          <w:kern w:val="0"/>
        </w:rPr>
        <w:t>建设期扬尘对周围环境空气影响可得到有效控制，措施可行</w:t>
      </w:r>
      <w:r>
        <w:rPr>
          <w:rFonts w:ascii="宋体" w:hAnsi="宋体"/>
        </w:rPr>
        <w:t>。</w:t>
      </w:r>
    </w:p>
    <w:p w14:paraId="70C01A97" w14:textId="77777777" w:rsidR="00E579B9" w:rsidRDefault="006A1398">
      <w:pPr>
        <w:pStyle w:val="3"/>
        <w:ind w:firstLine="560"/>
      </w:pPr>
      <w:r>
        <w:rPr>
          <w:rFonts w:hint="eastAsia"/>
        </w:rPr>
        <w:t>7.1</w:t>
      </w:r>
      <w:r>
        <w:t>.2</w:t>
      </w:r>
      <w:r>
        <w:rPr>
          <w:rFonts w:hint="eastAsia"/>
        </w:rPr>
        <w:t>建设期</w:t>
      </w:r>
      <w:r>
        <w:t>水污染防治措施</w:t>
      </w:r>
      <w:bookmarkEnd w:id="437"/>
    </w:p>
    <w:p w14:paraId="14C911DD" w14:textId="77777777" w:rsidR="00E579B9" w:rsidRDefault="006A1398">
      <w:pPr>
        <w:pStyle w:val="226"/>
        <w:rPr>
          <w:rFonts w:cs="Times New Roman"/>
        </w:rPr>
      </w:pPr>
      <w:bookmarkStart w:id="438" w:name="_Toc535847570"/>
      <w:r>
        <w:rPr>
          <w:rFonts w:cs="Times New Roman" w:hint="eastAsia"/>
        </w:rPr>
        <w:t>（</w:t>
      </w:r>
      <w:r>
        <w:rPr>
          <w:rFonts w:cs="Times New Roman" w:hint="eastAsia"/>
        </w:rPr>
        <w:t>1</w:t>
      </w:r>
      <w:r>
        <w:rPr>
          <w:rFonts w:cs="Times New Roman" w:hint="eastAsia"/>
        </w:rPr>
        <w:t>）</w:t>
      </w:r>
      <w:r>
        <w:rPr>
          <w:rFonts w:cs="Times New Roman"/>
        </w:rPr>
        <w:t>生活污水</w:t>
      </w:r>
    </w:p>
    <w:p w14:paraId="00BEFA45" w14:textId="77777777" w:rsidR="00E579B9" w:rsidRDefault="006A1398">
      <w:pPr>
        <w:pStyle w:val="226"/>
        <w:rPr>
          <w:rFonts w:ascii="宋体" w:hAnsi="宋体" w:cs="Times New Roman"/>
          <w:kern w:val="0"/>
        </w:rPr>
      </w:pPr>
      <w:r>
        <w:rPr>
          <w:rFonts w:ascii="宋体" w:hAnsi="宋体" w:hint="eastAsia"/>
          <w:kern w:val="0"/>
        </w:rPr>
        <w:t>施工人员不在矿区住宿、就餐，施工区设旱厕，粪污水由周围村民拉走用于肥田。建设期水污染源主要为施工人员的洗漱废水，废水量较小，主要污染物为</w:t>
      </w:r>
      <w:r>
        <w:rPr>
          <w:rFonts w:ascii="宋体" w:hAnsi="Courier New" w:hint="eastAsia"/>
          <w:kern w:val="0"/>
        </w:rPr>
        <w:t>COD和NH</w:t>
      </w:r>
      <w:r>
        <w:rPr>
          <w:rFonts w:ascii="宋体" w:hAnsi="Courier New" w:hint="eastAsia"/>
          <w:kern w:val="0"/>
          <w:vertAlign w:val="subscript"/>
        </w:rPr>
        <w:t>3</w:t>
      </w:r>
      <w:r>
        <w:rPr>
          <w:rFonts w:ascii="宋体" w:hAnsi="Courier New" w:hint="eastAsia"/>
          <w:kern w:val="0"/>
        </w:rPr>
        <w:t>-N等，经收集池收集后用于洒水降尘，不外排</w:t>
      </w:r>
      <w:r>
        <w:rPr>
          <w:rFonts w:ascii="宋体" w:hAnsi="宋体" w:hint="eastAsia"/>
          <w:kern w:val="0"/>
        </w:rPr>
        <w:t>，</w:t>
      </w:r>
      <w:r>
        <w:rPr>
          <w:rFonts w:ascii="宋体" w:hAnsi="宋体" w:cs="Times New Roman"/>
          <w:kern w:val="0"/>
        </w:rPr>
        <w:t>对地表水环境无影响，措施可行</w:t>
      </w:r>
      <w:r>
        <w:rPr>
          <w:rFonts w:ascii="宋体" w:hAnsi="宋体" w:cs="Times New Roman" w:hint="eastAsia"/>
          <w:kern w:val="0"/>
        </w:rPr>
        <w:t>。</w:t>
      </w:r>
    </w:p>
    <w:p w14:paraId="3993D846" w14:textId="77777777" w:rsidR="00E579B9" w:rsidRDefault="006A1398">
      <w:pPr>
        <w:pStyle w:val="226"/>
        <w:rPr>
          <w:rFonts w:cs="Times New Roman"/>
        </w:rPr>
      </w:pPr>
      <w:r>
        <w:rPr>
          <w:rFonts w:cs="Times New Roman" w:hint="eastAsia"/>
        </w:rPr>
        <w:t>（</w:t>
      </w:r>
      <w:r>
        <w:rPr>
          <w:rFonts w:cs="Times New Roman" w:hint="eastAsia"/>
        </w:rPr>
        <w:t>2</w:t>
      </w:r>
      <w:r>
        <w:rPr>
          <w:rFonts w:cs="Times New Roman" w:hint="eastAsia"/>
        </w:rPr>
        <w:t>）</w:t>
      </w:r>
      <w:r>
        <w:rPr>
          <w:rFonts w:cs="Times New Roman"/>
        </w:rPr>
        <w:t>生产废水</w:t>
      </w:r>
    </w:p>
    <w:p w14:paraId="77DCB98A" w14:textId="77777777" w:rsidR="00E579B9" w:rsidRDefault="006A1398">
      <w:pPr>
        <w:pStyle w:val="226"/>
        <w:rPr>
          <w:rFonts w:cs="Times New Roman"/>
        </w:rPr>
      </w:pPr>
      <w:r>
        <w:rPr>
          <w:rFonts w:cs="Times New Roman"/>
        </w:rPr>
        <w:t>建设期生产废水污染源主要</w:t>
      </w:r>
      <w:r>
        <w:rPr>
          <w:rFonts w:cs="Times New Roman" w:hint="eastAsia"/>
        </w:rPr>
        <w:t>为</w:t>
      </w:r>
      <w:r>
        <w:rPr>
          <w:rFonts w:hint="eastAsia"/>
        </w:rPr>
        <w:t>施工设备清洗以及车辆冲洗废水</w:t>
      </w:r>
      <w:r>
        <w:rPr>
          <w:rFonts w:cs="Times New Roman"/>
        </w:rPr>
        <w:t>，主要污染物为</w:t>
      </w:r>
      <w:r>
        <w:rPr>
          <w:rFonts w:cs="Times New Roman"/>
        </w:rPr>
        <w:lastRenderedPageBreak/>
        <w:t>SS</w:t>
      </w:r>
      <w:r>
        <w:rPr>
          <w:rFonts w:cs="Times New Roman" w:hint="eastAsia"/>
        </w:rPr>
        <w:t>。</w:t>
      </w:r>
      <w:r>
        <w:rPr>
          <w:rFonts w:hint="eastAsia"/>
        </w:rPr>
        <w:t>评价建议在矿区出入口处设一座</w:t>
      </w:r>
      <w:r>
        <w:rPr>
          <w:rFonts w:hint="eastAsia"/>
        </w:rPr>
        <w:t>6</w:t>
      </w:r>
      <w:r>
        <w:rPr>
          <w:rFonts w:hint="eastAsia"/>
        </w:rPr>
        <w:t>×</w:t>
      </w:r>
      <w:r>
        <w:rPr>
          <w:rFonts w:hint="eastAsia"/>
        </w:rPr>
        <w:t>8m</w:t>
      </w:r>
      <w:r>
        <w:rPr>
          <w:rFonts w:hint="eastAsia"/>
        </w:rPr>
        <w:t>洗车台，用于施工设备清洗及车辆冲洗，并设置容积为</w:t>
      </w:r>
      <w:r>
        <w:t>5m</w:t>
      </w:r>
      <w:r>
        <w:rPr>
          <w:vertAlign w:val="superscript"/>
        </w:rPr>
        <w:t>3</w:t>
      </w:r>
      <w:r>
        <w:rPr>
          <w:rFonts w:hint="eastAsia"/>
        </w:rPr>
        <w:t>车辆轮胎清洗沉淀池，清洗废水经收集沉淀后重复利用或洒水抑尘，不外排。施工期结束后此清洗沉淀池作为运营期车辆轮胎清洗沉淀池使用。</w:t>
      </w:r>
    </w:p>
    <w:p w14:paraId="69C6CCB4" w14:textId="77777777" w:rsidR="00E579B9" w:rsidRDefault="006A1398">
      <w:pPr>
        <w:pStyle w:val="3"/>
        <w:ind w:firstLine="560"/>
      </w:pPr>
      <w:r>
        <w:rPr>
          <w:rFonts w:hint="eastAsia"/>
        </w:rPr>
        <w:t>7.1</w:t>
      </w:r>
      <w:r>
        <w:t>.3</w:t>
      </w:r>
      <w:r>
        <w:rPr>
          <w:rFonts w:hint="eastAsia"/>
        </w:rPr>
        <w:t>建设期</w:t>
      </w:r>
      <w:r>
        <w:t>噪声污染防治措施</w:t>
      </w:r>
      <w:bookmarkEnd w:id="438"/>
    </w:p>
    <w:p w14:paraId="0AA8130D" w14:textId="77777777" w:rsidR="00E579B9" w:rsidRDefault="006A1398">
      <w:r>
        <w:t>为减轻施工噪声对周围环境及施工人员和周围环境的影响，环评建议</w:t>
      </w:r>
      <w:r>
        <w:rPr>
          <w:rFonts w:hint="eastAsia"/>
        </w:rPr>
        <w:t>采取以下污染防治措施</w:t>
      </w:r>
      <w:r>
        <w:t>：</w:t>
      </w:r>
    </w:p>
    <w:p w14:paraId="6CEF7E49" w14:textId="77777777" w:rsidR="00E579B9" w:rsidRDefault="006A1398">
      <w:pPr>
        <w:rPr>
          <w:rFonts w:ascii="宋体" w:cs="Times New Roman"/>
          <w:kern w:val="0"/>
          <w:szCs w:val="24"/>
        </w:rPr>
      </w:pPr>
      <w:r>
        <w:rPr>
          <w:rFonts w:ascii="宋体" w:hAnsi="宋体" w:cs="宋体" w:hint="eastAsia"/>
        </w:rPr>
        <w:t>①</w:t>
      </w:r>
      <w:r>
        <w:t>选择性能良好且低噪声的施工机械，并注意保养，维持其最低噪声水平；</w:t>
      </w:r>
      <w:r>
        <w:rPr>
          <w:rFonts w:ascii="宋体" w:cs="Times New Roman" w:hint="eastAsia"/>
          <w:kern w:val="0"/>
          <w:szCs w:val="24"/>
        </w:rPr>
        <w:t>通往施工现场的道路路面应及时修整，以保持良好的路况，降低噪声。</w:t>
      </w:r>
    </w:p>
    <w:p w14:paraId="3ACCA8F0" w14:textId="77777777" w:rsidR="00E579B9" w:rsidRDefault="006A1398">
      <w:r>
        <w:rPr>
          <w:rFonts w:ascii="宋体" w:hAnsi="宋体" w:cs="宋体" w:hint="eastAsia"/>
        </w:rPr>
        <w:t>②</w:t>
      </w:r>
      <w:r>
        <w:t>对机械操作人员采取轮流工作制，减少工人接触高噪声的时间；</w:t>
      </w:r>
    </w:p>
    <w:p w14:paraId="5879C0C0" w14:textId="77777777" w:rsidR="00E579B9" w:rsidRDefault="006A1398">
      <w:r>
        <w:rPr>
          <w:rFonts w:ascii="宋体" w:hAnsi="宋体" w:cs="宋体" w:hint="eastAsia"/>
        </w:rPr>
        <w:t>③</w:t>
      </w:r>
      <w:r>
        <w:t>只许在上午</w:t>
      </w:r>
      <w:r>
        <w:t>8</w:t>
      </w:r>
      <w:r>
        <w:t>：</w:t>
      </w:r>
      <w:r>
        <w:t>00~12:00</w:t>
      </w:r>
      <w:r>
        <w:t>、下午</w:t>
      </w:r>
      <w:r>
        <w:t>14:00~18:00</w:t>
      </w:r>
      <w:r>
        <w:t>时间段内施工，夜间禁止施工；</w:t>
      </w:r>
    </w:p>
    <w:p w14:paraId="51E45D1E" w14:textId="77777777" w:rsidR="00E579B9" w:rsidRDefault="006A1398">
      <w:pPr>
        <w:rPr>
          <w:rFonts w:ascii="宋体" w:cs="Times New Roman"/>
          <w:kern w:val="0"/>
          <w:szCs w:val="24"/>
        </w:rPr>
      </w:pPr>
      <w:r>
        <w:rPr>
          <w:rFonts w:ascii="宋体" w:hAnsi="宋体" w:cs="宋体" w:hint="eastAsia"/>
        </w:rPr>
        <w:t>④</w:t>
      </w:r>
      <w:r>
        <w:rPr>
          <w:rFonts w:ascii="宋体" w:cs="Times New Roman" w:hint="eastAsia"/>
          <w:kern w:val="0"/>
          <w:szCs w:val="24"/>
        </w:rPr>
        <w:t>增加部分设备基座减振；</w:t>
      </w:r>
    </w:p>
    <w:p w14:paraId="40D519CC" w14:textId="77777777" w:rsidR="00E579B9" w:rsidRDefault="006A1398">
      <w:r>
        <w:fldChar w:fldCharType="begin"/>
      </w:r>
      <w:r>
        <w:instrText xml:space="preserve"> </w:instrText>
      </w:r>
      <w:r>
        <w:rPr>
          <w:rFonts w:hint="eastAsia"/>
        </w:rPr>
        <w:instrText>= 5 \* GB3</w:instrText>
      </w:r>
      <w:r>
        <w:instrText xml:space="preserve"> </w:instrText>
      </w:r>
      <w:r>
        <w:fldChar w:fldCharType="separate"/>
      </w:r>
      <w:r>
        <w:rPr>
          <w:rFonts w:hint="eastAsia"/>
        </w:rPr>
        <w:t>⑤</w:t>
      </w:r>
      <w:r>
        <w:fldChar w:fldCharType="end"/>
      </w:r>
      <w:r>
        <w:t>物料运输车辆安排在白天进出，禁止夜间运输，防止对运输沿线村民造成影响。</w:t>
      </w:r>
    </w:p>
    <w:p w14:paraId="4A4B6F0A" w14:textId="77777777" w:rsidR="00E579B9" w:rsidRDefault="006A1398">
      <w:r>
        <w:t>采取上述环评建议措施后，施工厂界可满足《建筑施工场界环境噪声排放标准》（</w:t>
      </w:r>
      <w:r>
        <w:t>GB12523-2011</w:t>
      </w:r>
      <w:r>
        <w:t>）评价标准，可确保施工噪声不扰民，措施可行。</w:t>
      </w:r>
    </w:p>
    <w:p w14:paraId="4AEFBADC" w14:textId="77777777" w:rsidR="00E579B9" w:rsidRDefault="006A1398">
      <w:pPr>
        <w:pStyle w:val="3"/>
        <w:ind w:firstLine="560"/>
      </w:pPr>
      <w:bookmarkStart w:id="439" w:name="_Toc535847571"/>
      <w:r>
        <w:rPr>
          <w:rFonts w:hint="eastAsia"/>
        </w:rPr>
        <w:t>7.1</w:t>
      </w:r>
      <w:r>
        <w:t>.4</w:t>
      </w:r>
      <w:r>
        <w:rPr>
          <w:rFonts w:hint="eastAsia"/>
        </w:rPr>
        <w:t>建设期</w:t>
      </w:r>
      <w:r>
        <w:t>固体废物污染防治措施</w:t>
      </w:r>
      <w:bookmarkEnd w:id="439"/>
    </w:p>
    <w:p w14:paraId="69E056CC" w14:textId="77777777" w:rsidR="00E579B9" w:rsidRDefault="006A1398">
      <w:pPr>
        <w:widowControl w:val="0"/>
        <w:spacing w:line="480" w:lineRule="exact"/>
        <w:jc w:val="both"/>
        <w:rPr>
          <w:rFonts w:ascii="仿宋_GB2312" w:eastAsia="仿宋_GB2312" w:hAnsi="宋体" w:cs="宋体"/>
          <w:szCs w:val="24"/>
        </w:rPr>
      </w:pPr>
      <w:r>
        <w:rPr>
          <w:rFonts w:ascii="宋体" w:hAnsi="宋体" w:cs="宋体" w:hint="eastAsia"/>
          <w:szCs w:val="24"/>
        </w:rPr>
        <w:t>本项目建设期产生的固体废物主要为露采基建剥离产生的表土以及施工人员生活垃圾。</w:t>
      </w:r>
    </w:p>
    <w:p w14:paraId="5E6EB7E2" w14:textId="77777777" w:rsidR="00E579B9" w:rsidRDefault="006A1398">
      <w:pPr>
        <w:widowControl w:val="0"/>
        <w:spacing w:line="480" w:lineRule="exact"/>
        <w:ind w:firstLineChars="201" w:firstLine="482"/>
        <w:jc w:val="both"/>
        <w:rPr>
          <w:rFonts w:cs="Times New Roman"/>
          <w:color w:val="000000"/>
          <w:szCs w:val="24"/>
        </w:rPr>
      </w:pPr>
      <w:r>
        <w:rPr>
          <w:rFonts w:ascii="宋体" w:hAnsi="宋体" w:cs="Times New Roman"/>
          <w:color w:val="000000"/>
          <w:szCs w:val="24"/>
        </w:rPr>
        <w:t>（</w:t>
      </w:r>
      <w:r>
        <w:rPr>
          <w:rFonts w:cs="Times New Roman"/>
          <w:color w:val="000000"/>
          <w:szCs w:val="24"/>
        </w:rPr>
        <w:t>1</w:t>
      </w:r>
      <w:r>
        <w:rPr>
          <w:rFonts w:ascii="宋体" w:hAnsi="宋体" w:cs="Times New Roman"/>
          <w:color w:val="000000"/>
          <w:szCs w:val="24"/>
        </w:rPr>
        <w:t>）表土</w:t>
      </w:r>
    </w:p>
    <w:p w14:paraId="589148E5" w14:textId="77777777" w:rsidR="00E579B9" w:rsidRDefault="006A1398">
      <w:pPr>
        <w:widowControl w:val="0"/>
        <w:spacing w:line="480" w:lineRule="exact"/>
        <w:jc w:val="both"/>
        <w:rPr>
          <w:rFonts w:ascii="仿宋_GB2312" w:eastAsia="仿宋_GB2312" w:hAnsi="宋体" w:cs="宋体"/>
          <w:szCs w:val="24"/>
        </w:rPr>
      </w:pPr>
      <w:r>
        <w:rPr>
          <w:rFonts w:ascii="宋体" w:hAnsi="宋体" w:cs="宋体" w:hint="eastAsia"/>
          <w:szCs w:val="24"/>
        </w:rPr>
        <w:t>根据工程分析计算，项目基建期产生的表土妥善堆存至表土临时堆场内，用于后期生态恢复。表土临时堆场底部设置挡土墙，两侧采用装土编织袋进行挡护，并在装土编织袋旁开挖截排水沟，顶部播撒草籽绿化。</w:t>
      </w:r>
    </w:p>
    <w:p w14:paraId="58A65354" w14:textId="77777777" w:rsidR="00E579B9" w:rsidRDefault="006A1398">
      <w:pPr>
        <w:widowControl w:val="0"/>
        <w:spacing w:line="480" w:lineRule="exact"/>
        <w:jc w:val="both"/>
        <w:rPr>
          <w:rFonts w:ascii="仿宋_GB2312" w:eastAsia="仿宋_GB2312" w:hAnsi="宋体" w:cs="宋体"/>
          <w:szCs w:val="24"/>
        </w:rPr>
      </w:pPr>
      <w:r>
        <w:rPr>
          <w:rFonts w:ascii="宋体" w:hAnsi="宋体" w:cs="宋体" w:hint="eastAsia"/>
          <w:szCs w:val="24"/>
        </w:rPr>
        <w:t>（</w:t>
      </w:r>
      <w:r>
        <w:rPr>
          <w:rFonts w:ascii="仿宋_GB2312" w:eastAsia="仿宋_GB2312" w:hAnsi="宋体" w:cs="宋体" w:hint="eastAsia"/>
          <w:szCs w:val="24"/>
        </w:rPr>
        <w:t>2</w:t>
      </w:r>
      <w:r>
        <w:rPr>
          <w:rFonts w:ascii="宋体" w:hAnsi="宋体" w:cs="宋体" w:hint="eastAsia"/>
          <w:szCs w:val="24"/>
        </w:rPr>
        <w:t>）生活垃圾</w:t>
      </w:r>
    </w:p>
    <w:p w14:paraId="7FD7AB0F" w14:textId="77777777" w:rsidR="00E579B9" w:rsidRDefault="006A1398">
      <w:pPr>
        <w:widowControl w:val="0"/>
        <w:spacing w:line="480" w:lineRule="exact"/>
        <w:ind w:firstLineChars="201" w:firstLine="482"/>
        <w:jc w:val="both"/>
        <w:rPr>
          <w:rFonts w:cs="Times New Roman"/>
          <w:color w:val="000000"/>
          <w:szCs w:val="24"/>
        </w:rPr>
      </w:pPr>
      <w:r>
        <w:rPr>
          <w:rFonts w:ascii="宋体" w:hAnsi="宋体" w:cs="Times New Roman"/>
          <w:color w:val="000000"/>
          <w:szCs w:val="24"/>
        </w:rPr>
        <w:t>本项目建设期生活垃圾产生量约为</w:t>
      </w:r>
      <w:r>
        <w:rPr>
          <w:rFonts w:cs="Times New Roman" w:hint="eastAsia"/>
          <w:color w:val="000000"/>
          <w:szCs w:val="24"/>
        </w:rPr>
        <w:t>10kg/d</w:t>
      </w:r>
      <w:r>
        <w:rPr>
          <w:rFonts w:ascii="宋体" w:hAnsi="宋体" w:cs="Times New Roman"/>
          <w:color w:val="000000"/>
          <w:szCs w:val="24"/>
        </w:rPr>
        <w:t>，评价建议设置</w:t>
      </w:r>
      <w:r>
        <w:rPr>
          <w:rFonts w:ascii="宋体" w:hAnsi="宋体" w:cs="Times New Roman" w:hint="eastAsia"/>
          <w:color w:val="000000"/>
          <w:szCs w:val="24"/>
        </w:rPr>
        <w:t>移动式垃圾箱</w:t>
      </w:r>
      <w:r>
        <w:rPr>
          <w:rFonts w:ascii="宋体" w:hAnsi="宋体" w:cs="Times New Roman"/>
          <w:color w:val="000000"/>
          <w:szCs w:val="24"/>
        </w:rPr>
        <w:t>，生活垃圾集中收集后定期运往</w:t>
      </w:r>
      <w:r>
        <w:rPr>
          <w:rFonts w:ascii="宋体" w:hAnsi="宋体" w:cs="Times New Roman" w:hint="eastAsia"/>
          <w:color w:val="000000"/>
          <w:szCs w:val="24"/>
        </w:rPr>
        <w:t>任店镇</w:t>
      </w:r>
      <w:r>
        <w:rPr>
          <w:rFonts w:ascii="宋体" w:hAnsi="宋体" w:cs="Times New Roman"/>
          <w:color w:val="000000"/>
          <w:szCs w:val="24"/>
        </w:rPr>
        <w:t>垃圾中转站统一处理。</w:t>
      </w:r>
    </w:p>
    <w:p w14:paraId="0FCA4DB9" w14:textId="77777777" w:rsidR="00E579B9" w:rsidRDefault="006A1398">
      <w:r>
        <w:lastRenderedPageBreak/>
        <w:t>采取上述措施后，各类固体废物可以</w:t>
      </w:r>
      <w:r>
        <w:rPr>
          <w:spacing w:val="-20"/>
        </w:rPr>
        <w:t>得到有效处置，避</w:t>
      </w:r>
      <w:r>
        <w:t>免乱堆乱放污染环境，</w:t>
      </w:r>
      <w:r>
        <w:rPr>
          <w:rFonts w:hint="eastAsia"/>
        </w:rPr>
        <w:t>满足《河南省露天矿山综合整治三年行动计划（</w:t>
      </w:r>
      <w:r>
        <w:rPr>
          <w:rFonts w:hint="eastAsia"/>
        </w:rPr>
        <w:t>2018-2020</w:t>
      </w:r>
      <w:r>
        <w:rPr>
          <w:rFonts w:hint="eastAsia"/>
        </w:rPr>
        <w:t>年）实施方案》的相关要求，</w:t>
      </w:r>
      <w:r>
        <w:t>措施可行。</w:t>
      </w:r>
    </w:p>
    <w:p w14:paraId="5F145BA4" w14:textId="77777777" w:rsidR="00E579B9" w:rsidRDefault="006A1398">
      <w:pPr>
        <w:pStyle w:val="3"/>
        <w:ind w:firstLine="560"/>
      </w:pPr>
      <w:bookmarkStart w:id="440" w:name="_Toc535847572"/>
      <w:r>
        <w:rPr>
          <w:rFonts w:hint="eastAsia"/>
        </w:rPr>
        <w:t>7.1</w:t>
      </w:r>
      <w:r>
        <w:t>.5</w:t>
      </w:r>
      <w:r>
        <w:rPr>
          <w:rFonts w:hint="eastAsia"/>
        </w:rPr>
        <w:t>建设期</w:t>
      </w:r>
      <w:r>
        <w:t>生态环境防治措施</w:t>
      </w:r>
      <w:bookmarkEnd w:id="440"/>
    </w:p>
    <w:p w14:paraId="2B0C8D94" w14:textId="77777777" w:rsidR="00E579B9" w:rsidRDefault="006A1398">
      <w:r>
        <w:rPr>
          <w:rFonts w:hint="eastAsia"/>
        </w:rPr>
        <w:t>本项目建设施工内容较少，在工程施工过程中涉及表土及覆岩剥离、开挖及弃土等工作，施工过程中始终坚持“边开采、边治理”的原则，对场地进行绿化，厂区道路进行硬化，道路两侧开挖截排水沟，表土场上游设置截排水沟，底部设挡土墙，两侧设置排水系统，排泄雨水，以减少施工造成的水土流失。</w:t>
      </w:r>
    </w:p>
    <w:p w14:paraId="1BA028EE" w14:textId="77777777" w:rsidR="00E579B9" w:rsidRDefault="006A1398">
      <w:r>
        <w:t>采取以上措施后，施工期生态环境的影响是可接受的</w:t>
      </w:r>
      <w:r>
        <w:rPr>
          <w:rFonts w:hint="eastAsia"/>
        </w:rPr>
        <w:t>，措施可行</w:t>
      </w:r>
      <w:r>
        <w:t>。</w:t>
      </w:r>
    </w:p>
    <w:p w14:paraId="6A4EF4D8" w14:textId="77777777" w:rsidR="00E579B9" w:rsidRDefault="006A1398">
      <w:pPr>
        <w:pStyle w:val="2"/>
        <w:ind w:firstLine="560"/>
      </w:pPr>
      <w:bookmarkStart w:id="441" w:name="_Toc535847573"/>
      <w:bookmarkStart w:id="442" w:name="_Toc33021817"/>
      <w:r>
        <w:t>7.2</w:t>
      </w:r>
      <w:r>
        <w:rPr>
          <w:rFonts w:hint="eastAsia"/>
        </w:rPr>
        <w:t>营运期污染防治措施分析</w:t>
      </w:r>
      <w:bookmarkEnd w:id="441"/>
      <w:bookmarkEnd w:id="442"/>
    </w:p>
    <w:p w14:paraId="7214001F" w14:textId="77777777" w:rsidR="00E579B9" w:rsidRDefault="006A1398">
      <w:pPr>
        <w:pStyle w:val="3"/>
        <w:ind w:firstLine="560"/>
      </w:pPr>
      <w:bookmarkStart w:id="443" w:name="_Toc535847574"/>
      <w:r>
        <w:t>7.2.1</w:t>
      </w:r>
      <w:r>
        <w:rPr>
          <w:rFonts w:hint="eastAsia"/>
        </w:rPr>
        <w:t>营运期大气</w:t>
      </w:r>
      <w:r>
        <w:t>污染防治措施</w:t>
      </w:r>
      <w:bookmarkEnd w:id="443"/>
    </w:p>
    <w:p w14:paraId="0455968F" w14:textId="77777777" w:rsidR="00E579B9" w:rsidRDefault="006A1398">
      <w:pPr>
        <w:widowControl w:val="0"/>
        <w:spacing w:line="520" w:lineRule="exact"/>
        <w:jc w:val="both"/>
        <w:rPr>
          <w:rFonts w:cs="Times New Roman"/>
          <w:szCs w:val="24"/>
        </w:rPr>
      </w:pPr>
      <w:r>
        <w:rPr>
          <w:rFonts w:ascii="宋体" w:hAnsi="宋体" w:cs="宋体" w:hint="eastAsia"/>
          <w:szCs w:val="24"/>
        </w:rPr>
        <w:t>项目运营期大气污染环节主要是</w:t>
      </w:r>
      <w:r>
        <w:rPr>
          <w:rFonts w:ascii="宋体" w:hAnsi="宋体" w:cs="Times New Roman" w:hint="eastAsia"/>
          <w:szCs w:val="24"/>
        </w:rPr>
        <w:t>露天开采过程中凿岩、爆破粉尘，破碎场地矿石破碎、筛分粉尘及堆放产生的扬尘，矿石装卸及运输时产生的扬尘。</w:t>
      </w:r>
    </w:p>
    <w:p w14:paraId="627D91A3" w14:textId="77777777" w:rsidR="00E579B9" w:rsidRDefault="006A1398">
      <w:pPr>
        <w:widowControl w:val="0"/>
        <w:spacing w:line="520" w:lineRule="exact"/>
        <w:jc w:val="both"/>
        <w:rPr>
          <w:rFonts w:cs="Times New Roman"/>
          <w:szCs w:val="24"/>
        </w:rPr>
      </w:pPr>
      <w:r>
        <w:rPr>
          <w:rFonts w:ascii="宋体" w:hAnsi="宋体" w:cs="Times New Roman" w:hint="eastAsia"/>
          <w:szCs w:val="24"/>
        </w:rPr>
        <w:t>（</w:t>
      </w:r>
      <w:r>
        <w:rPr>
          <w:rFonts w:cs="Times New Roman" w:hint="eastAsia"/>
          <w:szCs w:val="24"/>
        </w:rPr>
        <w:t>1</w:t>
      </w:r>
      <w:r>
        <w:rPr>
          <w:rFonts w:ascii="宋体" w:hAnsi="宋体" w:cs="Times New Roman" w:hint="eastAsia"/>
          <w:szCs w:val="24"/>
        </w:rPr>
        <w:t>）露天开采粉尘</w:t>
      </w:r>
    </w:p>
    <w:p w14:paraId="06490212" w14:textId="77777777" w:rsidR="00E579B9" w:rsidRDefault="006A1398">
      <w:pPr>
        <w:widowControl w:val="0"/>
        <w:spacing w:line="520" w:lineRule="exact"/>
        <w:jc w:val="both"/>
        <w:rPr>
          <w:rFonts w:cs="Times New Roman"/>
          <w:szCs w:val="24"/>
        </w:rPr>
      </w:pPr>
      <w:r>
        <w:rPr>
          <w:rFonts w:ascii="宋体" w:hAnsi="宋体" w:cs="宋体" w:hint="eastAsia"/>
          <w:szCs w:val="24"/>
        </w:rPr>
        <w:t>项目露天开采过程中的粉尘主要是钻孔、爆破粉尘和大块矿石二次破碎粉尘及装卸运输粉尘，呈无组织排放，集中散布在采区内。</w:t>
      </w:r>
    </w:p>
    <w:p w14:paraId="39E11693" w14:textId="77777777" w:rsidR="00E579B9" w:rsidRDefault="006A1398">
      <w:r>
        <w:rPr>
          <w:rFonts w:hint="eastAsia"/>
        </w:rPr>
        <w:t>①钻孔粉尘</w:t>
      </w:r>
    </w:p>
    <w:p w14:paraId="0B2BDB6C" w14:textId="77777777" w:rsidR="00E579B9" w:rsidRDefault="006A1398">
      <w:r>
        <w:rPr>
          <w:rFonts w:ascii="宋体" w:hAnsi="宋体" w:hint="eastAsia"/>
        </w:rPr>
        <w:t>矿山开采采用湿法潜孔钻进行凿岩作业，根据查询相关资料，钻机孔口附件有微细粉尘产生，也有粗颗粒产生，项目采用的凿岩机自带有除尘器收集粉尘，可有效减少粉尘的产生。</w:t>
      </w:r>
    </w:p>
    <w:p w14:paraId="2C8D85CB" w14:textId="77777777" w:rsidR="00E579B9" w:rsidRDefault="006A1398">
      <w:pPr>
        <w:widowControl w:val="0"/>
        <w:spacing w:line="520" w:lineRule="exact"/>
        <w:jc w:val="both"/>
        <w:rPr>
          <w:rFonts w:cs="Times New Roman"/>
          <w:szCs w:val="24"/>
        </w:rPr>
      </w:pPr>
      <w:r>
        <w:rPr>
          <w:rFonts w:cs="Times New Roman" w:hint="eastAsia"/>
          <w:szCs w:val="24"/>
        </w:rPr>
        <w:t>②爆破粉尘</w:t>
      </w:r>
    </w:p>
    <w:p w14:paraId="4C528221" w14:textId="77777777" w:rsidR="00E579B9" w:rsidRDefault="006A1398">
      <w:r>
        <w:t>本项目采用中深孔爆破产尘量较少，类比同类采石场，矿山爆破产尘量与爆破产生的矿石量有关，爆破后粒径大的粉尘在近距离内、短时间内沉降，粒径</w:t>
      </w:r>
      <w:r>
        <w:t>&lt;10μm</w:t>
      </w:r>
      <w:r>
        <w:t>的飘尘不易沉降，但仅占产尘量的</w:t>
      </w:r>
      <w:r>
        <w:t>1%</w:t>
      </w:r>
      <w:r>
        <w:t>以下。因此在未采取抑尘措施的情况下，爆破粉尘主要影响采场下风向</w:t>
      </w:r>
      <w:r>
        <w:t>200m</w:t>
      </w:r>
      <w:r>
        <w:t>范围内区域的大气环境质量。项目</w:t>
      </w:r>
      <w:r>
        <w:rPr>
          <w:rFonts w:hint="eastAsia"/>
        </w:rPr>
        <w:t>采用的中深孔爆破工艺，同时评价要求项目合理布置炮孔，正确选用爆破参数，加强装药利填塞</w:t>
      </w:r>
      <w:r>
        <w:rPr>
          <w:rFonts w:hint="eastAsia"/>
        </w:rPr>
        <w:lastRenderedPageBreak/>
        <w:t>作业的管理，以降低爆破作业的产尘量，起爆后，采用雾炮喷雾洒水降尘减少爆破粉尘。在采取以上措施后，可有效减少约</w:t>
      </w:r>
      <w:r>
        <w:rPr>
          <w:rFonts w:hint="eastAsia"/>
        </w:rPr>
        <w:t>95%</w:t>
      </w:r>
      <w:r>
        <w:rPr>
          <w:rFonts w:hint="eastAsia"/>
        </w:rPr>
        <w:t>的爆破粉尘。</w:t>
      </w:r>
    </w:p>
    <w:p w14:paraId="14570D79" w14:textId="77777777" w:rsidR="00E579B9" w:rsidRDefault="006A1398">
      <w:r>
        <w:rPr>
          <w:rFonts w:hint="eastAsia"/>
        </w:rPr>
        <w:t>上述措施属露天矿开采常用降尘措施，满足《关于加强矿山采（选）矿扬尘综合治理的通知》（豫环文</w:t>
      </w:r>
      <w:r>
        <w:rPr>
          <w:rFonts w:hint="eastAsia"/>
        </w:rPr>
        <w:t>[2015]107</w:t>
      </w:r>
      <w:r>
        <w:rPr>
          <w:rFonts w:hint="eastAsia"/>
        </w:rPr>
        <w:t>号）和《关于印发驻马店市矿山企业综合整治专项行动方案的通知》等相关要求。</w:t>
      </w:r>
      <w:r>
        <w:t>矿石开采产生的粉尘较少，</w:t>
      </w:r>
      <w:r>
        <w:rPr>
          <w:rFonts w:hint="eastAsia"/>
        </w:rPr>
        <w:t>最大落地浓度满足《大气污染物综合排放标准》（</w:t>
      </w:r>
      <w:r>
        <w:rPr>
          <w:rFonts w:hint="eastAsia"/>
        </w:rPr>
        <w:t>GB16297-1996</w:t>
      </w:r>
      <w:r>
        <w:rPr>
          <w:rFonts w:hint="eastAsia"/>
        </w:rPr>
        <w:t>）表</w:t>
      </w:r>
      <w:r>
        <w:rPr>
          <w:rFonts w:hint="eastAsia"/>
        </w:rPr>
        <w:t>2</w:t>
      </w:r>
      <w:r>
        <w:rPr>
          <w:rFonts w:hint="eastAsia"/>
        </w:rPr>
        <w:t>二级标准（无组织排放边界浓度</w:t>
      </w:r>
      <w:r>
        <w:rPr>
          <w:rFonts w:hint="eastAsia"/>
        </w:rPr>
        <w:t>1mg/Nm</w:t>
      </w:r>
      <w:r>
        <w:rPr>
          <w:rFonts w:hint="eastAsia"/>
          <w:vertAlign w:val="superscript"/>
        </w:rPr>
        <w:t>3</w:t>
      </w:r>
      <w:r>
        <w:rPr>
          <w:rFonts w:hint="eastAsia"/>
        </w:rPr>
        <w:t>）要求，项目露天开采粉尘对附近村庄的贡献值远小于《环境空气质量标准》（</w:t>
      </w:r>
      <w:r>
        <w:rPr>
          <w:rFonts w:hint="eastAsia"/>
        </w:rPr>
        <w:t>GB3095-2012</w:t>
      </w:r>
      <w:r>
        <w:rPr>
          <w:rFonts w:hint="eastAsia"/>
        </w:rPr>
        <w:t>）二级标准要求，对村庄影响很小</w:t>
      </w:r>
      <w:r>
        <w:t>，措施可行。</w:t>
      </w:r>
    </w:p>
    <w:p w14:paraId="6AAC9A7E" w14:textId="77777777" w:rsidR="00E579B9" w:rsidRDefault="006A1398">
      <w:pPr>
        <w:widowControl w:val="0"/>
        <w:spacing w:line="520" w:lineRule="exact"/>
        <w:jc w:val="both"/>
        <w:rPr>
          <w:rFonts w:cs="Times New Roman"/>
          <w:szCs w:val="24"/>
        </w:rPr>
      </w:pPr>
      <w:r>
        <w:rPr>
          <w:rFonts w:ascii="宋体" w:hAnsi="宋体" w:cs="Times New Roman" w:hint="eastAsia"/>
          <w:szCs w:val="24"/>
        </w:rPr>
        <w:t>（</w:t>
      </w:r>
      <w:r>
        <w:rPr>
          <w:rFonts w:cs="Times New Roman" w:hint="eastAsia"/>
          <w:szCs w:val="24"/>
        </w:rPr>
        <w:t>2</w:t>
      </w:r>
      <w:r>
        <w:rPr>
          <w:rFonts w:ascii="宋体" w:hAnsi="宋体" w:cs="Times New Roman" w:hint="eastAsia"/>
          <w:szCs w:val="24"/>
        </w:rPr>
        <w:t>）破碎场地粉尘</w:t>
      </w:r>
    </w:p>
    <w:p w14:paraId="7AAFD52C" w14:textId="77777777" w:rsidR="00E579B9" w:rsidRDefault="006A1398">
      <w:pPr>
        <w:widowControl w:val="0"/>
        <w:spacing w:line="520" w:lineRule="exact"/>
        <w:jc w:val="both"/>
        <w:rPr>
          <w:rFonts w:cs="Times New Roman"/>
          <w:szCs w:val="24"/>
        </w:rPr>
      </w:pPr>
      <w:r>
        <w:rPr>
          <w:rFonts w:ascii="宋体" w:hAnsi="宋体" w:cs="Times New Roman" w:hint="eastAsia"/>
          <w:szCs w:val="24"/>
        </w:rPr>
        <w:t>破碎场地在对矿石进行破碎、筛分过程中均会有粉尘产生，项目在颚式破碎机进料口处设置喷雾洒水装置，对各产尘设备（破碎机、筛分机、皮带运输机）均采取了密闭措施，原料设置密闭原料库并设置喷淋洒水装置，大大减少了粉尘的产生，同时在</w:t>
      </w:r>
      <w:r>
        <w:rPr>
          <w:rFonts w:ascii="宋体" w:hAnsi="宋体" w:cs="宋体" w:hint="eastAsia"/>
          <w:szCs w:val="24"/>
        </w:rPr>
        <w:t>颚式破碎机（一段破碎）出料口、圆锥破碎机（二段破碎）出料口、一级筛分机进出料口处分别设置集气罩，粉尘经收集后进入</w:t>
      </w:r>
      <w:r>
        <w:rPr>
          <w:rFonts w:cs="宋体"/>
          <w:szCs w:val="24"/>
        </w:rPr>
        <w:t>1</w:t>
      </w:r>
      <w:r>
        <w:rPr>
          <w:rFonts w:ascii="宋体" w:hAnsi="宋体" w:cs="宋体" w:hint="eastAsia"/>
          <w:szCs w:val="24"/>
        </w:rPr>
        <w:t>台袋式除尘器处理，处理后由</w:t>
      </w:r>
      <w:r>
        <w:rPr>
          <w:rFonts w:cs="Times New Roman" w:hint="eastAsia"/>
          <w:szCs w:val="24"/>
        </w:rPr>
        <w:t>15m</w:t>
      </w:r>
      <w:r>
        <w:rPr>
          <w:rFonts w:ascii="宋体" w:hAnsi="宋体" w:cs="宋体" w:hint="eastAsia"/>
          <w:szCs w:val="24"/>
        </w:rPr>
        <w:t>高排气筒排放，排放废气能达到《水泥工业大气污染物排放标准》（</w:t>
      </w:r>
      <w:r>
        <w:rPr>
          <w:rFonts w:cs="Times New Roman" w:hint="eastAsia"/>
          <w:szCs w:val="24"/>
        </w:rPr>
        <w:t>GB4915-2013</w:t>
      </w:r>
      <w:r>
        <w:rPr>
          <w:rFonts w:ascii="宋体" w:hAnsi="宋体" w:cs="宋体" w:hint="eastAsia"/>
          <w:szCs w:val="24"/>
        </w:rPr>
        <w:t>）表</w:t>
      </w:r>
      <w:r>
        <w:rPr>
          <w:rFonts w:cs="Times New Roman" w:hint="eastAsia"/>
          <w:szCs w:val="24"/>
        </w:rPr>
        <w:t>2</w:t>
      </w:r>
      <w:r>
        <w:rPr>
          <w:rFonts w:ascii="宋体" w:hAnsi="宋体" w:cs="宋体" w:hint="eastAsia"/>
          <w:szCs w:val="24"/>
        </w:rPr>
        <w:t>中特别排放限值要求；在二级筛分机、三级筛分机进出料口处分别设置集气罩，粉尘经收集后进入</w:t>
      </w:r>
      <w:r>
        <w:rPr>
          <w:rFonts w:cs="Times New Roman" w:hint="eastAsia"/>
          <w:szCs w:val="24"/>
        </w:rPr>
        <w:t>1</w:t>
      </w:r>
      <w:r>
        <w:rPr>
          <w:rFonts w:ascii="宋体" w:hAnsi="宋体" w:cs="宋体" w:hint="eastAsia"/>
          <w:szCs w:val="24"/>
        </w:rPr>
        <w:t>台脉冲袋式除尘器处理，处理后由</w:t>
      </w:r>
      <w:r>
        <w:rPr>
          <w:rFonts w:cs="Times New Roman" w:hint="eastAsia"/>
          <w:szCs w:val="24"/>
        </w:rPr>
        <w:t>15m</w:t>
      </w:r>
      <w:r>
        <w:rPr>
          <w:rFonts w:ascii="宋体" w:hAnsi="宋体" w:cs="宋体" w:hint="eastAsia"/>
          <w:szCs w:val="24"/>
        </w:rPr>
        <w:t>高排气筒排放，排放废气能达到《水泥工业大气污染物排放标准》（</w:t>
      </w:r>
      <w:r>
        <w:rPr>
          <w:rFonts w:cs="Times New Roman" w:hint="eastAsia"/>
          <w:szCs w:val="24"/>
        </w:rPr>
        <w:t>GB4915-2013</w:t>
      </w:r>
      <w:r>
        <w:rPr>
          <w:rFonts w:ascii="宋体" w:hAnsi="宋体" w:cs="宋体" w:hint="eastAsia"/>
          <w:szCs w:val="24"/>
        </w:rPr>
        <w:t>）表</w:t>
      </w:r>
      <w:r>
        <w:rPr>
          <w:rFonts w:cs="Times New Roman" w:hint="eastAsia"/>
          <w:szCs w:val="24"/>
        </w:rPr>
        <w:t>2</w:t>
      </w:r>
      <w:r>
        <w:rPr>
          <w:rFonts w:ascii="宋体" w:hAnsi="宋体" w:cs="宋体" w:hint="eastAsia"/>
          <w:szCs w:val="24"/>
        </w:rPr>
        <w:t>中特别排放限值要求。采取上述措施后，破碎场地粉尘产生量较小，项目采取的措施是可行的。</w:t>
      </w:r>
    </w:p>
    <w:p w14:paraId="4691ED6C" w14:textId="77777777" w:rsidR="00E579B9" w:rsidRDefault="006A1398">
      <w:pPr>
        <w:widowControl w:val="0"/>
        <w:spacing w:line="520" w:lineRule="exact"/>
        <w:jc w:val="both"/>
        <w:rPr>
          <w:rFonts w:cs="Times New Roman"/>
          <w:szCs w:val="24"/>
        </w:rPr>
      </w:pPr>
      <w:r>
        <w:rPr>
          <w:rFonts w:ascii="宋体" w:hAnsi="宋体" w:cs="Times New Roman" w:hint="eastAsia"/>
          <w:szCs w:val="24"/>
        </w:rPr>
        <w:t>（</w:t>
      </w:r>
      <w:r>
        <w:rPr>
          <w:rFonts w:cs="Times New Roman" w:hint="eastAsia"/>
          <w:szCs w:val="24"/>
        </w:rPr>
        <w:t>3</w:t>
      </w:r>
      <w:r>
        <w:rPr>
          <w:rFonts w:ascii="宋体" w:hAnsi="宋体" w:cs="Times New Roman" w:hint="eastAsia"/>
          <w:szCs w:val="24"/>
        </w:rPr>
        <w:t>）装卸和运输粉尘</w:t>
      </w:r>
    </w:p>
    <w:p w14:paraId="674E2C90" w14:textId="77777777" w:rsidR="00E579B9" w:rsidRDefault="006A1398">
      <w:pPr>
        <w:widowControl w:val="0"/>
        <w:spacing w:line="520" w:lineRule="exact"/>
        <w:jc w:val="both"/>
        <w:rPr>
          <w:rFonts w:cs="Times New Roman"/>
          <w:szCs w:val="24"/>
        </w:rPr>
      </w:pPr>
      <w:r>
        <w:rPr>
          <w:rFonts w:cs="Times New Roman" w:hint="eastAsia"/>
          <w:szCs w:val="24"/>
        </w:rPr>
        <w:t>①矿石装卸粉尘</w:t>
      </w:r>
    </w:p>
    <w:p w14:paraId="3D107278" w14:textId="77777777" w:rsidR="00E579B9" w:rsidRDefault="006A1398">
      <w:pPr>
        <w:widowControl w:val="0"/>
        <w:spacing w:line="520" w:lineRule="exact"/>
        <w:jc w:val="both"/>
        <w:rPr>
          <w:rFonts w:cs="Times New Roman"/>
          <w:szCs w:val="24"/>
        </w:rPr>
      </w:pPr>
      <w:r>
        <w:rPr>
          <w:rFonts w:ascii="宋体" w:hAnsi="宋体" w:cs="宋体"/>
          <w:szCs w:val="24"/>
        </w:rPr>
        <w:t>矿石在装卸过程中不可避免会产生少量扬尘，由于矿石为凿岩的大块矿石，一般起尘量很小。评价建议装矿时尽量降低物料落差，矿石不高于车厢，装载完毕后及时用篷布覆盖，矿石装车时利用雾炮车喷雾洒水抑尘，可使粉尘排放量降低</w:t>
      </w:r>
      <w:r>
        <w:rPr>
          <w:rFonts w:cs="宋体"/>
          <w:szCs w:val="24"/>
        </w:rPr>
        <w:t>80%</w:t>
      </w:r>
      <w:r>
        <w:rPr>
          <w:rFonts w:ascii="宋体" w:hAnsi="宋体" w:cs="宋体"/>
          <w:szCs w:val="24"/>
        </w:rPr>
        <w:t>，从而减少装卸扬尘的影响。</w:t>
      </w:r>
    </w:p>
    <w:p w14:paraId="3B043D7C" w14:textId="77777777" w:rsidR="00E579B9" w:rsidRDefault="006A1398">
      <w:pPr>
        <w:widowControl w:val="0"/>
        <w:spacing w:line="520" w:lineRule="exact"/>
        <w:jc w:val="both"/>
        <w:rPr>
          <w:rFonts w:cs="Times New Roman"/>
          <w:szCs w:val="24"/>
        </w:rPr>
      </w:pPr>
      <w:r>
        <w:rPr>
          <w:rFonts w:cs="Times New Roman" w:hint="eastAsia"/>
          <w:szCs w:val="24"/>
        </w:rPr>
        <w:lastRenderedPageBreak/>
        <w:t>②运输扬尘</w:t>
      </w:r>
    </w:p>
    <w:p w14:paraId="2CB79A5C" w14:textId="77777777" w:rsidR="00E579B9" w:rsidRDefault="006A1398">
      <w:pPr>
        <w:widowControl w:val="0"/>
        <w:spacing w:line="520" w:lineRule="exact"/>
        <w:jc w:val="both"/>
        <w:rPr>
          <w:rFonts w:cs="Times New Roman"/>
          <w:szCs w:val="24"/>
        </w:rPr>
      </w:pPr>
      <w:r>
        <w:rPr>
          <w:rFonts w:ascii="宋体" w:hAnsi="宋体" w:cs="宋体" w:hint="eastAsia"/>
          <w:szCs w:val="24"/>
        </w:rPr>
        <w:t>为减轻车辆扬尘污染，评价要求对运矿道路定期清扫、洒水，并对运输的矿石进行遮盖，装卸作业面洒水降尘，尽量降低物料落差。粉状物料外运采用密闭罐车运输或加湿后运输；其他成品外运车辆采用箱式并加盖篷布以防止物料洒落，严禁石料超出箱板。厂区出入口附近应修建车辆自动清洗装置，对进出厂车辆轮胎进行清洗。以有效减轻运输扬尘污染。采取以上措施后，可降低</w:t>
      </w:r>
      <w:r>
        <w:rPr>
          <w:rFonts w:cs="宋体"/>
          <w:szCs w:val="24"/>
        </w:rPr>
        <w:t>80%</w:t>
      </w:r>
      <w:r>
        <w:rPr>
          <w:rFonts w:ascii="宋体" w:hAnsi="宋体" w:cs="宋体" w:hint="eastAsia"/>
          <w:szCs w:val="24"/>
        </w:rPr>
        <w:t>起尘量。</w:t>
      </w:r>
    </w:p>
    <w:p w14:paraId="1AA98CDF" w14:textId="77777777" w:rsidR="00E579B9" w:rsidRDefault="006A1398">
      <w:pPr>
        <w:widowControl w:val="0"/>
        <w:spacing w:line="480" w:lineRule="exact"/>
        <w:jc w:val="both"/>
        <w:rPr>
          <w:rFonts w:cs="Times New Roman"/>
          <w:color w:val="000000"/>
          <w:szCs w:val="24"/>
        </w:rPr>
      </w:pPr>
      <w:r>
        <w:rPr>
          <w:rFonts w:ascii="宋体" w:hAnsi="宋体" w:cs="Times New Roman"/>
          <w:color w:val="000000"/>
          <w:szCs w:val="24"/>
        </w:rPr>
        <w:t>（</w:t>
      </w:r>
      <w:r>
        <w:rPr>
          <w:rFonts w:cs="Times New Roman"/>
          <w:color w:val="000000"/>
          <w:szCs w:val="24"/>
        </w:rPr>
        <w:t>4</w:t>
      </w:r>
      <w:r>
        <w:rPr>
          <w:rFonts w:ascii="宋体" w:hAnsi="宋体" w:cs="Times New Roman"/>
          <w:color w:val="000000"/>
          <w:szCs w:val="24"/>
        </w:rPr>
        <w:t>）堆场扬尘</w:t>
      </w:r>
    </w:p>
    <w:p w14:paraId="758E0B7E" w14:textId="77777777" w:rsidR="00E579B9" w:rsidRDefault="006A1398">
      <w:pPr>
        <w:widowControl w:val="0"/>
        <w:spacing w:line="480" w:lineRule="exact"/>
        <w:jc w:val="both"/>
        <w:rPr>
          <w:rFonts w:cs="Times New Roman"/>
          <w:szCs w:val="24"/>
        </w:rPr>
      </w:pPr>
      <w:r>
        <w:rPr>
          <w:rFonts w:ascii="宋体" w:hAnsi="宋体" w:cs="Times New Roman"/>
          <w:szCs w:val="24"/>
        </w:rPr>
        <w:t>项目开采出的</w:t>
      </w:r>
      <w:r>
        <w:rPr>
          <w:rFonts w:ascii="宋体" w:hAnsi="宋体" w:cs="Times New Roman" w:hint="eastAsia"/>
          <w:szCs w:val="24"/>
        </w:rPr>
        <w:t>矿石及时外运，不在矿区内设置矿石临时堆场</w:t>
      </w:r>
      <w:r>
        <w:rPr>
          <w:rFonts w:ascii="宋体" w:hAnsi="宋体" w:cs="Times New Roman"/>
          <w:szCs w:val="24"/>
        </w:rPr>
        <w:t>。矿区堆场扬尘主要来自表土临时堆场，用于堆存项目基建剥离</w:t>
      </w:r>
      <w:r>
        <w:rPr>
          <w:rFonts w:ascii="宋体" w:hAnsi="宋体" w:cs="Times New Roman" w:hint="eastAsia"/>
          <w:szCs w:val="24"/>
        </w:rPr>
        <w:t>和运营期剥离表土</w:t>
      </w:r>
      <w:r>
        <w:rPr>
          <w:rFonts w:ascii="宋体" w:hAnsi="宋体" w:cs="Times New Roman"/>
          <w:szCs w:val="24"/>
        </w:rPr>
        <w:t>。</w:t>
      </w:r>
    </w:p>
    <w:p w14:paraId="655BE1B9" w14:textId="77777777" w:rsidR="00E579B9" w:rsidRDefault="006A1398">
      <w:pPr>
        <w:adjustRightInd w:val="0"/>
        <w:snapToGrid w:val="0"/>
        <w:spacing w:line="480" w:lineRule="exact"/>
        <w:jc w:val="both"/>
        <w:rPr>
          <w:rFonts w:ascii="仿宋_GB2312" w:eastAsia="仿宋_GB2312" w:hAnsi="宋体" w:cs="宋体"/>
          <w:bCs/>
          <w:szCs w:val="24"/>
        </w:rPr>
      </w:pPr>
      <w:r>
        <w:rPr>
          <w:rFonts w:ascii="宋体" w:hAnsi="宋体" w:cs="宋体" w:hint="eastAsia"/>
          <w:bCs/>
          <w:szCs w:val="24"/>
        </w:rPr>
        <w:t>评价建议在堆场排土处安装洒水喷头，定时洒水，一般每天喷洒</w:t>
      </w:r>
      <w:r>
        <w:rPr>
          <w:rFonts w:ascii="仿宋_GB2312" w:eastAsia="仿宋_GB2312" w:hAnsi="宋体" w:cs="宋体" w:hint="eastAsia"/>
          <w:bCs/>
          <w:szCs w:val="24"/>
        </w:rPr>
        <w:t>5-8</w:t>
      </w:r>
      <w:r>
        <w:rPr>
          <w:rFonts w:ascii="宋体" w:hAnsi="宋体" w:cs="宋体" w:hint="eastAsia"/>
          <w:bCs/>
          <w:szCs w:val="24"/>
        </w:rPr>
        <w:t>次，每次</w:t>
      </w:r>
      <w:r>
        <w:rPr>
          <w:rFonts w:ascii="仿宋_GB2312" w:eastAsia="仿宋_GB2312" w:hAnsi="宋体" w:cs="宋体" w:hint="eastAsia"/>
          <w:bCs/>
          <w:szCs w:val="24"/>
        </w:rPr>
        <w:t>2-3</w:t>
      </w:r>
      <w:r>
        <w:rPr>
          <w:rFonts w:ascii="宋体" w:hAnsi="宋体" w:cs="宋体" w:hint="eastAsia"/>
          <w:bCs/>
          <w:szCs w:val="24"/>
        </w:rPr>
        <w:t>分钟，使堆场表面保持一定水分，覆盖防风抑尘网，播撒草籽，以控制粉尘。采取以上措施后，可有效减少堆场扬尘产生量。措施满足《关于加强矿山采（选）矿扬尘综合治理的通知》（豫环文[2015]107号）和《关于印发驻马店市矿山企业综合整治专项行动方案的通知》等相关要求。表土临时堆场粉尘最大落地浓度满足《大气污染物综合排放标准》（</w:t>
      </w:r>
      <w:r>
        <w:rPr>
          <w:rFonts w:ascii="仿宋_GB2312" w:eastAsia="仿宋_GB2312" w:hAnsi="宋体" w:cs="宋体" w:hint="eastAsia"/>
          <w:bCs/>
          <w:szCs w:val="24"/>
        </w:rPr>
        <w:t>GB16297-1996</w:t>
      </w:r>
      <w:r>
        <w:rPr>
          <w:rFonts w:ascii="宋体" w:hAnsi="宋体" w:cs="宋体" w:hint="eastAsia"/>
          <w:bCs/>
          <w:szCs w:val="24"/>
        </w:rPr>
        <w:t>）表</w:t>
      </w:r>
      <w:r>
        <w:rPr>
          <w:rFonts w:ascii="仿宋_GB2312" w:eastAsia="仿宋_GB2312" w:hAnsi="宋体" w:cs="宋体" w:hint="eastAsia"/>
          <w:bCs/>
          <w:szCs w:val="24"/>
        </w:rPr>
        <w:t>2</w:t>
      </w:r>
      <w:r>
        <w:rPr>
          <w:rFonts w:ascii="宋体" w:hAnsi="宋体" w:cs="宋体" w:hint="eastAsia"/>
          <w:bCs/>
          <w:szCs w:val="24"/>
        </w:rPr>
        <w:t>二级标准（无组织排放边界浓度</w:t>
      </w:r>
      <w:r>
        <w:rPr>
          <w:rFonts w:ascii="仿宋_GB2312" w:eastAsia="仿宋_GB2312" w:hAnsi="宋体" w:cs="宋体" w:hint="eastAsia"/>
          <w:bCs/>
          <w:szCs w:val="24"/>
        </w:rPr>
        <w:t>1mg/Nm</w:t>
      </w:r>
      <w:r>
        <w:rPr>
          <w:rFonts w:ascii="宋体" w:hAnsi="宋体" w:cs="宋体" w:hint="eastAsia"/>
          <w:bCs/>
          <w:szCs w:val="24"/>
          <w:vertAlign w:val="superscript"/>
        </w:rPr>
        <w:t>3</w:t>
      </w:r>
      <w:r>
        <w:rPr>
          <w:rFonts w:ascii="宋体" w:hAnsi="宋体" w:cs="宋体" w:hint="eastAsia"/>
          <w:bCs/>
          <w:szCs w:val="24"/>
        </w:rPr>
        <w:t>）要求，对附近村庄的贡献值远小于《环境空气质量标准》（GB3095-2012）二级标准要求，对村庄影响很小，措施可行。</w:t>
      </w:r>
    </w:p>
    <w:p w14:paraId="10EF6747" w14:textId="77777777" w:rsidR="00E579B9" w:rsidRDefault="006A1398">
      <w:pPr>
        <w:pStyle w:val="3"/>
        <w:ind w:firstLine="560"/>
      </w:pPr>
      <w:bookmarkStart w:id="444" w:name="_Toc535847575"/>
      <w:r>
        <w:rPr>
          <w:rFonts w:hint="eastAsia"/>
        </w:rPr>
        <w:t>7.2</w:t>
      </w:r>
      <w:r>
        <w:t>.2</w:t>
      </w:r>
      <w:r>
        <w:rPr>
          <w:rFonts w:hint="eastAsia"/>
        </w:rPr>
        <w:t>营运期</w:t>
      </w:r>
      <w:r>
        <w:t>水污染防治措施</w:t>
      </w:r>
      <w:bookmarkEnd w:id="444"/>
    </w:p>
    <w:p w14:paraId="4B59C5F1" w14:textId="77777777" w:rsidR="00E579B9" w:rsidRDefault="006A1398">
      <w:r>
        <w:rPr>
          <w:rFonts w:hint="eastAsia"/>
        </w:rPr>
        <w:t>矿区运营期主要废水是初期大气降水和生活污水。</w:t>
      </w:r>
    </w:p>
    <w:p w14:paraId="4E0B7C67" w14:textId="77777777" w:rsidR="00E579B9" w:rsidRDefault="006A1398">
      <w:pPr>
        <w:pStyle w:val="af3"/>
        <w:numPr>
          <w:ilvl w:val="0"/>
          <w:numId w:val="10"/>
        </w:numPr>
        <w:ind w:firstLineChars="0"/>
      </w:pPr>
      <w:r>
        <w:t>露天采场</w:t>
      </w:r>
      <w:r>
        <w:rPr>
          <w:rFonts w:hint="eastAsia"/>
        </w:rPr>
        <w:t>初期雨水</w:t>
      </w:r>
    </w:p>
    <w:p w14:paraId="29B04AB2" w14:textId="77777777" w:rsidR="00E579B9" w:rsidRDefault="006A1398">
      <w:pPr>
        <w:pStyle w:val="af4"/>
        <w:ind w:firstLineChars="201" w:firstLine="482"/>
        <w:rPr>
          <w:rFonts w:eastAsia="宋体"/>
          <w:sz w:val="24"/>
          <w:szCs w:val="24"/>
        </w:rPr>
      </w:pPr>
      <w:r>
        <w:rPr>
          <w:rFonts w:ascii="宋体" w:eastAsia="宋体" w:hAnsi="宋体" w:hint="eastAsia"/>
          <w:sz w:val="24"/>
          <w:szCs w:val="24"/>
        </w:rPr>
        <w:t>开采境界外围修建截水沟，拦截流入露采区的雨水排水沟；露采场设排水沟，末端设沉淀池，初期雨水经排水沟汇流至末端沉淀池，经沉淀后回用于生产，不外排，沉淀池容积为</w:t>
      </w:r>
      <w:r>
        <w:rPr>
          <w:rFonts w:eastAsia="宋体" w:hint="eastAsia"/>
          <w:color w:val="auto"/>
          <w:sz w:val="24"/>
          <w:szCs w:val="24"/>
        </w:rPr>
        <w:t>400m</w:t>
      </w:r>
      <w:r>
        <w:rPr>
          <w:rFonts w:eastAsia="宋体" w:hint="eastAsia"/>
          <w:color w:val="auto"/>
          <w:sz w:val="24"/>
          <w:szCs w:val="24"/>
          <w:vertAlign w:val="superscript"/>
        </w:rPr>
        <w:t>3</w:t>
      </w:r>
      <w:r>
        <w:rPr>
          <w:rFonts w:ascii="宋体" w:eastAsia="宋体" w:hAnsi="宋体" w:hint="eastAsia"/>
          <w:color w:val="auto"/>
          <w:sz w:val="24"/>
          <w:szCs w:val="24"/>
        </w:rPr>
        <w:t>，</w:t>
      </w:r>
      <w:r>
        <w:rPr>
          <w:rFonts w:ascii="宋体" w:eastAsia="宋体" w:hAnsi="宋体" w:hint="eastAsia"/>
          <w:sz w:val="24"/>
          <w:szCs w:val="24"/>
        </w:rPr>
        <w:t>可满足初期雨水收集沉淀需求，措施可行</w:t>
      </w:r>
    </w:p>
    <w:p w14:paraId="6B2E48E2" w14:textId="77777777" w:rsidR="00E579B9" w:rsidRDefault="006A1398">
      <w:r>
        <w:t>（</w:t>
      </w:r>
      <w:r>
        <w:rPr>
          <w:rFonts w:hint="eastAsia"/>
        </w:rPr>
        <w:t>2</w:t>
      </w:r>
      <w:r>
        <w:t>）生活污水</w:t>
      </w:r>
    </w:p>
    <w:p w14:paraId="69AEE51C" w14:textId="77777777" w:rsidR="00E579B9" w:rsidRDefault="006A1398">
      <w:r>
        <w:rPr>
          <w:rFonts w:hint="eastAsia"/>
        </w:rPr>
        <w:t>本项目</w:t>
      </w:r>
      <w:r>
        <w:t>生活污水经</w:t>
      </w:r>
      <w:r>
        <w:rPr>
          <w:rFonts w:hint="eastAsia"/>
        </w:rPr>
        <w:t>厂区内</w:t>
      </w:r>
      <w:r>
        <w:rPr>
          <w:rFonts w:hint="eastAsia"/>
        </w:rPr>
        <w:t>10m</w:t>
      </w:r>
      <w:r>
        <w:rPr>
          <w:vertAlign w:val="superscript"/>
        </w:rPr>
        <w:t>3</w:t>
      </w:r>
      <w:r>
        <w:rPr>
          <w:rFonts w:hint="eastAsia"/>
          <w:bCs/>
        </w:rPr>
        <w:t>一体化污水处理设施处理后</w:t>
      </w:r>
      <w:r>
        <w:t>用于厂区洒水降尘，</w:t>
      </w:r>
      <w:r>
        <w:rPr>
          <w:rFonts w:hint="eastAsia"/>
        </w:rPr>
        <w:t>不外排，</w:t>
      </w:r>
      <w:r>
        <w:t>旱厕粪污由附近村民拉走用于</w:t>
      </w:r>
      <w:r>
        <w:rPr>
          <w:rFonts w:hint="eastAsia"/>
        </w:rPr>
        <w:t>肥田。</w:t>
      </w:r>
    </w:p>
    <w:p w14:paraId="7598494C" w14:textId="77777777" w:rsidR="00E579B9" w:rsidRDefault="006A1398">
      <w:pPr>
        <w:rPr>
          <w:rFonts w:ascii="宋体" w:hAnsi="宋体" w:cs="Times New Roman"/>
          <w:szCs w:val="24"/>
        </w:rPr>
      </w:pPr>
      <w:r>
        <w:rPr>
          <w:rFonts w:ascii="宋体" w:hAnsi="宋体" w:cs="Times New Roman" w:hint="eastAsia"/>
          <w:szCs w:val="24"/>
        </w:rPr>
        <w:lastRenderedPageBreak/>
        <w:t>（3）</w:t>
      </w:r>
      <w:r>
        <w:rPr>
          <w:rFonts w:ascii="宋体" w:hAnsi="宋体" w:cs="Times New Roman"/>
          <w:szCs w:val="24"/>
        </w:rPr>
        <w:t>生产废水</w:t>
      </w:r>
    </w:p>
    <w:p w14:paraId="6E40D88D" w14:textId="77777777" w:rsidR="00E579B9" w:rsidRDefault="006A1398">
      <w:pPr>
        <w:rPr>
          <w:rFonts w:cs="Times New Roman"/>
          <w:szCs w:val="24"/>
        </w:rPr>
      </w:pPr>
      <w:r>
        <w:rPr>
          <w:rFonts w:ascii="宋体" w:hAnsi="宋体" w:cs="Times New Roman"/>
          <w:szCs w:val="24"/>
        </w:rPr>
        <w:t>本工程营运过程采区、破碎场地</w:t>
      </w:r>
      <w:r>
        <w:rPr>
          <w:rFonts w:ascii="宋体" w:hAnsi="宋体" w:cs="Times New Roman" w:hint="eastAsia"/>
          <w:szCs w:val="24"/>
        </w:rPr>
        <w:t>、</w:t>
      </w:r>
      <w:r>
        <w:rPr>
          <w:rFonts w:ascii="宋体" w:hAnsi="宋体" w:cs="Times New Roman"/>
          <w:szCs w:val="24"/>
        </w:rPr>
        <w:t>运矿道路降尘洒水随空气蒸发，无生产废水外排。车辆冲洗装置废水经自带的</w:t>
      </w:r>
      <w:r>
        <w:rPr>
          <w:rFonts w:cs="Times New Roman" w:hint="eastAsia"/>
          <w:szCs w:val="24"/>
        </w:rPr>
        <w:t>5</w:t>
      </w:r>
      <w:r>
        <w:rPr>
          <w:rFonts w:cs="Times New Roman"/>
          <w:szCs w:val="24"/>
        </w:rPr>
        <w:t>m</w:t>
      </w:r>
      <w:r>
        <w:rPr>
          <w:rFonts w:cs="Times New Roman"/>
          <w:szCs w:val="24"/>
          <w:vertAlign w:val="superscript"/>
        </w:rPr>
        <w:t>3</w:t>
      </w:r>
      <w:r>
        <w:rPr>
          <w:rFonts w:ascii="宋体" w:hAnsi="宋体" w:cs="Times New Roman" w:hint="eastAsia"/>
          <w:szCs w:val="24"/>
        </w:rPr>
        <w:t>的沉淀池沉淀后循环利用，不排放。</w:t>
      </w:r>
    </w:p>
    <w:p w14:paraId="48C08173" w14:textId="77777777" w:rsidR="00E579B9" w:rsidRDefault="006A1398">
      <w:r>
        <w:rPr>
          <w:rFonts w:hint="eastAsia"/>
        </w:rPr>
        <w:t>采取</w:t>
      </w:r>
      <w:r>
        <w:t>以上措施后，项目运营期废水对周围水环境影响较小，措施可行。</w:t>
      </w:r>
    </w:p>
    <w:p w14:paraId="1C32E5BB" w14:textId="77777777" w:rsidR="00E579B9" w:rsidRDefault="006A1398">
      <w:pPr>
        <w:pStyle w:val="3"/>
        <w:ind w:firstLine="560"/>
      </w:pPr>
      <w:bookmarkStart w:id="445" w:name="_Toc535847576"/>
      <w:r>
        <w:rPr>
          <w:rFonts w:hint="eastAsia"/>
        </w:rPr>
        <w:t>7.2</w:t>
      </w:r>
      <w:r>
        <w:t>.3</w:t>
      </w:r>
      <w:r>
        <w:rPr>
          <w:rFonts w:hint="eastAsia"/>
        </w:rPr>
        <w:t>营运期</w:t>
      </w:r>
      <w:r>
        <w:t>噪声污染防治措施</w:t>
      </w:r>
      <w:bookmarkEnd w:id="445"/>
    </w:p>
    <w:p w14:paraId="67A3FF50" w14:textId="77777777" w:rsidR="00E579B9" w:rsidRDefault="006A1398">
      <w:bookmarkStart w:id="446" w:name="_Toc535847577"/>
      <w:r>
        <w:rPr>
          <w:rFonts w:hint="eastAsia"/>
        </w:rPr>
        <w:t>项目噪声源主要来源于露采区生产噪声、破碎</w:t>
      </w:r>
      <w:r>
        <w:t>加工区</w:t>
      </w:r>
      <w:r>
        <w:rPr>
          <w:rFonts w:hint="eastAsia"/>
        </w:rPr>
        <w:t>生产</w:t>
      </w:r>
      <w:r>
        <w:t>噪声、</w:t>
      </w:r>
      <w:r>
        <w:rPr>
          <w:rFonts w:hint="eastAsia"/>
        </w:rPr>
        <w:t>车辆运输噪声等。</w:t>
      </w:r>
    </w:p>
    <w:p w14:paraId="19868BBD" w14:textId="77777777" w:rsidR="00E579B9" w:rsidRDefault="006A1398">
      <w:r>
        <w:t>7.2.3.1</w:t>
      </w:r>
      <w:r>
        <w:rPr>
          <w:rFonts w:hint="eastAsia"/>
        </w:rPr>
        <w:t>露采区生产噪声污染防治措施</w:t>
      </w:r>
    </w:p>
    <w:p w14:paraId="59AB85CF" w14:textId="77777777" w:rsidR="00E579B9" w:rsidRDefault="006A1398">
      <w:r>
        <w:t>1</w:t>
      </w:r>
      <w:r>
        <w:rPr>
          <w:rFonts w:hint="eastAsia"/>
        </w:rPr>
        <w:t>、采区设备噪声</w:t>
      </w:r>
    </w:p>
    <w:p w14:paraId="2439403A" w14:textId="77777777" w:rsidR="00E579B9" w:rsidRDefault="006A1398">
      <w:r>
        <w:rPr>
          <w:rFonts w:hint="eastAsia"/>
        </w:rPr>
        <w:t>露采区采矿噪声源主要为各种杋械设备（挖掘机、装载机、推土机液压碎石机等）产生的噪声。</w:t>
      </w:r>
    </w:p>
    <w:p w14:paraId="4361A55F" w14:textId="77777777" w:rsidR="00E579B9" w:rsidRDefault="006A1398">
      <w:pPr>
        <w:ind w:firstLine="548"/>
      </w:pPr>
      <w:r>
        <w:rPr>
          <w:rFonts w:hint="eastAsia"/>
          <w:spacing w:val="17"/>
        </w:rPr>
        <w:t>根据预测分析，</w:t>
      </w:r>
      <w:r>
        <w:rPr>
          <w:rFonts w:hint="eastAsia"/>
          <w:spacing w:val="18"/>
        </w:rPr>
        <w:t>矿区边界噪声可以达到《</w:t>
      </w:r>
      <w:r>
        <w:rPr>
          <w:rFonts w:hint="eastAsia"/>
          <w:spacing w:val="19"/>
        </w:rPr>
        <w:t>工业企业厂界环境噪声排放标准》</w:t>
      </w:r>
      <w:r>
        <w:rPr>
          <w:rFonts w:hint="eastAsia"/>
        </w:rPr>
        <w:t>（</w:t>
      </w:r>
      <w:r>
        <w:t>GB12348-2008</w:t>
      </w:r>
      <w:r>
        <w:rPr>
          <w:rFonts w:hint="eastAsia"/>
        </w:rPr>
        <w:t>）</w:t>
      </w:r>
      <w:r>
        <w:t>2</w:t>
      </w:r>
      <w:r>
        <w:rPr>
          <w:rFonts w:hint="eastAsia"/>
          <w:spacing w:val="-3"/>
        </w:rPr>
        <w:t>类标准（昼间</w:t>
      </w:r>
      <w:r>
        <w:t>60dB</w:t>
      </w:r>
      <w:r>
        <w:rPr>
          <w:rFonts w:hint="eastAsia"/>
        </w:rPr>
        <w:t>（</w:t>
      </w:r>
      <w:r>
        <w:t>A</w:t>
      </w:r>
      <w:r>
        <w:rPr>
          <w:rFonts w:hint="eastAsia"/>
        </w:rPr>
        <w:t>）的要求。矿区周边敏感点均能达到《声环境质量标准》（</w:t>
      </w:r>
      <w:r>
        <w:t>GB30296-2008</w:t>
      </w:r>
      <w:r>
        <w:rPr>
          <w:rFonts w:hint="eastAsia"/>
        </w:rPr>
        <w:t>）中</w:t>
      </w:r>
      <w:r>
        <w:t>2</w:t>
      </w:r>
      <w:r>
        <w:rPr>
          <w:rFonts w:hint="eastAsia"/>
          <w:spacing w:val="2"/>
        </w:rPr>
        <w:t>类标准的要求，采区设备噪声</w:t>
      </w:r>
      <w:r>
        <w:rPr>
          <w:rFonts w:hint="eastAsia"/>
        </w:rPr>
        <w:t>对周围敏感点影响较小，措施可行。</w:t>
      </w:r>
    </w:p>
    <w:p w14:paraId="1411FF1D" w14:textId="77777777" w:rsidR="00E579B9" w:rsidRDefault="006A1398">
      <w:r>
        <w:t>2</w:t>
      </w:r>
      <w:r>
        <w:rPr>
          <w:rFonts w:hint="eastAsia"/>
        </w:rPr>
        <w:t>、爆破噪声</w:t>
      </w:r>
    </w:p>
    <w:p w14:paraId="1174A799" w14:textId="77777777" w:rsidR="00E579B9" w:rsidRDefault="006A1398">
      <w:pPr>
        <w:pStyle w:val="226"/>
        <w:rPr>
          <w:rFonts w:ascii="宋体" w:hAnsi="宋体" w:cs="Times New Roman"/>
        </w:rPr>
      </w:pPr>
      <w:r>
        <w:rPr>
          <w:rFonts w:hint="eastAsia"/>
        </w:rPr>
        <w:t>爆破时产生的噪声，据同类矿山测定，距爆破源</w:t>
      </w:r>
      <w:r>
        <w:t>20m</w:t>
      </w:r>
      <w:r>
        <w:rPr>
          <w:rFonts w:hint="eastAsia"/>
        </w:rPr>
        <w:t>处，其声压级为</w:t>
      </w:r>
      <w:r>
        <w:t>85dB</w:t>
      </w:r>
      <w:r>
        <w:rPr>
          <w:rFonts w:hint="eastAsia"/>
        </w:rPr>
        <w:t>：距爆破源</w:t>
      </w:r>
      <w:r>
        <w:t>200m</w:t>
      </w:r>
      <w:r>
        <w:rPr>
          <w:rFonts w:hint="eastAsia"/>
        </w:rPr>
        <w:t>处，其声压级可降至</w:t>
      </w:r>
      <w:r>
        <w:t>65dB</w:t>
      </w:r>
      <w:r>
        <w:rPr>
          <w:rFonts w:hint="eastAsia"/>
        </w:rPr>
        <w:t>以下，本项目每</w:t>
      </w:r>
      <w:r>
        <w:t>7</w:t>
      </w:r>
      <w:r>
        <w:rPr>
          <w:rFonts w:hint="eastAsia"/>
        </w:rPr>
        <w:t>天爆破一次，爆破时段通过告示告知周边居民，以减少爆破噪声对周边的不利影响。</w:t>
      </w:r>
      <w:r>
        <w:rPr>
          <w:rFonts w:ascii="宋体" w:hAnsi="宋体" w:cs="Times New Roman"/>
        </w:rPr>
        <w:t>采区爆破噪声为瞬时性噪声，项目开采区周围</w:t>
      </w:r>
      <w:r>
        <w:rPr>
          <w:rFonts w:cs="Times New Roman"/>
        </w:rPr>
        <w:t>200m</w:t>
      </w:r>
      <w:r>
        <w:rPr>
          <w:rFonts w:ascii="宋体" w:hAnsi="宋体" w:cs="Times New Roman"/>
        </w:rPr>
        <w:t>范围内没有村庄等环境敏感点，经距离衰减或山体阻隔衰减后，爆破的噪声对周围声环境的影响是可以接受的，评价建议企业与周围居民协调好爆破时间并提前通知，尽量避开居民休息时间。</w:t>
      </w:r>
    </w:p>
    <w:p w14:paraId="434E4491" w14:textId="77777777" w:rsidR="00E579B9" w:rsidRDefault="006A1398">
      <w:r>
        <w:t>7.2.3.2</w:t>
      </w:r>
      <w:r>
        <w:rPr>
          <w:rFonts w:hint="eastAsia"/>
        </w:rPr>
        <w:t>破碎</w:t>
      </w:r>
      <w:r>
        <w:t>加工区</w:t>
      </w:r>
      <w:r>
        <w:rPr>
          <w:rFonts w:hint="eastAsia"/>
        </w:rPr>
        <w:t>设备噪声</w:t>
      </w:r>
    </w:p>
    <w:p w14:paraId="2CA93A0E" w14:textId="77777777" w:rsidR="00E579B9" w:rsidRDefault="006A1398">
      <w:r>
        <w:rPr>
          <w:rFonts w:hint="eastAsia"/>
        </w:rPr>
        <w:t>破碎</w:t>
      </w:r>
      <w:r>
        <w:t>加工</w:t>
      </w:r>
      <w:r>
        <w:rPr>
          <w:rFonts w:hint="eastAsia"/>
        </w:rPr>
        <w:t>区噪声源主要为各种杋械设备（破碎机</w:t>
      </w:r>
      <w:r>
        <w:t>、筛分机</w:t>
      </w:r>
      <w:r>
        <w:rPr>
          <w:rFonts w:hint="eastAsia"/>
        </w:rPr>
        <w:t>等）产生的噪声。</w:t>
      </w:r>
    </w:p>
    <w:p w14:paraId="7324FA95" w14:textId="77777777" w:rsidR="00E579B9" w:rsidRDefault="006A1398">
      <w:pPr>
        <w:ind w:firstLine="548"/>
      </w:pPr>
      <w:r>
        <w:rPr>
          <w:rFonts w:hint="eastAsia"/>
          <w:spacing w:val="17"/>
        </w:rPr>
        <w:t>根据预测分析，</w:t>
      </w:r>
      <w:r>
        <w:rPr>
          <w:rFonts w:hint="eastAsia"/>
          <w:spacing w:val="18"/>
        </w:rPr>
        <w:t>破碎</w:t>
      </w:r>
      <w:r>
        <w:rPr>
          <w:spacing w:val="18"/>
        </w:rPr>
        <w:t>加工区</w:t>
      </w:r>
      <w:r>
        <w:rPr>
          <w:rFonts w:hint="eastAsia"/>
          <w:spacing w:val="18"/>
        </w:rPr>
        <w:t>边界噪声可以达到《</w:t>
      </w:r>
      <w:r>
        <w:rPr>
          <w:rFonts w:hint="eastAsia"/>
          <w:spacing w:val="19"/>
        </w:rPr>
        <w:t>工业企业厂界环境噪声排放标准》</w:t>
      </w:r>
      <w:r>
        <w:rPr>
          <w:rFonts w:hint="eastAsia"/>
        </w:rPr>
        <w:t>（</w:t>
      </w:r>
      <w:r>
        <w:t>GB12348-2008</w:t>
      </w:r>
      <w:r>
        <w:rPr>
          <w:rFonts w:hint="eastAsia"/>
        </w:rPr>
        <w:t>）</w:t>
      </w:r>
      <w:r>
        <w:t>2</w:t>
      </w:r>
      <w:r>
        <w:rPr>
          <w:rFonts w:hint="eastAsia"/>
          <w:spacing w:val="-3"/>
        </w:rPr>
        <w:t>类标准（昼间</w:t>
      </w:r>
      <w:r>
        <w:t>60dB</w:t>
      </w:r>
      <w:r>
        <w:rPr>
          <w:rFonts w:hint="eastAsia"/>
        </w:rPr>
        <w:t>（</w:t>
      </w:r>
      <w:r>
        <w:t>A</w:t>
      </w:r>
      <w:r>
        <w:rPr>
          <w:rFonts w:hint="eastAsia"/>
        </w:rPr>
        <w:t>）的要求。周边敏感</w:t>
      </w:r>
      <w:r>
        <w:rPr>
          <w:rFonts w:hint="eastAsia"/>
        </w:rPr>
        <w:lastRenderedPageBreak/>
        <w:t>点均能达到《声环境质量标准》（</w:t>
      </w:r>
      <w:r>
        <w:t>GB30296-2008</w:t>
      </w:r>
      <w:r>
        <w:rPr>
          <w:rFonts w:hint="eastAsia"/>
        </w:rPr>
        <w:t>）中</w:t>
      </w:r>
      <w:r>
        <w:t>2</w:t>
      </w:r>
      <w:r>
        <w:rPr>
          <w:rFonts w:hint="eastAsia"/>
          <w:spacing w:val="2"/>
        </w:rPr>
        <w:t>类标准的要求，设备噪声</w:t>
      </w:r>
      <w:r>
        <w:rPr>
          <w:rFonts w:hint="eastAsia"/>
        </w:rPr>
        <w:t>对周围敏感点影响较小，措施可行。</w:t>
      </w:r>
    </w:p>
    <w:p w14:paraId="6CAE1B9D" w14:textId="77777777" w:rsidR="00E579B9" w:rsidRDefault="006A1398">
      <w:r>
        <w:t>7.2.3.3</w:t>
      </w:r>
      <w:r>
        <w:rPr>
          <w:rFonts w:hint="eastAsia"/>
        </w:rPr>
        <w:t>交通噪声影响污染防治措施</w:t>
      </w:r>
    </w:p>
    <w:p w14:paraId="6E664F0B" w14:textId="77777777" w:rsidR="00E579B9" w:rsidRDefault="006A1398">
      <w:pPr>
        <w:ind w:firstLine="472"/>
      </w:pPr>
      <w:r>
        <w:rPr>
          <w:rFonts w:hint="eastAsia"/>
          <w:spacing w:val="-2"/>
        </w:rPr>
        <w:t>矿山为露天开采，开采矿石由自卸汽车运往矿山配套破碎站，经现场调查，本项目</w:t>
      </w:r>
      <w:r>
        <w:rPr>
          <w:rFonts w:hint="eastAsia"/>
        </w:rPr>
        <w:t>开拓公路沿线两侧</w:t>
      </w:r>
      <w:r>
        <w:t>200m</w:t>
      </w:r>
      <w:r>
        <w:rPr>
          <w:rFonts w:hint="eastAsia"/>
        </w:rPr>
        <w:t>范围内无村庄居民评价建议对运输车辆定期进行保养，控制车</w:t>
      </w:r>
      <w:r>
        <w:rPr>
          <w:rFonts w:hint="eastAsia"/>
          <w:spacing w:val="-2"/>
        </w:rPr>
        <w:t>辆荷载，严禁超载，在通过村庄路段减速行驶，禁止鸣笛。采取以上措施后，运矿车辆</w:t>
      </w:r>
      <w:r>
        <w:rPr>
          <w:rFonts w:hint="eastAsia"/>
        </w:rPr>
        <w:t>噪声对沿线居民影响较小，根据预测结果，最近距离敏感点能满足《声环境质量标准》（</w:t>
      </w:r>
      <w:r>
        <w:t>GB30296-2008</w:t>
      </w:r>
      <w:r>
        <w:rPr>
          <w:rFonts w:hint="eastAsia"/>
        </w:rPr>
        <w:t>）中</w:t>
      </w:r>
      <w:r>
        <w:t>2</w:t>
      </w:r>
      <w:r>
        <w:rPr>
          <w:rFonts w:hint="eastAsia"/>
        </w:rPr>
        <w:t>类标准，措施可行。</w:t>
      </w:r>
    </w:p>
    <w:p w14:paraId="65F34052" w14:textId="77777777" w:rsidR="00E579B9" w:rsidRDefault="006A1398">
      <w:pPr>
        <w:pStyle w:val="3"/>
        <w:ind w:firstLine="560"/>
      </w:pPr>
      <w:r>
        <w:rPr>
          <w:rFonts w:hint="eastAsia"/>
        </w:rPr>
        <w:t>7.2</w:t>
      </w:r>
      <w:r>
        <w:t>.4</w:t>
      </w:r>
      <w:r>
        <w:rPr>
          <w:rFonts w:hint="eastAsia"/>
        </w:rPr>
        <w:t>营运期</w:t>
      </w:r>
      <w:r>
        <w:t>固体废弃物治理措施</w:t>
      </w:r>
      <w:bookmarkEnd w:id="446"/>
    </w:p>
    <w:p w14:paraId="3FF77636" w14:textId="77777777" w:rsidR="00E579B9" w:rsidRDefault="006A1398">
      <w:bookmarkStart w:id="447" w:name="_Toc535847578"/>
      <w:r>
        <w:rPr>
          <w:rFonts w:hint="eastAsia"/>
        </w:rPr>
        <w:t>项目运营期的产生的固体废物主要是矿山剥离表土、破碎场地袋式除尘器收集粉尘、生活垃圾。</w:t>
      </w:r>
    </w:p>
    <w:p w14:paraId="137EC917" w14:textId="77777777" w:rsidR="00E579B9" w:rsidRDefault="006A1398">
      <w:pPr>
        <w:rPr>
          <w:szCs w:val="24"/>
        </w:rPr>
      </w:pPr>
      <w:r>
        <w:rPr>
          <w:rFonts w:hint="eastAsia"/>
        </w:rPr>
        <w:t>（</w:t>
      </w:r>
      <w:r>
        <w:rPr>
          <w:rFonts w:hint="eastAsia"/>
        </w:rPr>
        <w:t>1</w:t>
      </w:r>
      <w:r>
        <w:rPr>
          <w:rFonts w:hint="eastAsia"/>
        </w:rPr>
        <w:t>）矿山剥离表土</w:t>
      </w:r>
    </w:p>
    <w:p w14:paraId="01F5382C" w14:textId="77777777" w:rsidR="00E579B9" w:rsidRDefault="006A1398">
      <w:r>
        <w:rPr>
          <w:szCs w:val="24"/>
        </w:rPr>
        <w:t>露天采场开采</w:t>
      </w:r>
      <w:r>
        <w:rPr>
          <w:rFonts w:hint="eastAsia"/>
          <w:szCs w:val="24"/>
        </w:rPr>
        <w:t>实行</w:t>
      </w:r>
      <w:r>
        <w:rPr>
          <w:szCs w:val="24"/>
        </w:rPr>
        <w:t>边</w:t>
      </w:r>
      <w:r>
        <w:rPr>
          <w:rFonts w:hint="eastAsia"/>
          <w:szCs w:val="24"/>
        </w:rPr>
        <w:t>开采</w:t>
      </w:r>
      <w:r>
        <w:rPr>
          <w:szCs w:val="24"/>
        </w:rPr>
        <w:t>边</w:t>
      </w:r>
      <w:r>
        <w:rPr>
          <w:rFonts w:hint="eastAsia"/>
          <w:szCs w:val="24"/>
        </w:rPr>
        <w:t>恢复，项目首采台阶剥离的表土已全部用于采空区的土地复垦，后续开采台阶剥离的少量表土堆存于相邻较高工作面，用于较高工作面的生态恢复，因此项目不设置排土场。</w:t>
      </w:r>
      <w:r>
        <w:rPr>
          <w:rFonts w:hint="eastAsia"/>
        </w:rPr>
        <w:t>剥离表土堆存于表土临时堆场，用于闭矿期覆土绿化。</w:t>
      </w:r>
    </w:p>
    <w:p w14:paraId="3778A808" w14:textId="77777777" w:rsidR="00E579B9" w:rsidRDefault="006A1398">
      <w:r>
        <w:rPr>
          <w:rFonts w:hint="eastAsia"/>
        </w:rPr>
        <w:t>项目运营期内每年表土和废石的产生量约为</w:t>
      </w:r>
      <w:r>
        <w:rPr>
          <w:rFonts w:hint="eastAsia"/>
        </w:rPr>
        <w:t>18.558</w:t>
      </w:r>
      <w:r>
        <w:rPr>
          <w:rFonts w:hint="eastAsia"/>
        </w:rPr>
        <w:t>万</w:t>
      </w:r>
      <w:r>
        <w:rPr>
          <w:rFonts w:hint="eastAsia"/>
        </w:rPr>
        <w:t>t</w:t>
      </w:r>
      <w:r>
        <w:rPr>
          <w:rFonts w:hint="eastAsia"/>
        </w:rPr>
        <w:t>，</w:t>
      </w:r>
      <w:r>
        <w:rPr>
          <w:rStyle w:val="altzTimesNewRomanChar"/>
          <w:rFonts w:hint="eastAsia"/>
        </w:rPr>
        <w:t>按每个月周转一次，</w:t>
      </w:r>
      <w:r>
        <w:rPr>
          <w:rFonts w:hint="eastAsia"/>
        </w:rPr>
        <w:t>每个月周转量约为</w:t>
      </w:r>
      <w:r>
        <w:rPr>
          <w:rFonts w:hint="eastAsia"/>
        </w:rPr>
        <w:t>1.55</w:t>
      </w:r>
      <w:r>
        <w:rPr>
          <w:rFonts w:hint="eastAsia"/>
        </w:rPr>
        <w:t>万</w:t>
      </w:r>
      <w:r>
        <w:t>t(0.58</w:t>
      </w:r>
      <w:r>
        <w:rPr>
          <w:rFonts w:hint="eastAsia"/>
        </w:rPr>
        <w:t>万</w:t>
      </w:r>
      <w:r>
        <w:rPr>
          <w:rFonts w:hint="eastAsia"/>
        </w:rPr>
        <w:t>m</w:t>
      </w:r>
      <w:r>
        <w:rPr>
          <w:vertAlign w:val="superscript"/>
        </w:rPr>
        <w:t>3</w:t>
      </w:r>
      <w:r>
        <w:rPr>
          <w:rFonts w:hint="eastAsia"/>
        </w:rPr>
        <w:t>)</w:t>
      </w:r>
      <w:r>
        <w:rPr>
          <w:rFonts w:hint="eastAsia"/>
        </w:rPr>
        <w:t>。本项目表土场</w:t>
      </w:r>
      <w:r>
        <w:t>设计位于</w:t>
      </w:r>
      <w:r>
        <w:rPr>
          <w:rFonts w:hint="eastAsia"/>
        </w:rPr>
        <w:t>矿区南侧外边界</w:t>
      </w:r>
      <w:r>
        <w:t>，</w:t>
      </w:r>
      <w:r>
        <w:rPr>
          <w:rFonts w:hint="eastAsia"/>
        </w:rPr>
        <w:t>占地面积约为</w:t>
      </w:r>
      <w:r>
        <w:rPr>
          <w:rFonts w:hint="eastAsia"/>
        </w:rPr>
        <w:t>10000m</w:t>
      </w:r>
      <w:r>
        <w:rPr>
          <w:rFonts w:hint="eastAsia"/>
          <w:vertAlign w:val="superscript"/>
        </w:rPr>
        <w:t>2</w:t>
      </w:r>
      <w:r>
        <w:rPr>
          <w:rFonts w:hint="eastAsia"/>
        </w:rPr>
        <w:t>，</w:t>
      </w:r>
      <w:r>
        <w:t>堆存高度</w:t>
      </w:r>
      <w:r>
        <w:rPr>
          <w:rFonts w:hint="eastAsia"/>
        </w:rPr>
        <w:t>最高</w:t>
      </w:r>
      <w:r>
        <w:rPr>
          <w:rFonts w:hint="eastAsia"/>
        </w:rPr>
        <w:t>3</w:t>
      </w:r>
      <w:r>
        <w:t>m</w:t>
      </w:r>
      <w:r>
        <w:t>，</w:t>
      </w:r>
      <w:r>
        <w:rPr>
          <w:rFonts w:hint="eastAsia"/>
        </w:rPr>
        <w:t>设计</w:t>
      </w:r>
      <w:r>
        <w:t>容量约</w:t>
      </w:r>
      <w:r>
        <w:rPr>
          <w:rFonts w:hint="eastAsia"/>
        </w:rPr>
        <w:t>2.5</w:t>
      </w:r>
      <w:r>
        <w:t>万</w:t>
      </w:r>
      <w:r>
        <w:t>m</w:t>
      </w:r>
      <w:r>
        <w:rPr>
          <w:vertAlign w:val="superscript"/>
        </w:rPr>
        <w:t>3</w:t>
      </w:r>
      <w:r>
        <w:t>，表土和废</w:t>
      </w:r>
      <w:r>
        <w:rPr>
          <w:rFonts w:hint="eastAsia"/>
        </w:rPr>
        <w:t>石</w:t>
      </w:r>
      <w:r>
        <w:t>堆于此处后，</w:t>
      </w:r>
      <w:r>
        <w:rPr>
          <w:rFonts w:hint="eastAsia"/>
        </w:rPr>
        <w:t>所占用的时间不长，可以满足临时堆放周转的需求，表土周转用于生产中矿山道路的修筑和养护，废石外售综合再利用。</w:t>
      </w:r>
    </w:p>
    <w:p w14:paraId="2AD30FA7" w14:textId="77777777" w:rsidR="00E579B9" w:rsidRDefault="006A1398">
      <w:pPr>
        <w:spacing w:line="520" w:lineRule="exact"/>
        <w:rPr>
          <w:lang w:val="zh-CN"/>
        </w:rPr>
      </w:pPr>
      <w:r>
        <w:rPr>
          <w:szCs w:val="24"/>
        </w:rPr>
        <w:t>本项目表土为第</w:t>
      </w:r>
      <w:r>
        <w:rPr>
          <w:szCs w:val="24"/>
        </w:rPr>
        <w:t>Ⅰ</w:t>
      </w:r>
      <w:r>
        <w:rPr>
          <w:szCs w:val="24"/>
        </w:rPr>
        <w:t>类一般工业固体废物，</w:t>
      </w:r>
      <w:r>
        <w:rPr>
          <w:rFonts w:hint="eastAsia"/>
          <w:bCs/>
        </w:rPr>
        <w:t>排土场</w:t>
      </w:r>
      <w:r>
        <w:rPr>
          <w:bCs/>
        </w:rPr>
        <w:t>应满足《一般工业固体废物贮存、处置场污染控制标准》（</w:t>
      </w:r>
      <w:r>
        <w:rPr>
          <w:bCs/>
        </w:rPr>
        <w:t>2013</w:t>
      </w:r>
      <w:r>
        <w:rPr>
          <w:bCs/>
        </w:rPr>
        <w:t>年修订）的</w:t>
      </w:r>
      <w:r>
        <w:rPr>
          <w:bCs/>
        </w:rPr>
        <w:t>Ⅰ</w:t>
      </w:r>
      <w:r>
        <w:rPr>
          <w:bCs/>
        </w:rPr>
        <w:t>类场场址要求。</w:t>
      </w:r>
      <w:r>
        <w:rPr>
          <w:rFonts w:hint="eastAsia"/>
          <w:bCs/>
        </w:rPr>
        <w:t>临时堆场</w:t>
      </w:r>
      <w:r>
        <w:rPr>
          <w:bCs/>
        </w:rPr>
        <w:t>与标准要求对比分析结果见</w:t>
      </w:r>
      <w:r>
        <w:rPr>
          <w:rFonts w:hint="eastAsia"/>
          <w:bCs/>
        </w:rPr>
        <w:t>下表</w:t>
      </w:r>
      <w:r>
        <w:rPr>
          <w:lang w:val="zh-CN"/>
        </w:rPr>
        <w:t>。</w:t>
      </w:r>
    </w:p>
    <w:p w14:paraId="7E0C54DA" w14:textId="3DE616D9" w:rsidR="00E579B9" w:rsidRDefault="006A1398">
      <w:pPr>
        <w:pStyle w:val="21"/>
        <w:jc w:val="center"/>
      </w:pPr>
      <w:r>
        <w:t>表</w:t>
      </w:r>
      <w:r>
        <w:rPr>
          <w:rFonts w:hint="eastAsia"/>
        </w:rPr>
        <w:t>7.2</w:t>
      </w:r>
      <w:r>
        <w:t>-1</w:t>
      </w:r>
      <w:r>
        <w:rPr>
          <w:rFonts w:hint="eastAsia"/>
        </w:rPr>
        <w:t>排土场</w:t>
      </w:r>
      <w:r>
        <w:t>选址分析表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3259"/>
        <w:gridCol w:w="3254"/>
        <w:gridCol w:w="1391"/>
      </w:tblGrid>
      <w:tr w:rsidR="00E579B9" w14:paraId="77A57F09" w14:textId="77777777">
        <w:trPr>
          <w:trHeight w:val="454"/>
        </w:trPr>
        <w:tc>
          <w:tcPr>
            <w:tcW w:w="618" w:type="dxa"/>
            <w:vAlign w:val="center"/>
          </w:tcPr>
          <w:p w14:paraId="3A203192" w14:textId="77777777" w:rsidR="00E579B9" w:rsidRDefault="006A1398">
            <w:pPr>
              <w:pStyle w:val="aa"/>
            </w:pPr>
            <w:r>
              <w:t>序号</w:t>
            </w:r>
          </w:p>
        </w:tc>
        <w:tc>
          <w:tcPr>
            <w:tcW w:w="3259" w:type="dxa"/>
            <w:vAlign w:val="center"/>
          </w:tcPr>
          <w:p w14:paraId="001A89FB" w14:textId="77777777" w:rsidR="00E579B9" w:rsidRDefault="006A1398">
            <w:pPr>
              <w:pStyle w:val="aa"/>
            </w:pPr>
            <w:r>
              <w:t>《一般工业固体废物储存、处置场污染控制标准》要求</w:t>
            </w:r>
          </w:p>
        </w:tc>
        <w:tc>
          <w:tcPr>
            <w:tcW w:w="3254" w:type="dxa"/>
            <w:vAlign w:val="center"/>
          </w:tcPr>
          <w:p w14:paraId="152C10CB" w14:textId="77777777" w:rsidR="00E579B9" w:rsidRDefault="006A1398">
            <w:pPr>
              <w:pStyle w:val="aa"/>
            </w:pPr>
            <w:r>
              <w:rPr>
                <w:rFonts w:hint="eastAsia"/>
              </w:rPr>
              <w:t>排土场</w:t>
            </w:r>
            <w:r>
              <w:t>选址分析</w:t>
            </w:r>
          </w:p>
        </w:tc>
        <w:tc>
          <w:tcPr>
            <w:tcW w:w="1391" w:type="dxa"/>
            <w:vAlign w:val="center"/>
          </w:tcPr>
          <w:p w14:paraId="568CEE79" w14:textId="77777777" w:rsidR="00E579B9" w:rsidRDefault="006A1398">
            <w:pPr>
              <w:pStyle w:val="aa"/>
            </w:pPr>
            <w:r>
              <w:t>备注</w:t>
            </w:r>
          </w:p>
        </w:tc>
      </w:tr>
      <w:tr w:rsidR="00E579B9" w14:paraId="4408C629" w14:textId="77777777">
        <w:trPr>
          <w:trHeight w:val="454"/>
        </w:trPr>
        <w:tc>
          <w:tcPr>
            <w:tcW w:w="618" w:type="dxa"/>
            <w:vAlign w:val="center"/>
          </w:tcPr>
          <w:p w14:paraId="230781F2" w14:textId="77777777" w:rsidR="00E579B9" w:rsidRDefault="006A1398">
            <w:pPr>
              <w:pStyle w:val="aa"/>
            </w:pPr>
            <w:r>
              <w:lastRenderedPageBreak/>
              <w:t>1</w:t>
            </w:r>
          </w:p>
        </w:tc>
        <w:tc>
          <w:tcPr>
            <w:tcW w:w="3259" w:type="dxa"/>
            <w:vAlign w:val="center"/>
          </w:tcPr>
          <w:p w14:paraId="7210D62F" w14:textId="77777777" w:rsidR="00E579B9" w:rsidRDefault="006A1398">
            <w:pPr>
              <w:pStyle w:val="aa"/>
            </w:pPr>
            <w:r>
              <w:t>应优先选用废弃的采矿坑、塌陷区</w:t>
            </w:r>
          </w:p>
        </w:tc>
        <w:tc>
          <w:tcPr>
            <w:tcW w:w="3254" w:type="dxa"/>
            <w:vAlign w:val="center"/>
          </w:tcPr>
          <w:p w14:paraId="0AF5CEE6" w14:textId="77777777" w:rsidR="00E579B9" w:rsidRDefault="006A1398">
            <w:pPr>
              <w:pStyle w:val="aa"/>
            </w:pPr>
            <w:r>
              <w:rPr>
                <w:rFonts w:hint="eastAsia"/>
              </w:rPr>
              <w:t>排土场</w:t>
            </w:r>
            <w:r>
              <w:t>建于自然</w:t>
            </w:r>
            <w:r>
              <w:rPr>
                <w:rFonts w:hint="eastAsia"/>
              </w:rPr>
              <w:t>沟道</w:t>
            </w:r>
            <w:r>
              <w:t>内，沟内无基本农田</w:t>
            </w:r>
          </w:p>
        </w:tc>
        <w:tc>
          <w:tcPr>
            <w:tcW w:w="1391" w:type="dxa"/>
            <w:vAlign w:val="center"/>
          </w:tcPr>
          <w:p w14:paraId="130F10EB" w14:textId="77777777" w:rsidR="00E579B9" w:rsidRDefault="006A1398">
            <w:pPr>
              <w:pStyle w:val="aa"/>
            </w:pPr>
            <w:r>
              <w:t>符合</w:t>
            </w:r>
          </w:p>
        </w:tc>
      </w:tr>
      <w:tr w:rsidR="00E579B9" w14:paraId="0F77C2C6" w14:textId="77777777">
        <w:trPr>
          <w:trHeight w:val="454"/>
        </w:trPr>
        <w:tc>
          <w:tcPr>
            <w:tcW w:w="618" w:type="dxa"/>
            <w:vAlign w:val="center"/>
          </w:tcPr>
          <w:p w14:paraId="1FA6F4FA" w14:textId="77777777" w:rsidR="00E579B9" w:rsidRDefault="006A1398">
            <w:pPr>
              <w:pStyle w:val="aa"/>
            </w:pPr>
            <w:r>
              <w:t>2</w:t>
            </w:r>
          </w:p>
        </w:tc>
        <w:tc>
          <w:tcPr>
            <w:tcW w:w="3259" w:type="dxa"/>
            <w:vAlign w:val="center"/>
          </w:tcPr>
          <w:p w14:paraId="6310EBBE" w14:textId="77777777" w:rsidR="00E579B9" w:rsidRDefault="006A1398">
            <w:pPr>
              <w:pStyle w:val="aa"/>
            </w:pPr>
            <w:r>
              <w:t>所选场址应符合当地城乡建设总体规划要求</w:t>
            </w:r>
          </w:p>
        </w:tc>
        <w:tc>
          <w:tcPr>
            <w:tcW w:w="3254" w:type="dxa"/>
            <w:vAlign w:val="center"/>
          </w:tcPr>
          <w:p w14:paraId="1B30B875" w14:textId="77777777" w:rsidR="00E579B9" w:rsidRDefault="006A1398">
            <w:pPr>
              <w:pStyle w:val="aa"/>
            </w:pPr>
            <w:r>
              <w:t>选址符合当地城乡建设总体规划要求</w:t>
            </w:r>
          </w:p>
        </w:tc>
        <w:tc>
          <w:tcPr>
            <w:tcW w:w="1391" w:type="dxa"/>
            <w:vAlign w:val="center"/>
          </w:tcPr>
          <w:p w14:paraId="37213194" w14:textId="77777777" w:rsidR="00E579B9" w:rsidRDefault="006A1398">
            <w:pPr>
              <w:pStyle w:val="aa"/>
            </w:pPr>
            <w:r>
              <w:t>符合</w:t>
            </w:r>
          </w:p>
        </w:tc>
      </w:tr>
      <w:tr w:rsidR="00E579B9" w14:paraId="3E6EA4EB" w14:textId="77777777">
        <w:trPr>
          <w:trHeight w:val="454"/>
        </w:trPr>
        <w:tc>
          <w:tcPr>
            <w:tcW w:w="618" w:type="dxa"/>
            <w:vAlign w:val="center"/>
          </w:tcPr>
          <w:p w14:paraId="0077EEC4" w14:textId="77777777" w:rsidR="00E579B9" w:rsidRDefault="006A1398">
            <w:pPr>
              <w:pStyle w:val="aa"/>
            </w:pPr>
            <w:r>
              <w:t>3</w:t>
            </w:r>
          </w:p>
        </w:tc>
        <w:tc>
          <w:tcPr>
            <w:tcW w:w="3259" w:type="dxa"/>
            <w:vAlign w:val="center"/>
          </w:tcPr>
          <w:p w14:paraId="140F7799" w14:textId="77777777" w:rsidR="00E579B9" w:rsidRDefault="006A1398">
            <w:pPr>
              <w:pStyle w:val="aa"/>
            </w:pPr>
            <w:r>
              <w:t>应重点考虑一般工业固体废物贮存、处置场产生的渗滤液以及粉尘等大气污染物等因素，根据其所在地区的环境功能区类别，综合评价其对周围环境、居住人群的身体健康、日常生活和生产活动的影响，确定其与常住居民居住场所、农用地、地表水体、高速公路、交通主干道（国道或省道）、铁路、飞机场、军事基地等敏感对象之间合理的位置关系</w:t>
            </w:r>
          </w:p>
        </w:tc>
        <w:tc>
          <w:tcPr>
            <w:tcW w:w="3254" w:type="dxa"/>
            <w:vAlign w:val="center"/>
          </w:tcPr>
          <w:p w14:paraId="306BEA5F" w14:textId="77777777" w:rsidR="00E579B9" w:rsidRDefault="006A1398">
            <w:pPr>
              <w:pStyle w:val="aa"/>
            </w:pPr>
            <w:r>
              <w:t>根据影响分析，本项目</w:t>
            </w:r>
            <w:r>
              <w:rPr>
                <w:rFonts w:hint="eastAsia"/>
              </w:rPr>
              <w:t>排土场</w:t>
            </w:r>
            <w:r>
              <w:t>产生粉尘对区域环境影响很小，不会改变所在地区的环境功能区类别，对周围居住人群的身体健康、日常生活和生产活动的影响较小，项目不受常住居民居住场所、农用地、地表水体、高速公路、交通主干道（国道或省道）、铁路、飞机场、军事基地等敏感点的位置限制</w:t>
            </w:r>
          </w:p>
        </w:tc>
        <w:tc>
          <w:tcPr>
            <w:tcW w:w="1391" w:type="dxa"/>
            <w:vAlign w:val="center"/>
          </w:tcPr>
          <w:p w14:paraId="370B0FEC" w14:textId="77777777" w:rsidR="00E579B9" w:rsidRDefault="006A1398">
            <w:pPr>
              <w:pStyle w:val="aa"/>
            </w:pPr>
            <w:r>
              <w:t>符合</w:t>
            </w:r>
          </w:p>
        </w:tc>
      </w:tr>
      <w:tr w:rsidR="00E579B9" w14:paraId="5484ABF9" w14:textId="77777777">
        <w:trPr>
          <w:trHeight w:val="454"/>
        </w:trPr>
        <w:tc>
          <w:tcPr>
            <w:tcW w:w="618" w:type="dxa"/>
            <w:vAlign w:val="center"/>
          </w:tcPr>
          <w:p w14:paraId="35B994CD" w14:textId="77777777" w:rsidR="00E579B9" w:rsidRDefault="006A1398">
            <w:pPr>
              <w:pStyle w:val="aa"/>
            </w:pPr>
            <w:r>
              <w:t>4</w:t>
            </w:r>
          </w:p>
        </w:tc>
        <w:tc>
          <w:tcPr>
            <w:tcW w:w="3259" w:type="dxa"/>
            <w:vAlign w:val="center"/>
          </w:tcPr>
          <w:p w14:paraId="2B8E569D" w14:textId="77777777" w:rsidR="00E579B9" w:rsidRDefault="006A1398">
            <w:pPr>
              <w:pStyle w:val="aa"/>
            </w:pPr>
            <w:r>
              <w:t>应选在满足承载力要求的地基上，以避免地基下沉的影响，特别是不均匀或局部下沉的影响</w:t>
            </w:r>
          </w:p>
        </w:tc>
        <w:tc>
          <w:tcPr>
            <w:tcW w:w="3254" w:type="dxa"/>
            <w:vAlign w:val="center"/>
          </w:tcPr>
          <w:p w14:paraId="0E9D8C38" w14:textId="77777777" w:rsidR="00E579B9" w:rsidRDefault="006A1398">
            <w:pPr>
              <w:pStyle w:val="aa"/>
            </w:pPr>
            <w:r>
              <w:t>根据区域地质条件勘测可知，</w:t>
            </w:r>
            <w:r>
              <w:rPr>
                <w:rFonts w:hint="eastAsia"/>
              </w:rPr>
              <w:t>排土场</w:t>
            </w:r>
            <w:r>
              <w:t>区域地质承载力较好，不会发生不均匀或局部下沉现象</w:t>
            </w:r>
          </w:p>
        </w:tc>
        <w:tc>
          <w:tcPr>
            <w:tcW w:w="1391" w:type="dxa"/>
            <w:vAlign w:val="center"/>
          </w:tcPr>
          <w:p w14:paraId="4D190940" w14:textId="77777777" w:rsidR="00E579B9" w:rsidRDefault="006A1398">
            <w:pPr>
              <w:pStyle w:val="aa"/>
            </w:pPr>
            <w:r>
              <w:t>符合</w:t>
            </w:r>
          </w:p>
        </w:tc>
      </w:tr>
      <w:tr w:rsidR="00E579B9" w14:paraId="005DF025" w14:textId="77777777">
        <w:trPr>
          <w:trHeight w:val="454"/>
        </w:trPr>
        <w:tc>
          <w:tcPr>
            <w:tcW w:w="618" w:type="dxa"/>
            <w:vAlign w:val="center"/>
          </w:tcPr>
          <w:p w14:paraId="00C6537E" w14:textId="77777777" w:rsidR="00E579B9" w:rsidRDefault="006A1398">
            <w:pPr>
              <w:pStyle w:val="aa"/>
            </w:pPr>
            <w:r>
              <w:t>5</w:t>
            </w:r>
          </w:p>
        </w:tc>
        <w:tc>
          <w:tcPr>
            <w:tcW w:w="3259" w:type="dxa"/>
            <w:vAlign w:val="center"/>
          </w:tcPr>
          <w:p w14:paraId="537DA8B1" w14:textId="77777777" w:rsidR="00E579B9" w:rsidRDefault="006A1398">
            <w:pPr>
              <w:pStyle w:val="aa"/>
            </w:pPr>
            <w:r>
              <w:t>应避开断层、断层破碎带、溶洞区，以及天然滑坡或泥石流影响区</w:t>
            </w:r>
          </w:p>
        </w:tc>
        <w:tc>
          <w:tcPr>
            <w:tcW w:w="3254" w:type="dxa"/>
            <w:vAlign w:val="center"/>
          </w:tcPr>
          <w:p w14:paraId="16BD76AE" w14:textId="77777777" w:rsidR="00E579B9" w:rsidRDefault="006A1398">
            <w:pPr>
              <w:pStyle w:val="aa"/>
            </w:pPr>
            <w:r>
              <w:t>区内无活动性断裂及滑坡、崩塌、坍塌、溶洞等不良地质环境，属于稳定型场地</w:t>
            </w:r>
          </w:p>
        </w:tc>
        <w:tc>
          <w:tcPr>
            <w:tcW w:w="1391" w:type="dxa"/>
            <w:vAlign w:val="center"/>
          </w:tcPr>
          <w:p w14:paraId="7D7EB11F" w14:textId="77777777" w:rsidR="00E579B9" w:rsidRDefault="006A1398">
            <w:pPr>
              <w:pStyle w:val="aa"/>
            </w:pPr>
            <w:r>
              <w:t>符合</w:t>
            </w:r>
          </w:p>
        </w:tc>
      </w:tr>
      <w:tr w:rsidR="00E579B9" w14:paraId="26B42215" w14:textId="77777777">
        <w:trPr>
          <w:trHeight w:val="454"/>
        </w:trPr>
        <w:tc>
          <w:tcPr>
            <w:tcW w:w="618" w:type="dxa"/>
            <w:vAlign w:val="center"/>
          </w:tcPr>
          <w:p w14:paraId="2ED274EA" w14:textId="77777777" w:rsidR="00E579B9" w:rsidRDefault="006A1398">
            <w:pPr>
              <w:pStyle w:val="aa"/>
            </w:pPr>
            <w:r>
              <w:t>6</w:t>
            </w:r>
          </w:p>
        </w:tc>
        <w:tc>
          <w:tcPr>
            <w:tcW w:w="3259" w:type="dxa"/>
            <w:vAlign w:val="center"/>
          </w:tcPr>
          <w:p w14:paraId="5ADBF4B2" w14:textId="77777777" w:rsidR="00E579B9" w:rsidRDefault="006A1398">
            <w:pPr>
              <w:pStyle w:val="aa"/>
            </w:pPr>
            <w:r>
              <w:t>禁止选在江河、湖泊、水库最高水位线以下的滩地和洪泛区</w:t>
            </w:r>
          </w:p>
        </w:tc>
        <w:tc>
          <w:tcPr>
            <w:tcW w:w="3254" w:type="dxa"/>
            <w:vAlign w:val="center"/>
          </w:tcPr>
          <w:p w14:paraId="43474806" w14:textId="77777777" w:rsidR="00E579B9" w:rsidRDefault="006A1398">
            <w:pPr>
              <w:pStyle w:val="aa"/>
            </w:pPr>
            <w:r>
              <w:rPr>
                <w:rFonts w:hint="eastAsia"/>
              </w:rPr>
              <w:t>排土场</w:t>
            </w:r>
            <w:r>
              <w:t>所在地不属于江河、湖泊、水库最高水位线以下的滩地和洪泛区</w:t>
            </w:r>
          </w:p>
        </w:tc>
        <w:tc>
          <w:tcPr>
            <w:tcW w:w="1391" w:type="dxa"/>
            <w:vAlign w:val="center"/>
          </w:tcPr>
          <w:p w14:paraId="20A2F595" w14:textId="77777777" w:rsidR="00E579B9" w:rsidRDefault="006A1398">
            <w:pPr>
              <w:pStyle w:val="aa"/>
            </w:pPr>
            <w:r>
              <w:t>符合</w:t>
            </w:r>
          </w:p>
        </w:tc>
      </w:tr>
      <w:tr w:rsidR="00E579B9" w14:paraId="44849CC4" w14:textId="77777777">
        <w:trPr>
          <w:trHeight w:val="454"/>
        </w:trPr>
        <w:tc>
          <w:tcPr>
            <w:tcW w:w="618" w:type="dxa"/>
            <w:vAlign w:val="center"/>
          </w:tcPr>
          <w:p w14:paraId="678C4802" w14:textId="77777777" w:rsidR="00E579B9" w:rsidRDefault="006A1398">
            <w:pPr>
              <w:pStyle w:val="aa"/>
            </w:pPr>
            <w:r>
              <w:t>7</w:t>
            </w:r>
          </w:p>
        </w:tc>
        <w:tc>
          <w:tcPr>
            <w:tcW w:w="3259" w:type="dxa"/>
            <w:vAlign w:val="center"/>
          </w:tcPr>
          <w:p w14:paraId="0BB36067" w14:textId="77777777" w:rsidR="00E579B9" w:rsidRDefault="006A1398">
            <w:pPr>
              <w:pStyle w:val="aa"/>
            </w:pPr>
            <w:r>
              <w:t>禁止选在自然保护区、风景名胜区和其它需要特别保护的区域</w:t>
            </w:r>
          </w:p>
        </w:tc>
        <w:tc>
          <w:tcPr>
            <w:tcW w:w="3254" w:type="dxa"/>
            <w:vAlign w:val="center"/>
          </w:tcPr>
          <w:p w14:paraId="7B860391" w14:textId="77777777" w:rsidR="00E579B9" w:rsidRDefault="006A1398">
            <w:pPr>
              <w:pStyle w:val="aa"/>
            </w:pPr>
            <w:r>
              <w:rPr>
                <w:rFonts w:hint="eastAsia"/>
              </w:rPr>
              <w:t>排土场</w:t>
            </w:r>
            <w:r>
              <w:t>不在自然保护区、风景名胜区等需要特殊保护的区域内</w:t>
            </w:r>
          </w:p>
        </w:tc>
        <w:tc>
          <w:tcPr>
            <w:tcW w:w="1391" w:type="dxa"/>
            <w:vAlign w:val="center"/>
          </w:tcPr>
          <w:p w14:paraId="5F43BBB3" w14:textId="77777777" w:rsidR="00E579B9" w:rsidRDefault="006A1398">
            <w:pPr>
              <w:pStyle w:val="aa"/>
            </w:pPr>
            <w:r>
              <w:t>符合</w:t>
            </w:r>
          </w:p>
        </w:tc>
      </w:tr>
    </w:tbl>
    <w:p w14:paraId="2E7EE3C5" w14:textId="77777777" w:rsidR="00E579B9" w:rsidRDefault="006A1398">
      <w:pPr>
        <w:spacing w:line="520" w:lineRule="exact"/>
      </w:pPr>
      <w:r>
        <w:t>由</w:t>
      </w:r>
      <w:r>
        <w:rPr>
          <w:rFonts w:hint="eastAsia"/>
        </w:rPr>
        <w:t>上表</w:t>
      </w:r>
      <w:r>
        <w:t>可知，</w:t>
      </w:r>
      <w:r>
        <w:rPr>
          <w:rFonts w:hint="eastAsia"/>
        </w:rPr>
        <w:t>排土场</w:t>
      </w:r>
      <w:r>
        <w:t>选址符合《一般工业固体废物贮存、处置场污染控制标准》（</w:t>
      </w:r>
      <w:r>
        <w:t>2013</w:t>
      </w:r>
      <w:r>
        <w:t>年修订）的</w:t>
      </w:r>
      <w:r>
        <w:t>Ⅰ</w:t>
      </w:r>
      <w:r>
        <w:t>类场场址选择的环保要求</w:t>
      </w:r>
      <w:r>
        <w:rPr>
          <w:rFonts w:hint="eastAsia"/>
        </w:rPr>
        <w:t>，临时堆场</w:t>
      </w:r>
      <w:r>
        <w:t>对生态环境影响主要是占地对植被的影响，可以通过后期复垦进行恢复减少其损失。</w:t>
      </w:r>
    </w:p>
    <w:p w14:paraId="54F4CADE" w14:textId="77777777" w:rsidR="00E579B9" w:rsidRDefault="006A1398">
      <w:pPr>
        <w:rPr>
          <w:rFonts w:cs="宋体"/>
          <w:szCs w:val="24"/>
        </w:rPr>
      </w:pPr>
      <w:r>
        <w:rPr>
          <w:rFonts w:hint="eastAsia"/>
        </w:rPr>
        <w:t>（</w:t>
      </w:r>
      <w:r>
        <w:rPr>
          <w:rFonts w:hint="eastAsia"/>
        </w:rPr>
        <w:t>2</w:t>
      </w:r>
      <w:r>
        <w:rPr>
          <w:rFonts w:hint="eastAsia"/>
        </w:rPr>
        <w:t>）生活</w:t>
      </w:r>
      <w:r>
        <w:t>垃圾</w:t>
      </w:r>
    </w:p>
    <w:p w14:paraId="4E17795E" w14:textId="77777777" w:rsidR="00E579B9" w:rsidRDefault="006A1398">
      <w:r>
        <w:rPr>
          <w:rFonts w:hint="eastAsia"/>
        </w:rPr>
        <w:t>项目运营期生活垃圾经收集后，定期运往当地垃圾中转站集中处理。</w:t>
      </w:r>
    </w:p>
    <w:p w14:paraId="7597F95D" w14:textId="77777777" w:rsidR="00E579B9" w:rsidRDefault="006A1398">
      <w:r>
        <w:rPr>
          <w:rFonts w:hint="eastAsia"/>
        </w:rPr>
        <w:t>（</w:t>
      </w:r>
      <w:r>
        <w:rPr>
          <w:rFonts w:hint="eastAsia"/>
        </w:rPr>
        <w:t>3</w:t>
      </w:r>
      <w:r>
        <w:rPr>
          <w:rFonts w:hint="eastAsia"/>
        </w:rPr>
        <w:t>）袋式除尘器收集粉尘</w:t>
      </w:r>
    </w:p>
    <w:p w14:paraId="62466C67" w14:textId="77777777" w:rsidR="00E579B9" w:rsidRDefault="006A1398">
      <w:r>
        <w:rPr>
          <w:rFonts w:hint="eastAsia"/>
        </w:rPr>
        <w:t>项目破碎场地袋式除尘器收集粉尘掺入石粉中作为产品外售。</w:t>
      </w:r>
    </w:p>
    <w:p w14:paraId="42B9A2EE" w14:textId="77777777" w:rsidR="00E579B9" w:rsidRDefault="006A1398">
      <w:r>
        <w:lastRenderedPageBreak/>
        <w:t>综上所述，本项目运营期产生的固体废物均能得到合理妥善处置，对周围环境造成的影响很小，措施可行。</w:t>
      </w:r>
    </w:p>
    <w:p w14:paraId="66AC536F" w14:textId="77777777" w:rsidR="00E579B9" w:rsidRDefault="006A1398">
      <w:pPr>
        <w:pStyle w:val="3"/>
        <w:ind w:firstLine="560"/>
      </w:pPr>
      <w:r>
        <w:rPr>
          <w:rFonts w:hint="eastAsia"/>
        </w:rPr>
        <w:t>7.2</w:t>
      </w:r>
      <w:r>
        <w:t>.5</w:t>
      </w:r>
      <w:r>
        <w:rPr>
          <w:rFonts w:hint="eastAsia"/>
        </w:rPr>
        <w:t>营运期生态环境防治措施</w:t>
      </w:r>
      <w:bookmarkEnd w:id="447"/>
    </w:p>
    <w:p w14:paraId="7C09B465" w14:textId="77777777" w:rsidR="00E579B9" w:rsidRDefault="006A1398">
      <w:r>
        <w:rPr>
          <w:rFonts w:hint="eastAsia"/>
        </w:rPr>
        <w:t>为减少项目营运期对生态环境的影响，建议采取以下措施：</w:t>
      </w:r>
    </w:p>
    <w:p w14:paraId="1B5A7630" w14:textId="77777777" w:rsidR="00E579B9" w:rsidRDefault="006A1398">
      <w:r>
        <w:rPr>
          <w:rFonts w:hint="eastAsia"/>
        </w:rPr>
        <w:t>（</w:t>
      </w:r>
      <w:r>
        <w:rPr>
          <w:rFonts w:hint="eastAsia"/>
        </w:rPr>
        <w:t>1</w:t>
      </w:r>
      <w:r>
        <w:rPr>
          <w:rFonts w:hint="eastAsia"/>
        </w:rPr>
        <w:t>）坚持“预防为主，防治结合”原则，坚持“边开采、边恢复”原则进行生态恢复，开采下一个台阶时对上一个台阶进行覆土并绿化；</w:t>
      </w:r>
    </w:p>
    <w:p w14:paraId="7874CDB3" w14:textId="77777777" w:rsidR="00E579B9" w:rsidRDefault="006A1398">
      <w:r>
        <w:rPr>
          <w:rFonts w:hint="eastAsia"/>
        </w:rPr>
        <w:t>（</w:t>
      </w:r>
      <w:r>
        <w:rPr>
          <w:rFonts w:hint="eastAsia"/>
        </w:rPr>
        <w:t>2</w:t>
      </w:r>
      <w:r>
        <w:rPr>
          <w:rFonts w:hint="eastAsia"/>
        </w:rPr>
        <w:t>）对采区地形地貌、植被状况进行长期观测，发现地面开裂、塌陷和植被破坏，应采取必要的充填和生态恢复等补救措施；</w:t>
      </w:r>
    </w:p>
    <w:p w14:paraId="34044A0F" w14:textId="77777777" w:rsidR="00E579B9" w:rsidRDefault="006A1398">
      <w:r>
        <w:rPr>
          <w:rFonts w:hint="eastAsia"/>
        </w:rPr>
        <w:t>（</w:t>
      </w:r>
      <w:r>
        <w:t>3</w:t>
      </w:r>
      <w:r>
        <w:rPr>
          <w:rFonts w:hint="eastAsia"/>
        </w:rPr>
        <w:t>）强化矿区生态恢复和矿区环境的绿化、美化，场地周围及运输道路两侧应尽可能地增加绿化防护带；</w:t>
      </w:r>
    </w:p>
    <w:p w14:paraId="2399E902" w14:textId="77777777" w:rsidR="00E579B9" w:rsidRDefault="006A1398">
      <w:r>
        <w:rPr>
          <w:rFonts w:hint="eastAsia"/>
        </w:rPr>
        <w:t>（</w:t>
      </w:r>
      <w:r>
        <w:t>4</w:t>
      </w:r>
      <w:r>
        <w:rPr>
          <w:rFonts w:hint="eastAsia"/>
        </w:rPr>
        <w:t>）对采场、表土场进行绿化，按计划建设挡土墙、截排水沟等生态恢复措施，防治水土流失，减少对生态环境的影响。</w:t>
      </w:r>
    </w:p>
    <w:p w14:paraId="628CB71C" w14:textId="77777777" w:rsidR="00E579B9" w:rsidRDefault="006A1398">
      <w:r>
        <w:rPr>
          <w:rFonts w:hint="eastAsia"/>
        </w:rPr>
        <w:t>采取上述措施后，可减小项目建设对生态环境的影响，措施可行。</w:t>
      </w:r>
    </w:p>
    <w:p w14:paraId="4B598EA7" w14:textId="77777777" w:rsidR="00E579B9" w:rsidRDefault="006A1398">
      <w:pPr>
        <w:pStyle w:val="3"/>
        <w:ind w:firstLine="560"/>
      </w:pPr>
      <w:r>
        <w:t>7.2.6</w:t>
      </w:r>
      <w:r>
        <w:rPr>
          <w:rFonts w:hint="eastAsia"/>
        </w:rPr>
        <w:t>环境风险防范措施</w:t>
      </w:r>
    </w:p>
    <w:p w14:paraId="45C28292" w14:textId="77777777" w:rsidR="00E579B9" w:rsidRDefault="006A1398">
      <w:r>
        <w:t>7.2.6.1</w:t>
      </w:r>
      <w:r>
        <w:rPr>
          <w:rFonts w:hint="eastAsia"/>
        </w:rPr>
        <w:t>露采区风险防范措施</w:t>
      </w:r>
    </w:p>
    <w:p w14:paraId="5217F613" w14:textId="77777777" w:rsidR="00E579B9" w:rsidRDefault="006A1398">
      <w:r>
        <w:rPr>
          <w:rFonts w:hint="eastAsia"/>
        </w:rPr>
        <w:t>（</w:t>
      </w:r>
      <w:r>
        <w:t>1</w:t>
      </w:r>
      <w:r>
        <w:rPr>
          <w:rFonts w:hint="eastAsia"/>
        </w:rPr>
        <w:t>）评价要求建设单位严格按照设计要求，采取自上而下的开采方式，严禁平推</w:t>
      </w:r>
      <w:r>
        <w:rPr>
          <w:rFonts w:hint="eastAsia"/>
          <w:spacing w:val="-2"/>
        </w:rPr>
        <w:t>式掏底作业；建立健全边坡管理制度和检查制度，对不稳定地段在暴雨后及时检查，发</w:t>
      </w:r>
      <w:r>
        <w:rPr>
          <w:rFonts w:hint="eastAsia"/>
        </w:rPr>
        <w:t>现异常及时处理；按设计形成边坡角，不得超挖。</w:t>
      </w:r>
    </w:p>
    <w:p w14:paraId="7C482B56" w14:textId="77777777" w:rsidR="00E579B9" w:rsidRDefault="006A1398">
      <w:r>
        <w:rPr>
          <w:rFonts w:hint="eastAsia"/>
        </w:rPr>
        <w:t>（</w:t>
      </w:r>
      <w:r>
        <w:t>2</w:t>
      </w:r>
      <w:r>
        <w:rPr>
          <w:rFonts w:hint="eastAsia"/>
        </w:rPr>
        <w:t>）在距坠落基本面</w:t>
      </w:r>
      <w:r>
        <w:t>2m</w:t>
      </w:r>
      <w:r>
        <w:rPr>
          <w:rFonts w:hint="eastAsia"/>
        </w:rPr>
        <w:t>以上或则坡度超过</w:t>
      </w:r>
      <w:r>
        <w:t>30</w:t>
      </w:r>
      <w:r>
        <w:rPr>
          <w:rFonts w:hint="eastAsia"/>
        </w:rPr>
        <w:t>°的坡面上作业时，应当使用安全绳或安全带，安全绳应当拴在牢固地点上，严禁站在危石浮石上及悬空作业。</w:t>
      </w:r>
    </w:p>
    <w:p w14:paraId="77B38CC8" w14:textId="77777777" w:rsidR="00E579B9" w:rsidRDefault="006A1398">
      <w:r>
        <w:rPr>
          <w:rFonts w:hint="eastAsia"/>
        </w:rPr>
        <w:t>（</w:t>
      </w:r>
      <w:r>
        <w:t>3</w:t>
      </w:r>
      <w:r>
        <w:rPr>
          <w:rFonts w:hint="eastAsia"/>
        </w:rPr>
        <w:t>）露采区按设计要求设置截排水沟，防止雨水大量汇入采场及对边坡冲刷。</w:t>
      </w:r>
    </w:p>
    <w:p w14:paraId="3E2CCF50" w14:textId="77777777" w:rsidR="00E579B9" w:rsidRDefault="006A1398">
      <w:r>
        <w:t>7.2.6.2</w:t>
      </w:r>
      <w:r>
        <w:rPr>
          <w:rFonts w:hint="eastAsia"/>
        </w:rPr>
        <w:t>表土临时堆场安全防范措施</w:t>
      </w:r>
    </w:p>
    <w:p w14:paraId="581A173D" w14:textId="77777777" w:rsidR="00E579B9" w:rsidRDefault="006A1398">
      <w:pPr>
        <w:ind w:firstLine="472"/>
      </w:pPr>
      <w:r>
        <w:rPr>
          <w:rFonts w:hint="eastAsia"/>
          <w:spacing w:val="-2"/>
        </w:rPr>
        <w:t>依据安全预评价及水保方案的计算结果，表土临时堆场及其拦渣坝、截水沟、边坡</w:t>
      </w:r>
      <w:r>
        <w:rPr>
          <w:rFonts w:hint="eastAsia"/>
          <w:spacing w:val="-1"/>
        </w:rPr>
        <w:t>的稳定性均满足规范要求，考虑矿山边开采边治</w:t>
      </w:r>
      <w:r>
        <w:rPr>
          <w:rFonts w:hint="eastAsia"/>
        </w:rPr>
        <w:t>理，即每形成一级台阶，便覆土以恢复植被，因此表土堆场最大堆土量约</w:t>
      </w:r>
      <w:r>
        <w:rPr>
          <w:rFonts w:hint="eastAsia"/>
        </w:rPr>
        <w:t>2.5</w:t>
      </w:r>
      <w:r>
        <w:rPr>
          <w:rFonts w:hint="eastAsia"/>
        </w:rPr>
        <w:t>万</w:t>
      </w:r>
      <w:r>
        <w:t>m</w:t>
      </w:r>
      <w:r>
        <w:rPr>
          <w:position w:val="8"/>
          <w:sz w:val="15"/>
          <w:szCs w:val="15"/>
        </w:rPr>
        <w:t>3</w:t>
      </w:r>
      <w:r>
        <w:rPr>
          <w:rFonts w:hint="eastAsia"/>
        </w:rPr>
        <w:t>。设</w:t>
      </w:r>
      <w:r>
        <w:rPr>
          <w:rFonts w:hint="eastAsia"/>
          <w:spacing w:val="-2"/>
        </w:rPr>
        <w:t>计表土临时堆场位于矿区南部废弃采场一平坦空地处，将剥离的表土充填至表土临时堆</w:t>
      </w:r>
      <w:r>
        <w:rPr>
          <w:rFonts w:hint="eastAsia"/>
          <w:spacing w:val="-1"/>
        </w:rPr>
        <w:t>场中。表土临时堆场</w:t>
      </w:r>
      <w:r>
        <w:rPr>
          <w:rFonts w:hint="eastAsia"/>
          <w:spacing w:val="-1"/>
        </w:rPr>
        <w:lastRenderedPageBreak/>
        <w:t>顶面标高按</w:t>
      </w:r>
      <w:r>
        <w:rPr>
          <w:spacing w:val="-1"/>
        </w:rPr>
        <w:t>+420m</w:t>
      </w:r>
      <w:r>
        <w:rPr>
          <w:rFonts w:hint="eastAsia"/>
          <w:spacing w:val="-1"/>
        </w:rPr>
        <w:t>设计，表土临时堆场占地面积约</w:t>
      </w:r>
      <w:r>
        <w:rPr>
          <w:rFonts w:hint="eastAsia"/>
          <w:spacing w:val="-1"/>
        </w:rPr>
        <w:t>100</w:t>
      </w:r>
      <w:r>
        <w:rPr>
          <w:spacing w:val="-1"/>
        </w:rPr>
        <w:t>00m</w:t>
      </w:r>
      <w:r>
        <w:rPr>
          <w:spacing w:val="-1"/>
          <w:position w:val="8"/>
          <w:sz w:val="15"/>
          <w:szCs w:val="15"/>
        </w:rPr>
        <w:t>2</w:t>
      </w:r>
      <w:r>
        <w:rPr>
          <w:rFonts w:hint="eastAsia"/>
          <w:spacing w:val="-1"/>
        </w:rPr>
        <w:t>，设计表</w:t>
      </w:r>
      <w:r>
        <w:rPr>
          <w:rFonts w:hint="eastAsia"/>
        </w:rPr>
        <w:t>土最大堆高</w:t>
      </w:r>
      <w:r>
        <w:t>3m</w:t>
      </w:r>
      <w:r>
        <w:rPr>
          <w:rFonts w:hint="eastAsia"/>
        </w:rPr>
        <w:t>，边坡比</w:t>
      </w:r>
      <w:r>
        <w:t>1</w:t>
      </w:r>
      <w:r>
        <w:rPr>
          <w:rFonts w:hint="eastAsia"/>
        </w:rPr>
        <w:t>：</w:t>
      </w:r>
      <w:r>
        <w:t>1.5</w:t>
      </w:r>
      <w:r>
        <w:rPr>
          <w:rFonts w:hint="eastAsia"/>
        </w:rPr>
        <w:t>，容积约</w:t>
      </w:r>
      <w:r>
        <w:rPr>
          <w:rFonts w:hint="eastAsia"/>
        </w:rPr>
        <w:t>2.5</w:t>
      </w:r>
      <w:r>
        <w:rPr>
          <w:rFonts w:hint="eastAsia"/>
        </w:rPr>
        <w:t>万</w:t>
      </w:r>
      <w:r>
        <w:t>m</w:t>
      </w:r>
      <w:r>
        <w:rPr>
          <w:position w:val="8"/>
          <w:sz w:val="15"/>
          <w:szCs w:val="15"/>
        </w:rPr>
        <w:t>3</w:t>
      </w:r>
      <w:r>
        <w:rPr>
          <w:rFonts w:hint="eastAsia"/>
        </w:rPr>
        <w:t>，大于矿山的最大堆土量，可以满足该矿山表土堆放要求。</w:t>
      </w:r>
    </w:p>
    <w:p w14:paraId="7BFA5D91" w14:textId="77777777" w:rsidR="00E579B9" w:rsidRDefault="006A1398">
      <w:r>
        <w:rPr>
          <w:rFonts w:hint="eastAsia"/>
        </w:rPr>
        <w:t>针对表土临时堆场，环评对企业作出以下要求：</w:t>
      </w:r>
    </w:p>
    <w:p w14:paraId="4EE47EC8" w14:textId="77777777" w:rsidR="00E579B9" w:rsidRDefault="006A1398">
      <w:r>
        <w:rPr>
          <w:rFonts w:hint="eastAsia"/>
        </w:rPr>
        <w:t>（</w:t>
      </w:r>
      <w:r>
        <w:rPr>
          <w:rFonts w:hint="eastAsia"/>
        </w:rPr>
        <w:t>1</w:t>
      </w:r>
      <w:r>
        <w:rPr>
          <w:rFonts w:hint="eastAsia"/>
        </w:rPr>
        <w:t>）表土临时堆场应严格按照设计、安评和水保要求进行建设，并且要符合《金</w:t>
      </w:r>
      <w:r>
        <w:rPr>
          <w:rFonts w:hint="eastAsia"/>
          <w:spacing w:val="-11"/>
        </w:rPr>
        <w:t>属非金属矿山表土临时堆场安全生产规则》（</w:t>
      </w:r>
      <w:r>
        <w:rPr>
          <w:spacing w:val="-11"/>
        </w:rPr>
        <w:t>AQ2005-2005</w:t>
      </w:r>
      <w:r>
        <w:rPr>
          <w:rFonts w:hint="eastAsia"/>
          <w:spacing w:val="-11"/>
        </w:rPr>
        <w:t>）、《金属非金属露天矿山安全</w:t>
      </w:r>
      <w:r>
        <w:rPr>
          <w:rFonts w:hint="eastAsia"/>
          <w:spacing w:val="-13"/>
        </w:rPr>
        <w:t>规程》（</w:t>
      </w:r>
      <w:r>
        <w:rPr>
          <w:spacing w:val="-13"/>
        </w:rPr>
        <w:t>GB16423-2006</w:t>
      </w:r>
      <w:r>
        <w:rPr>
          <w:rFonts w:hint="eastAsia"/>
          <w:spacing w:val="-13"/>
        </w:rPr>
        <w:t>）、《冶金矿山表土临时堆场设计规范》（</w:t>
      </w:r>
      <w:r>
        <w:rPr>
          <w:spacing w:val="-13"/>
        </w:rPr>
        <w:t>GB51119-2015</w:t>
      </w:r>
      <w:r>
        <w:rPr>
          <w:rFonts w:hint="eastAsia"/>
          <w:spacing w:val="-13"/>
        </w:rPr>
        <w:t>）、《一般</w:t>
      </w:r>
      <w:r>
        <w:rPr>
          <w:rFonts w:hint="eastAsia"/>
          <w:spacing w:val="-3"/>
        </w:rPr>
        <w:t>工业固体废物贮存、处置场污染控制标准》（</w:t>
      </w:r>
      <w:r>
        <w:rPr>
          <w:spacing w:val="-3"/>
        </w:rPr>
        <w:t>GB18599-2001</w:t>
      </w:r>
      <w:r>
        <w:rPr>
          <w:rFonts w:hint="eastAsia"/>
          <w:spacing w:val="-3"/>
        </w:rPr>
        <w:t>）及修改单等的要求，严格</w:t>
      </w:r>
      <w:r>
        <w:rPr>
          <w:rFonts w:hint="eastAsia"/>
        </w:rPr>
        <w:t>设计和施工。</w:t>
      </w:r>
    </w:p>
    <w:p w14:paraId="2EE0A948" w14:textId="77777777" w:rsidR="00E579B9" w:rsidRDefault="006A1398">
      <w:pPr>
        <w:rPr>
          <w:rFonts w:ascii="宋体" w:hAnsi="宋体" w:cs="Times New Roman"/>
          <w:kern w:val="0"/>
          <w:szCs w:val="24"/>
        </w:rPr>
      </w:pPr>
      <w:r>
        <w:rPr>
          <w:rFonts w:ascii="宋体" w:hAnsi="宋体" w:cs="Times New Roman" w:hint="eastAsia"/>
          <w:kern w:val="0"/>
          <w:szCs w:val="24"/>
        </w:rPr>
        <w:t>（</w:t>
      </w:r>
      <w:r>
        <w:rPr>
          <w:rFonts w:cs="Times New Roman"/>
          <w:kern w:val="0"/>
          <w:szCs w:val="24"/>
        </w:rPr>
        <w:t>2</w:t>
      </w:r>
      <w:r>
        <w:rPr>
          <w:rFonts w:ascii="宋体" w:hAnsi="宋体" w:cs="Times New Roman" w:hint="eastAsia"/>
          <w:kern w:val="0"/>
          <w:szCs w:val="24"/>
        </w:rPr>
        <w:t>）在管理和使用过程中，要参照《金属非金属矿山表土临时堆场安全生产规则》（</w:t>
      </w:r>
      <w:r>
        <w:rPr>
          <w:rFonts w:cs="Times New Roman"/>
          <w:kern w:val="0"/>
          <w:szCs w:val="24"/>
        </w:rPr>
        <w:t>AQ2005-2005</w:t>
      </w:r>
      <w:r>
        <w:rPr>
          <w:rFonts w:ascii="宋体" w:hAnsi="宋体" w:cs="Times New Roman" w:hint="eastAsia"/>
          <w:kern w:val="0"/>
          <w:szCs w:val="24"/>
        </w:rPr>
        <w:t>）进行操作，要设置必要的安全管理机构，建立完善的安全管理体系，</w:t>
      </w:r>
      <w:r>
        <w:rPr>
          <w:rFonts w:ascii="宋体" w:hAnsi="宋体" w:cs="Times New Roman" w:hint="eastAsia"/>
          <w:spacing w:val="-2"/>
          <w:kern w:val="0"/>
          <w:szCs w:val="24"/>
        </w:rPr>
        <w:t>制定并严格遵守安全操作规程，配备相应的专职管理及检查人员，并对员工加强职业安</w:t>
      </w:r>
      <w:r>
        <w:rPr>
          <w:rFonts w:ascii="宋体" w:hAnsi="宋体" w:cs="Times New Roman" w:hint="eastAsia"/>
          <w:kern w:val="0"/>
          <w:szCs w:val="24"/>
        </w:rPr>
        <w:t>全教育：在管理和使用过程中要进行定期巡査，出现的问题及时处理，杜绝隐患遗留。</w:t>
      </w:r>
    </w:p>
    <w:p w14:paraId="7BCAF4D6" w14:textId="77777777" w:rsidR="00E579B9" w:rsidRDefault="006A1398">
      <w:pPr>
        <w:rPr>
          <w:rFonts w:ascii="宋体" w:hAnsi="宋体" w:cs="Times New Roman"/>
          <w:kern w:val="0"/>
          <w:szCs w:val="24"/>
        </w:rPr>
      </w:pPr>
      <w:r>
        <w:rPr>
          <w:rFonts w:ascii="宋体" w:hAnsi="宋体" w:cs="Times New Roman" w:hint="eastAsia"/>
          <w:kern w:val="0"/>
          <w:szCs w:val="24"/>
        </w:rPr>
        <w:t>（</w:t>
      </w:r>
      <w:r>
        <w:rPr>
          <w:rFonts w:cs="Times New Roman"/>
          <w:kern w:val="0"/>
          <w:szCs w:val="24"/>
        </w:rPr>
        <w:t>3</w:t>
      </w:r>
      <w:r>
        <w:rPr>
          <w:rFonts w:ascii="宋体" w:hAnsi="宋体" w:cs="Times New Roman" w:hint="eastAsia"/>
          <w:kern w:val="0"/>
          <w:szCs w:val="24"/>
        </w:rPr>
        <w:t>）表土临时堆场设置完善的排水系统。表土临时堆场风险源项主要是洪水，因</w:t>
      </w:r>
      <w:r>
        <w:rPr>
          <w:rFonts w:ascii="宋体" w:hAnsi="宋体" w:cs="Times New Roman" w:hint="eastAsia"/>
          <w:spacing w:val="-5"/>
          <w:kern w:val="0"/>
          <w:szCs w:val="24"/>
        </w:rPr>
        <w:t>此，其风险减缓措施首先应是修筑浆砌石挡墙、截排水沟，并在运营期保证排水沟畅通，</w:t>
      </w:r>
      <w:r>
        <w:rPr>
          <w:rFonts w:ascii="宋体" w:hAnsi="宋体" w:cs="Times New Roman" w:hint="eastAsia"/>
          <w:kern w:val="0"/>
          <w:szCs w:val="24"/>
        </w:rPr>
        <w:t>以减少洪水对表土临时堆场的冲刷，提高挡墙的抗洪能力，防止滑坡风险的发生。表土临时堆场排水沟必须按暴雨重现期进行校核，挡石坝必须严格按照设计规范要求进行设计，并保证施工质量。</w:t>
      </w:r>
    </w:p>
    <w:p w14:paraId="341FB319" w14:textId="77777777" w:rsidR="00E579B9" w:rsidRDefault="006A1398">
      <w:pPr>
        <w:rPr>
          <w:rFonts w:ascii="宋体" w:hAnsi="宋体" w:cs="Times New Roman"/>
          <w:kern w:val="0"/>
          <w:szCs w:val="24"/>
        </w:rPr>
      </w:pPr>
      <w:r>
        <w:rPr>
          <w:rFonts w:ascii="宋体" w:hAnsi="宋体" w:cs="Times New Roman" w:hint="eastAsia"/>
          <w:kern w:val="0"/>
          <w:szCs w:val="24"/>
        </w:rPr>
        <w:t>（</w:t>
      </w:r>
      <w:r>
        <w:rPr>
          <w:rFonts w:cs="Times New Roman"/>
          <w:kern w:val="0"/>
          <w:szCs w:val="24"/>
        </w:rPr>
        <w:t>4</w:t>
      </w:r>
      <w:r>
        <w:rPr>
          <w:rFonts w:ascii="宋体" w:hAnsi="宋体" w:cs="Times New Roman" w:hint="eastAsia"/>
          <w:kern w:val="0"/>
          <w:szCs w:val="24"/>
        </w:rPr>
        <w:t>）严格按设计和水土保持方案的要求修筑截排水沟，将表土临时堆场以外的雨水拦截，使其不进入场内。</w:t>
      </w:r>
    </w:p>
    <w:p w14:paraId="3F269B93" w14:textId="77777777" w:rsidR="00E579B9" w:rsidRDefault="006A1398">
      <w:pPr>
        <w:rPr>
          <w:rFonts w:ascii="宋体" w:hAnsi="宋体" w:cs="Times New Roman"/>
          <w:kern w:val="0"/>
          <w:szCs w:val="24"/>
        </w:rPr>
      </w:pPr>
      <w:r>
        <w:rPr>
          <w:rFonts w:ascii="宋体" w:hAnsi="宋体" w:cs="Times New Roman" w:hint="eastAsia"/>
          <w:kern w:val="0"/>
          <w:szCs w:val="24"/>
        </w:rPr>
        <w:t>（</w:t>
      </w:r>
      <w:r>
        <w:rPr>
          <w:rFonts w:cs="Times New Roman"/>
          <w:kern w:val="0"/>
          <w:szCs w:val="24"/>
        </w:rPr>
        <w:t>5</w:t>
      </w:r>
      <w:r>
        <w:rPr>
          <w:rFonts w:ascii="宋体" w:hAnsi="宋体" w:cs="Times New Roman" w:hint="eastAsia"/>
          <w:kern w:val="0"/>
          <w:szCs w:val="24"/>
        </w:rPr>
        <w:t>）在表土临时堆场堆放的固体废物严格限制为剥离表土，其他危险固体废物或生活垃圾混入。</w:t>
      </w:r>
    </w:p>
    <w:p w14:paraId="472B39E8" w14:textId="77777777" w:rsidR="00E579B9" w:rsidRDefault="006A1398">
      <w:r>
        <w:rPr>
          <w:rFonts w:hint="eastAsia"/>
        </w:rPr>
        <w:t>（</w:t>
      </w:r>
      <w:r>
        <w:t>6</w:t>
      </w:r>
      <w:r>
        <w:rPr>
          <w:rFonts w:hint="eastAsia"/>
        </w:rPr>
        <w:t>）废石堆放过程中，对废石边坡进行削坡治理，确定合理的边坡参数，形成平台，保证边坡稳定，避免出现滑坡事故。同时在边坡铺设草皮或种植灌木，防止雨水冲刷造成水土流失。表土临时堆场服务期满后应及时封场，场地平整后覆土植树，恢复植被，重构生态系统。</w:t>
      </w:r>
    </w:p>
    <w:p w14:paraId="60595B83" w14:textId="77777777" w:rsidR="00E579B9" w:rsidRDefault="006A1398">
      <w:r>
        <w:rPr>
          <w:rFonts w:hint="eastAsia"/>
        </w:rPr>
        <w:lastRenderedPageBreak/>
        <w:t>（</w:t>
      </w:r>
      <w:r>
        <w:rPr>
          <w:rFonts w:hint="eastAsia"/>
        </w:rPr>
        <w:t>7</w:t>
      </w:r>
      <w:r>
        <w:rPr>
          <w:rFonts w:hint="eastAsia"/>
        </w:rPr>
        <w:t>）建议将废石堆置平台修成</w:t>
      </w:r>
      <w:r>
        <w:rPr>
          <w:rFonts w:hint="eastAsia"/>
        </w:rPr>
        <w:t>2%-3%</w:t>
      </w:r>
      <w:r>
        <w:rPr>
          <w:rFonts w:hint="eastAsia"/>
        </w:rPr>
        <w:t>的反坡，使水流向坡根处的排水沟而排出界外，从而分散平台本身的汇水，使其不致侵蚀或冲刷边坡。一旦临时表土场封场，其顶部平台上的排水系统要与坡面排水系统相连，形成完善的排水系统。</w:t>
      </w:r>
    </w:p>
    <w:p w14:paraId="5F188F73" w14:textId="77777777" w:rsidR="00E579B9" w:rsidRDefault="006A1398">
      <w:r>
        <w:rPr>
          <w:rFonts w:hint="eastAsia"/>
        </w:rPr>
        <w:t>（</w:t>
      </w:r>
      <w:r>
        <w:rPr>
          <w:rFonts w:hint="eastAsia"/>
        </w:rPr>
        <w:t>8</w:t>
      </w:r>
      <w:r>
        <w:rPr>
          <w:rFonts w:hint="eastAsia"/>
        </w:rPr>
        <w:t>）临时表土场周围必须设置环保及安全等图形标志，环境保护图形标志应按</w:t>
      </w:r>
      <w:r>
        <w:rPr>
          <w:rFonts w:hint="eastAsia"/>
        </w:rPr>
        <w:t>GB15562.2</w:t>
      </w:r>
      <w:r>
        <w:rPr>
          <w:rFonts w:hint="eastAsia"/>
        </w:rPr>
        <w:t>规定进行检查和维护。</w:t>
      </w:r>
    </w:p>
    <w:p w14:paraId="4C4406F8" w14:textId="77777777" w:rsidR="00E579B9" w:rsidRDefault="006A1398">
      <w:r>
        <w:rPr>
          <w:rFonts w:hint="eastAsia"/>
        </w:rPr>
        <w:t>7.2.6.3</w:t>
      </w:r>
      <w:r>
        <w:rPr>
          <w:rFonts w:hint="eastAsia"/>
        </w:rPr>
        <w:t>爆破</w:t>
      </w:r>
      <w:r>
        <w:t>环境风险防范措施</w:t>
      </w:r>
    </w:p>
    <w:p w14:paraId="68CC29EA" w14:textId="68C9D14E" w:rsidR="00E579B9" w:rsidRDefault="006A1398">
      <w:r>
        <w:rPr>
          <w:rFonts w:hint="eastAsia"/>
        </w:rPr>
        <w:t>由于爆破作业危险性较大，易对爆破人员和危险区内其他人员造成危害，因此，爆破警戒范围四周要设置明显的警示标志，爆破作业必须按照爆破规程操作。爆破作业前，移动设备和非爆破作业人员全部撤离到爆破警戒线以外的安全地带，设备停机停电，爆破现场由爆破员按照规定进行布线、装药、填塞。起爆前，要发出声响警报和视觉信号，撤走爆破警戒范围内所有无关人员，并在通往爆破警戒线区的道路设置岗哨，禁止一切车辆和人员进入。通过联系确认安全的情况下，由爆破员进行联线、起爆。爆破成功并发出信号解除警戒后，人员方能进入作业场地，检查供电系统、设备设施，确认完好方可恢复供电。采取上述措施后，爆破对周围环境的影响较小。</w:t>
      </w:r>
    </w:p>
    <w:p w14:paraId="3E25EEF4" w14:textId="58EB1CB1" w:rsidR="005A21C8" w:rsidRPr="002B5221" w:rsidRDefault="005A21C8" w:rsidP="005A21C8">
      <w:pPr>
        <w:pStyle w:val="af6"/>
        <w:ind w:firstLine="480"/>
      </w:pPr>
      <w:r w:rsidRPr="002B5221">
        <w:rPr>
          <w:rFonts w:hint="eastAsia"/>
        </w:rPr>
        <w:t>7.2.6.4</w:t>
      </w:r>
      <w:r w:rsidRPr="002B5221">
        <w:t>柴油储罐风险防范措施</w:t>
      </w:r>
    </w:p>
    <w:p w14:paraId="504CD5FD" w14:textId="77777777" w:rsidR="005A21C8" w:rsidRPr="002B5221" w:rsidRDefault="005A21C8" w:rsidP="005A21C8">
      <w:pPr>
        <w:pStyle w:val="af6"/>
        <w:ind w:firstLine="480"/>
      </w:pPr>
      <w:r w:rsidRPr="002B5221">
        <w:t>（</w:t>
      </w:r>
      <w:r w:rsidRPr="002B5221">
        <w:t>1</w:t>
      </w:r>
      <w:r w:rsidRPr="002B5221">
        <w:t>）柴油使用及贮存过程中风险防范措施</w:t>
      </w:r>
    </w:p>
    <w:p w14:paraId="2EBA3276" w14:textId="77777777" w:rsidR="005A21C8" w:rsidRPr="002B5221" w:rsidRDefault="005A21C8" w:rsidP="005A21C8">
      <w:pPr>
        <w:pStyle w:val="af6"/>
        <w:ind w:firstLine="480"/>
      </w:pPr>
      <w:r w:rsidRPr="002B5221">
        <w:t>1</w:t>
      </w:r>
      <w:r w:rsidRPr="002B5221">
        <w:t>）加强储罐材料质量保障，安装储罐泄露和检测系统和监控措施，一旦发生泄露，第一时间发现并采取应急方案；</w:t>
      </w:r>
    </w:p>
    <w:p w14:paraId="382EB3C2" w14:textId="77777777" w:rsidR="005A21C8" w:rsidRPr="002B5221" w:rsidRDefault="005A21C8" w:rsidP="005A21C8">
      <w:pPr>
        <w:pStyle w:val="af6"/>
        <w:ind w:firstLine="480"/>
      </w:pPr>
      <w:r w:rsidRPr="002B5221">
        <w:t>2</w:t>
      </w:r>
      <w:r w:rsidRPr="002B5221">
        <w:t>）柴油储罐专门间内安装泄漏报警和监控措施，同时在贮存间附近设置底部防渗事故池，贮存间地面按照《危险废物贮存污染控制标准》（</w:t>
      </w:r>
      <w:r w:rsidRPr="002B5221">
        <w:t>GB18597-2001</w:t>
      </w:r>
      <w:r w:rsidRPr="002B5221">
        <w:t>）及</w:t>
      </w:r>
      <w:r w:rsidRPr="002B5221">
        <w:t>2013</w:t>
      </w:r>
      <w:r w:rsidRPr="002B5221">
        <w:t>修改单要求做好地面防渗，防止泄露造成对周围土壤、地下水的污染；</w:t>
      </w:r>
    </w:p>
    <w:p w14:paraId="72B2D99D" w14:textId="77777777" w:rsidR="005A21C8" w:rsidRPr="002B5221" w:rsidRDefault="005A21C8" w:rsidP="005A21C8">
      <w:pPr>
        <w:pStyle w:val="af6"/>
        <w:ind w:firstLine="480"/>
      </w:pPr>
      <w:r w:rsidRPr="002B5221">
        <w:t>3</w:t>
      </w:r>
      <w:r w:rsidRPr="002B5221">
        <w:t>）柴油储罐专门间建筑结构应采用钢筋混凝土结构，强化构筑物稳定性和抗震性，同时防止外界车辆的意外撞击，鉴于车间内操作设备及机械车辆的振动影响，评价还建议提高贮存间的建设等级和防渗等级；</w:t>
      </w:r>
    </w:p>
    <w:p w14:paraId="52534875" w14:textId="77777777" w:rsidR="005A21C8" w:rsidRPr="002B5221" w:rsidRDefault="005A21C8" w:rsidP="005A21C8">
      <w:pPr>
        <w:pStyle w:val="af6"/>
        <w:ind w:firstLine="480"/>
      </w:pPr>
      <w:r w:rsidRPr="002B5221">
        <w:rPr>
          <w:rFonts w:hint="eastAsia"/>
        </w:rPr>
        <w:t>4</w:t>
      </w:r>
      <w:r w:rsidRPr="002B5221">
        <w:rPr>
          <w:rFonts w:hint="eastAsia"/>
        </w:rPr>
        <w:t>）防火，除了在使用的现场要禁明火以外，储存的地方尤其要禁火禁止吸</w:t>
      </w:r>
      <w:r w:rsidRPr="002B5221">
        <w:t>烟。</w:t>
      </w:r>
    </w:p>
    <w:p w14:paraId="600F840C" w14:textId="77777777" w:rsidR="005A21C8" w:rsidRPr="002B5221" w:rsidRDefault="005A21C8" w:rsidP="005A21C8">
      <w:pPr>
        <w:pStyle w:val="af6"/>
        <w:ind w:firstLine="480"/>
      </w:pPr>
      <w:r w:rsidRPr="002B5221">
        <w:lastRenderedPageBreak/>
        <w:t>5</w:t>
      </w:r>
      <w:r w:rsidRPr="002B5221">
        <w:t>）防泄漏，每次使用完后，要检查阀门是否关闭。</w:t>
      </w:r>
    </w:p>
    <w:p w14:paraId="4E49AE81" w14:textId="77777777" w:rsidR="005A21C8" w:rsidRPr="002B5221" w:rsidRDefault="005A21C8" w:rsidP="005A21C8">
      <w:pPr>
        <w:pStyle w:val="af6"/>
        <w:ind w:firstLine="480"/>
      </w:pPr>
      <w:r w:rsidRPr="002B5221">
        <w:t>6</w:t>
      </w:r>
      <w:r w:rsidRPr="002B5221">
        <w:t>）操作注意事项：密闭操作，加强通风。远离火种、热源，工作场所严禁吸烟。配备相应品种和数量的消防器材及泄漏应急处理设备。</w:t>
      </w:r>
    </w:p>
    <w:p w14:paraId="7BB86526" w14:textId="77777777" w:rsidR="005A21C8" w:rsidRPr="002B5221" w:rsidRDefault="005A21C8" w:rsidP="005A21C8">
      <w:pPr>
        <w:pStyle w:val="af6"/>
        <w:ind w:firstLine="480"/>
      </w:pPr>
      <w:r w:rsidRPr="002B5221">
        <w:t>7</w:t>
      </w:r>
      <w:r w:rsidRPr="002B5221">
        <w:t>）储存注意事项：储存于阴凉、通风的库房。远离火种、热源。库温不宜超过</w:t>
      </w:r>
      <w:r w:rsidRPr="002B5221">
        <w:t>30</w:t>
      </w:r>
      <w:r w:rsidRPr="002B5221">
        <w:tab/>
        <w:t>℃</w:t>
      </w:r>
      <w:r w:rsidRPr="002B5221">
        <w:t>。保持容器密封。应与氧化剂、酸类、碱金属等分开存放，切忌混储。采用防爆型照明、通风设施。禁止使用易产生火花的机械设备和工具。</w:t>
      </w:r>
    </w:p>
    <w:p w14:paraId="6C0D5E49" w14:textId="77777777" w:rsidR="005A21C8" w:rsidRPr="002B5221" w:rsidRDefault="005A21C8" w:rsidP="005A21C8">
      <w:pPr>
        <w:pStyle w:val="af6"/>
        <w:ind w:firstLine="480"/>
      </w:pPr>
      <w:r w:rsidRPr="002B5221">
        <w:t>（</w:t>
      </w:r>
      <w:r w:rsidRPr="002B5221">
        <w:t>2</w:t>
      </w:r>
      <w:r w:rsidRPr="002B5221">
        <w:t>）防火措施</w:t>
      </w:r>
    </w:p>
    <w:p w14:paraId="57E6FD8B" w14:textId="77777777" w:rsidR="005A21C8" w:rsidRPr="002B5221" w:rsidRDefault="005A21C8" w:rsidP="005A21C8">
      <w:pPr>
        <w:pStyle w:val="af6"/>
        <w:ind w:firstLine="480"/>
      </w:pPr>
      <w:r w:rsidRPr="002B5221">
        <w:t>1</w:t>
      </w:r>
      <w:r w:rsidRPr="002B5221">
        <w:t>）在柴油专门贮存间附近应设置手提式干粉灭火器；</w:t>
      </w:r>
    </w:p>
    <w:p w14:paraId="5399B468" w14:textId="77777777" w:rsidR="005A21C8" w:rsidRPr="002B5221" w:rsidRDefault="005A21C8" w:rsidP="005A21C8">
      <w:pPr>
        <w:pStyle w:val="af6"/>
        <w:ind w:firstLine="480"/>
      </w:pPr>
      <w:r w:rsidRPr="002B5221">
        <w:t>2</w:t>
      </w:r>
      <w:r w:rsidRPr="002B5221">
        <w:t>）危废暂存处应设置手提式干粉灭火器。</w:t>
      </w:r>
    </w:p>
    <w:p w14:paraId="4AAADDBC" w14:textId="77777777" w:rsidR="005A21C8" w:rsidRPr="002B5221" w:rsidRDefault="005A21C8" w:rsidP="005A21C8">
      <w:pPr>
        <w:pStyle w:val="af6"/>
        <w:ind w:firstLine="480"/>
      </w:pPr>
      <w:r w:rsidRPr="002B5221">
        <w:t>（</w:t>
      </w:r>
      <w:r w:rsidRPr="002B5221">
        <w:t>3</w:t>
      </w:r>
      <w:r w:rsidRPr="002B5221">
        <w:t>）环境管理措施</w:t>
      </w:r>
    </w:p>
    <w:p w14:paraId="18095AFA" w14:textId="77777777" w:rsidR="005A21C8" w:rsidRPr="002B5221" w:rsidRDefault="005A21C8" w:rsidP="005A21C8">
      <w:pPr>
        <w:pStyle w:val="af6"/>
        <w:ind w:firstLine="480"/>
      </w:pPr>
      <w:r w:rsidRPr="002B5221">
        <w:t>1</w:t>
      </w:r>
      <w:r w:rsidRPr="002B5221">
        <w:t>）加强环境保护设施的日常维护和管理以及人员的培训工作；</w:t>
      </w:r>
    </w:p>
    <w:p w14:paraId="39F3EEF4" w14:textId="77777777" w:rsidR="005A21C8" w:rsidRPr="002B5221" w:rsidRDefault="005A21C8" w:rsidP="005A21C8">
      <w:pPr>
        <w:pStyle w:val="af6"/>
        <w:ind w:firstLine="480"/>
      </w:pPr>
      <w:r w:rsidRPr="002B5221">
        <w:t>2</w:t>
      </w:r>
      <w:r w:rsidRPr="002B5221">
        <w:t>）完善环保设施运行管理台账及运行记录，配备专人管理；</w:t>
      </w:r>
    </w:p>
    <w:p w14:paraId="5E22E114" w14:textId="77777777" w:rsidR="005A21C8" w:rsidRPr="002B5221" w:rsidRDefault="005A21C8" w:rsidP="005A21C8">
      <w:pPr>
        <w:pStyle w:val="af6"/>
        <w:ind w:firstLine="480"/>
      </w:pPr>
      <w:r w:rsidRPr="002B5221">
        <w:t>3</w:t>
      </w:r>
      <w:r w:rsidRPr="002B5221">
        <w:t>）设置危险标识，加强防腐防渗措施的日常管理；</w:t>
      </w:r>
    </w:p>
    <w:p w14:paraId="7B219F51" w14:textId="77777777" w:rsidR="005A21C8" w:rsidRPr="002B5221" w:rsidRDefault="005A21C8" w:rsidP="005A21C8">
      <w:pPr>
        <w:pStyle w:val="af6"/>
        <w:ind w:firstLine="480"/>
      </w:pPr>
      <w:r w:rsidRPr="002B5221">
        <w:t>4</w:t>
      </w:r>
      <w:r w:rsidRPr="002B5221">
        <w:t>）完善环境保护突发事故应急预案</w:t>
      </w:r>
    </w:p>
    <w:p w14:paraId="7B70DD55" w14:textId="45BC6DB7" w:rsidR="00E579B9" w:rsidRPr="002B5221" w:rsidRDefault="006A1398">
      <w:r w:rsidRPr="002B5221">
        <w:rPr>
          <w:rFonts w:hint="eastAsia"/>
        </w:rPr>
        <w:t>7.2.6.</w:t>
      </w:r>
      <w:r w:rsidR="005A21C8" w:rsidRPr="002B5221">
        <w:rPr>
          <w:rFonts w:hint="eastAsia"/>
        </w:rPr>
        <w:t>5</w:t>
      </w:r>
      <w:r w:rsidRPr="002B5221">
        <w:t>项目环境风险简单分析内容表</w:t>
      </w:r>
    </w:p>
    <w:p w14:paraId="33E7F23A" w14:textId="435913E6" w:rsidR="00E579B9" w:rsidRPr="002B5221" w:rsidRDefault="006A1398">
      <w:pPr>
        <w:pStyle w:val="21"/>
        <w:rPr>
          <w:rFonts w:eastAsia="宋体" w:cs="Times New Roman"/>
        </w:rPr>
      </w:pPr>
      <w:r w:rsidRPr="002B5221">
        <w:rPr>
          <w:rFonts w:cs="Times New Roman"/>
        </w:rPr>
        <w:t>表</w:t>
      </w:r>
      <w:r w:rsidRPr="002B5221">
        <w:rPr>
          <w:rFonts w:eastAsiaTheme="minorEastAsia" w:cs="Times New Roman"/>
        </w:rPr>
        <w:t>7.2-2</w:t>
      </w:r>
      <w:r w:rsidRPr="002B5221">
        <w:rPr>
          <w:rFonts w:cs="Times New Roman"/>
        </w:rPr>
        <w:t>项目环境风险简单分析内容表</w:t>
      </w:r>
    </w:p>
    <w:tbl>
      <w:tblPr>
        <w:tblStyle w:val="TableNormal"/>
        <w:tblW w:w="8720"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1696"/>
        <w:gridCol w:w="1687"/>
        <w:gridCol w:w="1681"/>
        <w:gridCol w:w="1380"/>
        <w:gridCol w:w="2276"/>
      </w:tblGrid>
      <w:tr w:rsidR="002B5221" w:rsidRPr="002B5221" w14:paraId="10529010" w14:textId="77777777" w:rsidTr="007C0288">
        <w:trPr>
          <w:trHeight w:hRule="exact" w:val="492"/>
          <w:jc w:val="center"/>
        </w:trPr>
        <w:tc>
          <w:tcPr>
            <w:tcW w:w="1696" w:type="dxa"/>
            <w:vAlign w:val="center"/>
          </w:tcPr>
          <w:p w14:paraId="644467B8" w14:textId="77777777" w:rsidR="00E579B9" w:rsidRPr="002B5221" w:rsidRDefault="006A1398">
            <w:pPr>
              <w:pStyle w:val="aa"/>
              <w:rPr>
                <w:rFonts w:eastAsia="宋体" w:cs="Times New Roman"/>
              </w:rPr>
            </w:pPr>
            <w:r w:rsidRPr="002B5221">
              <w:rPr>
                <w:rFonts w:eastAsia="宋体" w:cs="Times New Roman"/>
              </w:rPr>
              <w:t>建设项目名称</w:t>
            </w:r>
          </w:p>
        </w:tc>
        <w:tc>
          <w:tcPr>
            <w:tcW w:w="7024" w:type="dxa"/>
            <w:gridSpan w:val="4"/>
            <w:vAlign w:val="center"/>
          </w:tcPr>
          <w:p w14:paraId="2F4BF714" w14:textId="77777777" w:rsidR="00E579B9" w:rsidRPr="002B5221" w:rsidRDefault="006A1398">
            <w:pPr>
              <w:pStyle w:val="aa"/>
              <w:rPr>
                <w:rFonts w:eastAsia="宋体" w:cs="Times New Roman"/>
                <w:lang w:eastAsia="zh-CN"/>
              </w:rPr>
            </w:pPr>
            <w:r w:rsidRPr="002B5221">
              <w:rPr>
                <w:rFonts w:eastAsia="宋体" w:cs="Times New Roman"/>
                <w:lang w:eastAsia="zh-CN"/>
              </w:rPr>
              <w:t>驻马店市驿城区李尧建筑用大理岩矿开采项目</w:t>
            </w:r>
          </w:p>
        </w:tc>
      </w:tr>
      <w:tr w:rsidR="002B5221" w:rsidRPr="002B5221" w14:paraId="4FA74D2D" w14:textId="77777777" w:rsidTr="007C0288">
        <w:trPr>
          <w:trHeight w:hRule="exact" w:val="485"/>
          <w:jc w:val="center"/>
        </w:trPr>
        <w:tc>
          <w:tcPr>
            <w:tcW w:w="1696" w:type="dxa"/>
            <w:vAlign w:val="center"/>
          </w:tcPr>
          <w:p w14:paraId="4A6D6877" w14:textId="77777777" w:rsidR="00E579B9" w:rsidRPr="002B5221" w:rsidRDefault="006A1398">
            <w:pPr>
              <w:pStyle w:val="aa"/>
              <w:rPr>
                <w:rFonts w:eastAsia="宋体" w:cs="Times New Roman"/>
              </w:rPr>
            </w:pPr>
            <w:proofErr w:type="spellStart"/>
            <w:r w:rsidRPr="002B5221">
              <w:rPr>
                <w:rFonts w:eastAsia="宋体" w:cs="Times New Roman"/>
              </w:rPr>
              <w:t>建设地点</w:t>
            </w:r>
            <w:proofErr w:type="spellEnd"/>
          </w:p>
        </w:tc>
        <w:tc>
          <w:tcPr>
            <w:tcW w:w="7024" w:type="dxa"/>
            <w:gridSpan w:val="4"/>
            <w:vAlign w:val="center"/>
          </w:tcPr>
          <w:p w14:paraId="624D6EFA" w14:textId="77777777" w:rsidR="00E579B9" w:rsidRPr="002B5221" w:rsidRDefault="006A1398">
            <w:pPr>
              <w:pStyle w:val="aa"/>
              <w:rPr>
                <w:rFonts w:eastAsia="宋体" w:cs="Times New Roman"/>
                <w:lang w:eastAsia="zh-CN"/>
              </w:rPr>
            </w:pPr>
            <w:r w:rsidRPr="002B5221">
              <w:rPr>
                <w:rFonts w:eastAsia="宋体" w:cs="Times New Roman"/>
                <w:lang w:eastAsia="zh-CN"/>
              </w:rPr>
              <w:t>驻马店市驿城区沙河店镇赵尧村李庄组</w:t>
            </w:r>
          </w:p>
        </w:tc>
      </w:tr>
      <w:tr w:rsidR="00E579B9" w:rsidRPr="0008015C" w14:paraId="126C8C31" w14:textId="77777777" w:rsidTr="007C0288">
        <w:trPr>
          <w:trHeight w:hRule="exact" w:val="482"/>
          <w:jc w:val="center"/>
        </w:trPr>
        <w:tc>
          <w:tcPr>
            <w:tcW w:w="1696" w:type="dxa"/>
            <w:vAlign w:val="center"/>
          </w:tcPr>
          <w:p w14:paraId="6048A7D0" w14:textId="77777777" w:rsidR="00E579B9" w:rsidRPr="0008015C" w:rsidRDefault="006A1398">
            <w:pPr>
              <w:pStyle w:val="aa"/>
              <w:rPr>
                <w:rFonts w:eastAsia="宋体" w:cs="Times New Roman"/>
              </w:rPr>
            </w:pPr>
            <w:proofErr w:type="spellStart"/>
            <w:r w:rsidRPr="0008015C">
              <w:rPr>
                <w:rFonts w:eastAsia="宋体" w:cs="Times New Roman"/>
              </w:rPr>
              <w:t>地理坐标</w:t>
            </w:r>
            <w:proofErr w:type="spellEnd"/>
          </w:p>
        </w:tc>
        <w:tc>
          <w:tcPr>
            <w:tcW w:w="1687" w:type="dxa"/>
            <w:vAlign w:val="center"/>
          </w:tcPr>
          <w:p w14:paraId="5E5AC90D" w14:textId="77777777" w:rsidR="00E579B9" w:rsidRPr="0008015C" w:rsidRDefault="006A1398">
            <w:pPr>
              <w:pStyle w:val="aa"/>
              <w:rPr>
                <w:rFonts w:eastAsia="宋体" w:cs="Times New Roman"/>
              </w:rPr>
            </w:pPr>
            <w:r w:rsidRPr="0008015C">
              <w:rPr>
                <w:rFonts w:eastAsia="宋体" w:cs="Times New Roman"/>
              </w:rPr>
              <w:t>经度</w:t>
            </w:r>
          </w:p>
        </w:tc>
        <w:tc>
          <w:tcPr>
            <w:tcW w:w="1681" w:type="dxa"/>
            <w:vAlign w:val="center"/>
          </w:tcPr>
          <w:p w14:paraId="5BDFE68A" w14:textId="77777777" w:rsidR="00E579B9" w:rsidRPr="0008015C" w:rsidRDefault="006A1398">
            <w:pPr>
              <w:pStyle w:val="aa"/>
              <w:rPr>
                <w:rFonts w:eastAsia="宋体" w:cs="Times New Roman"/>
              </w:rPr>
            </w:pPr>
            <w:r w:rsidRPr="0008015C">
              <w:rPr>
                <w:rFonts w:eastAsia="宋体" w:cs="Times New Roman"/>
              </w:rPr>
              <w:t>113°39′28.9″</w:t>
            </w:r>
          </w:p>
        </w:tc>
        <w:tc>
          <w:tcPr>
            <w:tcW w:w="1380" w:type="dxa"/>
            <w:vAlign w:val="center"/>
          </w:tcPr>
          <w:p w14:paraId="379C2EC6" w14:textId="77777777" w:rsidR="00E579B9" w:rsidRPr="0008015C" w:rsidRDefault="006A1398">
            <w:pPr>
              <w:pStyle w:val="aa"/>
              <w:rPr>
                <w:rFonts w:eastAsia="宋体" w:cs="Times New Roman"/>
              </w:rPr>
            </w:pPr>
            <w:r w:rsidRPr="0008015C">
              <w:rPr>
                <w:rFonts w:eastAsia="宋体" w:cs="Times New Roman"/>
              </w:rPr>
              <w:t>纬度</w:t>
            </w:r>
          </w:p>
        </w:tc>
        <w:tc>
          <w:tcPr>
            <w:tcW w:w="2276" w:type="dxa"/>
            <w:vAlign w:val="center"/>
          </w:tcPr>
          <w:p w14:paraId="7DBB3852" w14:textId="77777777" w:rsidR="00E579B9" w:rsidRPr="0008015C" w:rsidRDefault="006A1398">
            <w:pPr>
              <w:pStyle w:val="aa"/>
              <w:rPr>
                <w:rFonts w:eastAsia="宋体" w:cs="Times New Roman"/>
              </w:rPr>
            </w:pPr>
            <w:r w:rsidRPr="0008015C">
              <w:rPr>
                <w:rFonts w:eastAsia="宋体" w:cs="Times New Roman"/>
              </w:rPr>
              <w:t>33°7′27.05″</w:t>
            </w:r>
          </w:p>
        </w:tc>
      </w:tr>
      <w:tr w:rsidR="00E579B9" w:rsidRPr="0008015C" w14:paraId="3D75AA8E" w14:textId="77777777" w:rsidTr="007C0288">
        <w:trPr>
          <w:trHeight w:hRule="exact" w:val="372"/>
          <w:jc w:val="center"/>
        </w:trPr>
        <w:tc>
          <w:tcPr>
            <w:tcW w:w="1696" w:type="dxa"/>
            <w:vAlign w:val="center"/>
          </w:tcPr>
          <w:p w14:paraId="694AE494" w14:textId="77777777" w:rsidR="00E579B9" w:rsidRPr="0008015C" w:rsidRDefault="006A1398">
            <w:pPr>
              <w:pStyle w:val="aa"/>
              <w:rPr>
                <w:rFonts w:eastAsia="宋体" w:cs="Times New Roman"/>
              </w:rPr>
            </w:pPr>
            <w:r w:rsidRPr="0008015C">
              <w:rPr>
                <w:rFonts w:eastAsia="宋体" w:cs="Times New Roman"/>
              </w:rPr>
              <w:t>主要危险位置及分布</w:t>
            </w:r>
          </w:p>
        </w:tc>
        <w:tc>
          <w:tcPr>
            <w:tcW w:w="7024" w:type="dxa"/>
            <w:gridSpan w:val="4"/>
            <w:vAlign w:val="center"/>
          </w:tcPr>
          <w:p w14:paraId="792FE51E" w14:textId="645F8181" w:rsidR="00E579B9" w:rsidRPr="0008015C" w:rsidRDefault="005A21C8">
            <w:pPr>
              <w:pStyle w:val="aa"/>
              <w:rPr>
                <w:rFonts w:eastAsia="宋体" w:cs="Times New Roman"/>
              </w:rPr>
            </w:pPr>
            <w:r>
              <w:rPr>
                <w:rFonts w:eastAsia="宋体" w:cs="Times New Roman" w:hint="eastAsia"/>
                <w:lang w:eastAsia="zh-CN"/>
              </w:rPr>
              <w:t>储油罐</w:t>
            </w:r>
          </w:p>
        </w:tc>
      </w:tr>
      <w:tr w:rsidR="00E579B9" w:rsidRPr="0008015C" w14:paraId="405198E6" w14:textId="77777777" w:rsidTr="007C0288">
        <w:trPr>
          <w:trHeight w:hRule="exact" w:val="1694"/>
          <w:jc w:val="center"/>
        </w:trPr>
        <w:tc>
          <w:tcPr>
            <w:tcW w:w="1696" w:type="dxa"/>
            <w:vAlign w:val="center"/>
          </w:tcPr>
          <w:p w14:paraId="7F4D473F" w14:textId="2A9E09E6" w:rsidR="00E579B9" w:rsidRPr="0008015C" w:rsidRDefault="006A1398" w:rsidP="007C0288">
            <w:pPr>
              <w:pStyle w:val="aa"/>
              <w:rPr>
                <w:rFonts w:eastAsia="宋体" w:cs="Times New Roman"/>
                <w:lang w:eastAsia="zh-CN"/>
              </w:rPr>
            </w:pPr>
            <w:r w:rsidRPr="0008015C">
              <w:rPr>
                <w:rFonts w:eastAsia="宋体" w:cs="Times New Roman"/>
                <w:lang w:eastAsia="zh-CN"/>
              </w:rPr>
              <w:t>环境影响途径及危害后果</w:t>
            </w:r>
          </w:p>
        </w:tc>
        <w:tc>
          <w:tcPr>
            <w:tcW w:w="7024" w:type="dxa"/>
            <w:gridSpan w:val="4"/>
            <w:vAlign w:val="center"/>
          </w:tcPr>
          <w:p w14:paraId="52B336FE" w14:textId="473DC8A3" w:rsidR="00E579B9" w:rsidRPr="0008015C" w:rsidRDefault="005A21C8">
            <w:pPr>
              <w:pStyle w:val="aa"/>
              <w:rPr>
                <w:rFonts w:eastAsia="宋体" w:cs="Times New Roman"/>
                <w:lang w:eastAsia="zh-CN"/>
              </w:rPr>
            </w:pPr>
            <w:r w:rsidRPr="005A21C8">
              <w:rPr>
                <w:rFonts w:ascii="宋体" w:eastAsia="宋体" w:hAnsi="宋体" w:cs="宋体"/>
                <w:kern w:val="0"/>
                <w:szCs w:val="21"/>
                <w:lang w:eastAsia="zh-CN"/>
              </w:rPr>
              <w:t>储罐破裂泄露，导致周围土壤、植被、地表水和地下水污染，土壤污染可能导致农田和作物的污染，地表水和地下水的污染可能影响植被和作物的灌溉以及水质安全问题</w:t>
            </w:r>
            <w:r>
              <w:rPr>
                <w:rFonts w:ascii="宋体" w:eastAsia="宋体" w:hAnsi="宋体" w:cs="宋体" w:hint="eastAsia"/>
                <w:kern w:val="0"/>
                <w:szCs w:val="21"/>
                <w:lang w:eastAsia="zh-CN"/>
              </w:rPr>
              <w:t>；</w:t>
            </w:r>
            <w:r w:rsidRPr="005A21C8">
              <w:rPr>
                <w:rFonts w:ascii="宋体" w:eastAsia="宋体" w:hAnsi="宋体" w:cs="宋体" w:hint="eastAsia"/>
                <w:kern w:val="0"/>
                <w:szCs w:val="21"/>
                <w:lang w:eastAsia="zh-CN"/>
              </w:rPr>
              <w:t>表土场溃坝</w:t>
            </w:r>
          </w:p>
        </w:tc>
      </w:tr>
      <w:tr w:rsidR="00E579B9" w:rsidRPr="0008015C" w14:paraId="38C8B996" w14:textId="77777777" w:rsidTr="007C0288">
        <w:trPr>
          <w:trHeight w:hRule="exact" w:val="7181"/>
          <w:jc w:val="center"/>
        </w:trPr>
        <w:tc>
          <w:tcPr>
            <w:tcW w:w="1696" w:type="dxa"/>
            <w:vAlign w:val="center"/>
          </w:tcPr>
          <w:p w14:paraId="1563753E" w14:textId="77777777" w:rsidR="00E579B9" w:rsidRPr="0008015C" w:rsidRDefault="006A1398">
            <w:pPr>
              <w:pStyle w:val="aa"/>
              <w:rPr>
                <w:rFonts w:eastAsia="宋体" w:cs="Times New Roman"/>
              </w:rPr>
            </w:pPr>
            <w:r w:rsidRPr="0008015C">
              <w:rPr>
                <w:rFonts w:eastAsia="宋体" w:cs="Times New Roman"/>
              </w:rPr>
              <w:lastRenderedPageBreak/>
              <w:t>风险防范措施要求</w:t>
            </w:r>
          </w:p>
        </w:tc>
        <w:tc>
          <w:tcPr>
            <w:tcW w:w="7024" w:type="dxa"/>
            <w:gridSpan w:val="4"/>
            <w:vAlign w:val="center"/>
          </w:tcPr>
          <w:p w14:paraId="4C5F5F6D" w14:textId="6C9722E5" w:rsidR="005A21C8" w:rsidRPr="005A21C8" w:rsidRDefault="007C0288" w:rsidP="007C0288">
            <w:pPr>
              <w:pStyle w:val="aa"/>
              <w:jc w:val="left"/>
              <w:rPr>
                <w:rFonts w:eastAsia="宋体" w:cs="Times New Roman"/>
                <w:lang w:eastAsia="zh-CN"/>
              </w:rPr>
            </w:pPr>
            <w:r>
              <w:rPr>
                <w:rFonts w:eastAsia="宋体" w:cs="Times New Roman" w:hint="eastAsia"/>
                <w:lang w:eastAsia="zh-CN"/>
              </w:rPr>
              <w:t>（</w:t>
            </w:r>
            <w:r w:rsidR="005A21C8" w:rsidRPr="005A21C8">
              <w:rPr>
                <w:rFonts w:eastAsia="宋体" w:cs="Times New Roman" w:hint="eastAsia"/>
                <w:lang w:eastAsia="zh-CN"/>
              </w:rPr>
              <w:t>1</w:t>
            </w:r>
            <w:r w:rsidR="005A21C8" w:rsidRPr="005A21C8">
              <w:rPr>
                <w:rFonts w:eastAsia="宋体" w:cs="Times New Roman" w:hint="eastAsia"/>
                <w:lang w:eastAsia="zh-CN"/>
              </w:rPr>
              <w:t>）加强储罐材料质量保障，安装储罐泄露和检测系统和监控措施，一旦发生泄露，第一时间发现并采取应急方案；</w:t>
            </w:r>
          </w:p>
          <w:p w14:paraId="0A5A4880" w14:textId="27DF3A86" w:rsidR="005A21C8" w:rsidRPr="005A21C8" w:rsidRDefault="005A21C8" w:rsidP="007C0288">
            <w:pPr>
              <w:pStyle w:val="aa"/>
              <w:jc w:val="left"/>
              <w:rPr>
                <w:rFonts w:eastAsia="宋体" w:cs="Times New Roman"/>
                <w:lang w:eastAsia="zh-CN"/>
              </w:rPr>
            </w:pPr>
            <w:r w:rsidRPr="005A21C8">
              <w:rPr>
                <w:rFonts w:eastAsia="宋体" w:cs="Times New Roman" w:hint="eastAsia"/>
                <w:lang w:eastAsia="zh-CN"/>
              </w:rPr>
              <w:t>（</w:t>
            </w:r>
            <w:r w:rsidRPr="005A21C8">
              <w:rPr>
                <w:rFonts w:eastAsia="宋体" w:cs="Times New Roman" w:hint="eastAsia"/>
                <w:lang w:eastAsia="zh-CN"/>
              </w:rPr>
              <w:t>2</w:t>
            </w:r>
            <w:r w:rsidRPr="005A21C8">
              <w:rPr>
                <w:rFonts w:eastAsia="宋体" w:cs="Times New Roman" w:hint="eastAsia"/>
                <w:lang w:eastAsia="zh-CN"/>
              </w:rPr>
              <w:t>）柴油储罐专门间附近设置底部防渗事故池，贮存间地面按照《危险废物贮存污染控制标准》（</w:t>
            </w:r>
            <w:r w:rsidRPr="005A21C8">
              <w:rPr>
                <w:rFonts w:eastAsia="宋体" w:cs="Times New Roman" w:hint="eastAsia"/>
                <w:lang w:eastAsia="zh-CN"/>
              </w:rPr>
              <w:t>GB18597-2001</w:t>
            </w:r>
            <w:r w:rsidRPr="005A21C8">
              <w:rPr>
                <w:rFonts w:eastAsia="宋体" w:cs="Times New Roman" w:hint="eastAsia"/>
                <w:lang w:eastAsia="zh-CN"/>
              </w:rPr>
              <w:t>）及</w:t>
            </w:r>
            <w:r w:rsidRPr="005A21C8">
              <w:rPr>
                <w:rFonts w:eastAsia="宋体" w:cs="Times New Roman" w:hint="eastAsia"/>
                <w:lang w:eastAsia="zh-CN"/>
              </w:rPr>
              <w:t>2013</w:t>
            </w:r>
            <w:r w:rsidRPr="005A21C8">
              <w:rPr>
                <w:rFonts w:eastAsia="宋体" w:cs="Times New Roman" w:hint="eastAsia"/>
                <w:lang w:eastAsia="zh-CN"/>
              </w:rPr>
              <w:t>修改单要求做好地面防渗，防止泄露造成对周围土壤、地下水的污染；</w:t>
            </w:r>
          </w:p>
          <w:p w14:paraId="33AA484B" w14:textId="39D4E612" w:rsidR="005A21C8" w:rsidRPr="005A21C8" w:rsidRDefault="005A21C8" w:rsidP="007C0288">
            <w:pPr>
              <w:pStyle w:val="aa"/>
              <w:jc w:val="left"/>
              <w:rPr>
                <w:rFonts w:eastAsia="宋体" w:cs="Times New Roman"/>
                <w:lang w:eastAsia="zh-CN"/>
              </w:rPr>
            </w:pPr>
            <w:r w:rsidRPr="005A21C8">
              <w:rPr>
                <w:rFonts w:eastAsia="宋体" w:cs="Times New Roman" w:hint="eastAsia"/>
                <w:lang w:eastAsia="zh-CN"/>
              </w:rPr>
              <w:t>（</w:t>
            </w:r>
            <w:r w:rsidRPr="005A21C8">
              <w:rPr>
                <w:rFonts w:eastAsia="宋体" w:cs="Times New Roman" w:hint="eastAsia"/>
                <w:lang w:eastAsia="zh-CN"/>
              </w:rPr>
              <w:t>3</w:t>
            </w:r>
            <w:r w:rsidRPr="005A21C8">
              <w:rPr>
                <w:rFonts w:eastAsia="宋体" w:cs="Times New Roman" w:hint="eastAsia"/>
                <w:lang w:eastAsia="zh-CN"/>
              </w:rPr>
              <w:t>）柴油储罐专门间建筑结构应采用钢筋混凝土结构，强化构筑物稳定性和抗震性，同时防止外界车辆的意外撞击，鉴于车间内操作设备及机械车辆的振动影响，评价还建议提高贮存间的建设等级和防渗等级；</w:t>
            </w:r>
          </w:p>
          <w:p w14:paraId="26A43C9D" w14:textId="317EA226" w:rsidR="005A21C8" w:rsidRPr="005A21C8" w:rsidRDefault="005A21C8" w:rsidP="007C0288">
            <w:pPr>
              <w:pStyle w:val="aa"/>
              <w:jc w:val="left"/>
              <w:rPr>
                <w:rFonts w:eastAsia="宋体" w:cs="Times New Roman"/>
                <w:lang w:eastAsia="zh-CN"/>
              </w:rPr>
            </w:pPr>
            <w:r w:rsidRPr="005A21C8">
              <w:rPr>
                <w:rFonts w:eastAsia="宋体" w:cs="Times New Roman" w:hint="eastAsia"/>
                <w:lang w:eastAsia="zh-CN"/>
              </w:rPr>
              <w:t>（</w:t>
            </w:r>
            <w:r w:rsidRPr="005A21C8">
              <w:rPr>
                <w:rFonts w:eastAsia="宋体" w:cs="Times New Roman" w:hint="eastAsia"/>
                <w:lang w:eastAsia="zh-CN"/>
              </w:rPr>
              <w:t>4</w:t>
            </w:r>
            <w:r w:rsidRPr="005A21C8">
              <w:rPr>
                <w:rFonts w:eastAsia="宋体" w:cs="Times New Roman" w:hint="eastAsia"/>
                <w:lang w:eastAsia="zh-CN"/>
              </w:rPr>
              <w:t>）防火，除了在使用的现场要禁明火以外，储存的地方尤其要禁火禁止吸烟。</w:t>
            </w:r>
          </w:p>
          <w:p w14:paraId="3236D9F1" w14:textId="77777777" w:rsidR="005A21C8" w:rsidRDefault="005A21C8" w:rsidP="007C0288">
            <w:pPr>
              <w:pStyle w:val="aa"/>
              <w:jc w:val="left"/>
              <w:rPr>
                <w:rFonts w:eastAsia="宋体" w:cs="Times New Roman"/>
                <w:lang w:eastAsia="zh-CN"/>
              </w:rPr>
            </w:pPr>
            <w:r w:rsidRPr="005A21C8">
              <w:rPr>
                <w:rFonts w:eastAsia="宋体" w:cs="Times New Roman" w:hint="eastAsia"/>
                <w:lang w:eastAsia="zh-CN"/>
              </w:rPr>
              <w:t>（</w:t>
            </w:r>
            <w:r w:rsidRPr="005A21C8">
              <w:rPr>
                <w:rFonts w:eastAsia="宋体" w:cs="Times New Roman" w:hint="eastAsia"/>
                <w:lang w:eastAsia="zh-CN"/>
              </w:rPr>
              <w:t>5</w:t>
            </w:r>
            <w:r w:rsidRPr="005A21C8">
              <w:rPr>
                <w:rFonts w:eastAsia="宋体" w:cs="Times New Roman" w:hint="eastAsia"/>
                <w:lang w:eastAsia="zh-CN"/>
              </w:rPr>
              <w:t>）防泄漏，每次使用完后，要检查阀门是否关闭。</w:t>
            </w:r>
          </w:p>
          <w:p w14:paraId="0A999630" w14:textId="621F5409" w:rsidR="005A21C8" w:rsidRPr="005A21C8" w:rsidRDefault="005A21C8" w:rsidP="007C0288">
            <w:pPr>
              <w:pStyle w:val="aa"/>
              <w:jc w:val="left"/>
              <w:rPr>
                <w:rFonts w:eastAsia="宋体" w:cs="Times New Roman"/>
                <w:lang w:eastAsia="zh-CN"/>
              </w:rPr>
            </w:pPr>
            <w:r w:rsidRPr="005A21C8">
              <w:rPr>
                <w:rFonts w:eastAsia="宋体" w:cs="Times New Roman" w:hint="eastAsia"/>
                <w:lang w:eastAsia="zh-CN"/>
              </w:rPr>
              <w:t>（</w:t>
            </w:r>
            <w:r w:rsidRPr="005A21C8">
              <w:rPr>
                <w:rFonts w:eastAsia="宋体" w:cs="Times New Roman" w:hint="eastAsia"/>
                <w:lang w:eastAsia="zh-CN"/>
              </w:rPr>
              <w:t>6</w:t>
            </w:r>
            <w:r w:rsidRPr="005A21C8">
              <w:rPr>
                <w:rFonts w:eastAsia="宋体" w:cs="Times New Roman" w:hint="eastAsia"/>
                <w:lang w:eastAsia="zh-CN"/>
              </w:rPr>
              <w:t>）操作注意事项：密闭操作，加强通风。远离火种、热源，工作场所严禁吸烟。配备相应品种和数量的消防器材及泄漏应急处理设备。</w:t>
            </w:r>
          </w:p>
          <w:p w14:paraId="04040ECA" w14:textId="378B0DA4" w:rsidR="005A21C8" w:rsidRPr="005A21C8" w:rsidRDefault="005A21C8" w:rsidP="007C0288">
            <w:pPr>
              <w:pStyle w:val="aa"/>
              <w:jc w:val="left"/>
              <w:rPr>
                <w:rFonts w:eastAsia="宋体" w:cs="Times New Roman"/>
                <w:lang w:eastAsia="zh-CN"/>
              </w:rPr>
            </w:pPr>
            <w:r w:rsidRPr="005A21C8">
              <w:rPr>
                <w:rFonts w:eastAsia="宋体" w:cs="Times New Roman" w:hint="eastAsia"/>
                <w:lang w:eastAsia="zh-CN"/>
              </w:rPr>
              <w:t>（</w:t>
            </w:r>
            <w:r w:rsidRPr="005A21C8">
              <w:rPr>
                <w:rFonts w:eastAsia="宋体" w:cs="Times New Roman" w:hint="eastAsia"/>
                <w:lang w:eastAsia="zh-CN"/>
              </w:rPr>
              <w:t>7</w:t>
            </w:r>
            <w:r w:rsidRPr="005A21C8">
              <w:rPr>
                <w:rFonts w:eastAsia="宋体" w:cs="Times New Roman" w:hint="eastAsia"/>
                <w:lang w:eastAsia="zh-CN"/>
              </w:rPr>
              <w:t>）储存注意事项：储存于阴凉、通风的库房。远离火种、热源。库温不宜超过</w:t>
            </w:r>
            <w:r w:rsidRPr="005A21C8">
              <w:rPr>
                <w:rFonts w:eastAsia="宋体" w:cs="Times New Roman" w:hint="eastAsia"/>
                <w:lang w:eastAsia="zh-CN"/>
              </w:rPr>
              <w:t>30</w:t>
            </w:r>
            <w:r w:rsidRPr="005A21C8">
              <w:rPr>
                <w:rFonts w:eastAsia="宋体" w:cs="Times New Roman" w:hint="eastAsia"/>
                <w:lang w:eastAsia="zh-CN"/>
              </w:rPr>
              <w:t>℃。保持容器密封。应与氧化剂、酸类、碱金属等分开存放，切忌混储。采用防爆型照明、通风设施。禁止使用易产生火花的机械设备和工具。</w:t>
            </w:r>
          </w:p>
          <w:p w14:paraId="2AB80FE9" w14:textId="4858CFBF" w:rsidR="005A21C8" w:rsidRPr="005A21C8" w:rsidRDefault="005A21C8" w:rsidP="007C0288">
            <w:pPr>
              <w:pStyle w:val="aa"/>
              <w:jc w:val="left"/>
              <w:rPr>
                <w:rFonts w:eastAsia="宋体" w:cs="Times New Roman"/>
                <w:lang w:eastAsia="zh-CN"/>
              </w:rPr>
            </w:pPr>
            <w:r w:rsidRPr="005A21C8">
              <w:rPr>
                <w:rFonts w:eastAsia="宋体" w:cs="Times New Roman" w:hint="eastAsia"/>
                <w:lang w:eastAsia="zh-CN"/>
              </w:rPr>
              <w:t>（</w:t>
            </w:r>
            <w:r w:rsidRPr="005A21C8">
              <w:rPr>
                <w:rFonts w:eastAsia="宋体" w:cs="Times New Roman" w:hint="eastAsia"/>
                <w:lang w:eastAsia="zh-CN"/>
              </w:rPr>
              <w:t>8</w:t>
            </w:r>
            <w:r w:rsidRPr="005A21C8">
              <w:rPr>
                <w:rFonts w:eastAsia="宋体" w:cs="Times New Roman" w:hint="eastAsia"/>
                <w:lang w:eastAsia="zh-CN"/>
              </w:rPr>
              <w:t>）破碎车间内，尤其在柴油专门贮存间附近应设置手提式干粉灭火器；</w:t>
            </w:r>
          </w:p>
          <w:p w14:paraId="72471DC8" w14:textId="77777777" w:rsidR="005A21C8" w:rsidRPr="005A21C8" w:rsidRDefault="005A21C8" w:rsidP="007C0288">
            <w:pPr>
              <w:pStyle w:val="aa"/>
              <w:jc w:val="left"/>
              <w:rPr>
                <w:rFonts w:eastAsia="宋体" w:cs="Times New Roman"/>
                <w:lang w:eastAsia="zh-CN"/>
              </w:rPr>
            </w:pPr>
            <w:r w:rsidRPr="005A21C8">
              <w:rPr>
                <w:rFonts w:eastAsia="宋体" w:cs="Times New Roman" w:hint="eastAsia"/>
                <w:lang w:eastAsia="zh-CN"/>
              </w:rPr>
              <w:t>（</w:t>
            </w:r>
            <w:r w:rsidRPr="005A21C8">
              <w:rPr>
                <w:rFonts w:eastAsia="宋体" w:cs="Times New Roman" w:hint="eastAsia"/>
                <w:lang w:eastAsia="zh-CN"/>
              </w:rPr>
              <w:t>9</w:t>
            </w:r>
            <w:r w:rsidRPr="005A21C8">
              <w:rPr>
                <w:rFonts w:eastAsia="宋体" w:cs="Times New Roman" w:hint="eastAsia"/>
                <w:lang w:eastAsia="zh-CN"/>
              </w:rPr>
              <w:t>）加强环境保护设施的日常维护和管理以及人员的培训工作；</w:t>
            </w:r>
          </w:p>
          <w:p w14:paraId="23957C27" w14:textId="2D4E6E14" w:rsidR="005A21C8" w:rsidRPr="0008015C" w:rsidRDefault="005A21C8" w:rsidP="007C0288">
            <w:pPr>
              <w:pStyle w:val="aa"/>
              <w:jc w:val="left"/>
              <w:rPr>
                <w:rFonts w:eastAsia="宋体" w:cs="Times New Roman"/>
                <w:lang w:eastAsia="zh-CN"/>
              </w:rPr>
            </w:pPr>
            <w:r w:rsidRPr="005A21C8">
              <w:rPr>
                <w:rFonts w:eastAsia="宋体" w:cs="Times New Roman" w:hint="eastAsia"/>
                <w:lang w:eastAsia="zh-CN"/>
              </w:rPr>
              <w:t>（</w:t>
            </w:r>
            <w:r w:rsidRPr="005A21C8">
              <w:rPr>
                <w:rFonts w:eastAsia="宋体" w:cs="Times New Roman" w:hint="eastAsia"/>
                <w:lang w:eastAsia="zh-CN"/>
              </w:rPr>
              <w:t>10</w:t>
            </w:r>
            <w:r w:rsidRPr="005A21C8">
              <w:rPr>
                <w:rFonts w:eastAsia="宋体" w:cs="Times New Roman" w:hint="eastAsia"/>
                <w:lang w:eastAsia="zh-CN"/>
              </w:rPr>
              <w:t>）完善环境保护突发事故应急预案。</w:t>
            </w:r>
          </w:p>
        </w:tc>
      </w:tr>
      <w:tr w:rsidR="00E579B9" w:rsidRPr="0008015C" w14:paraId="02FCCEE6" w14:textId="77777777">
        <w:trPr>
          <w:trHeight w:hRule="exact" w:val="917"/>
          <w:jc w:val="center"/>
        </w:trPr>
        <w:tc>
          <w:tcPr>
            <w:tcW w:w="8720" w:type="dxa"/>
            <w:gridSpan w:val="5"/>
            <w:vAlign w:val="center"/>
          </w:tcPr>
          <w:p w14:paraId="07848C08" w14:textId="04C2DB7E" w:rsidR="00E579B9" w:rsidRPr="0008015C" w:rsidRDefault="006A1398">
            <w:pPr>
              <w:pStyle w:val="aa"/>
              <w:rPr>
                <w:rFonts w:eastAsia="宋体" w:cs="Times New Roman"/>
                <w:lang w:eastAsia="zh-CN"/>
              </w:rPr>
            </w:pPr>
            <w:r w:rsidRPr="0008015C">
              <w:rPr>
                <w:rFonts w:eastAsia="宋体" w:cs="Times New Roman"/>
                <w:lang w:eastAsia="zh-CN"/>
              </w:rPr>
              <w:t>填表说明：根据《建设项目环境风险评价技术导则》</w:t>
            </w:r>
            <w:r w:rsidRPr="0008015C">
              <w:rPr>
                <w:rFonts w:eastAsia="宋体" w:cs="Times New Roman"/>
                <w:lang w:eastAsia="zh-CN"/>
              </w:rPr>
              <w:t>(HJ169-2018)</w:t>
            </w:r>
            <w:r w:rsidRPr="0008015C">
              <w:rPr>
                <w:rFonts w:eastAsia="宋体" w:cs="Times New Roman"/>
                <w:lang w:eastAsia="zh-CN"/>
              </w:rPr>
              <w:t>，判定项目风险潜势为</w:t>
            </w:r>
            <w:r w:rsidRPr="0008015C">
              <w:rPr>
                <w:rFonts w:eastAsia="宋体" w:cs="Times New Roman"/>
                <w:lang w:eastAsia="zh-CN"/>
              </w:rPr>
              <w:t>I</w:t>
            </w:r>
            <w:r w:rsidRPr="0008015C">
              <w:rPr>
                <w:rFonts w:eastAsia="宋体" w:cs="Times New Roman"/>
                <w:lang w:eastAsia="zh-CN"/>
              </w:rPr>
              <w:t>，可开展简单分析。</w:t>
            </w:r>
          </w:p>
        </w:tc>
      </w:tr>
    </w:tbl>
    <w:p w14:paraId="379A05AD" w14:textId="77777777" w:rsidR="00E579B9" w:rsidRDefault="006A1398">
      <w:pPr>
        <w:pStyle w:val="2"/>
        <w:ind w:firstLine="560"/>
      </w:pPr>
      <w:bookmarkStart w:id="448" w:name="_Toc535847579"/>
      <w:bookmarkStart w:id="449" w:name="_Toc33021818"/>
      <w:r>
        <w:t>7.3</w:t>
      </w:r>
      <w:r>
        <w:rPr>
          <w:rFonts w:hint="eastAsia"/>
        </w:rPr>
        <w:t>服务期满后生态保护措施分析</w:t>
      </w:r>
      <w:bookmarkEnd w:id="448"/>
      <w:bookmarkEnd w:id="449"/>
    </w:p>
    <w:p w14:paraId="2AD89990" w14:textId="77777777" w:rsidR="00E579B9" w:rsidRDefault="006A1398">
      <w:bookmarkStart w:id="450" w:name="_Toc535847580"/>
      <w:r>
        <w:rPr>
          <w:rFonts w:hint="eastAsia"/>
        </w:rPr>
        <w:t>本矿山生产服务年限为</w:t>
      </w:r>
      <w:r>
        <w:t>9.5</w:t>
      </w:r>
      <w:r>
        <w:rPr>
          <w:rFonts w:hint="eastAsia"/>
        </w:rPr>
        <w:t>年，评价提出闭矿期对场地进行植被恢复和矿区生态重建。</w:t>
      </w:r>
    </w:p>
    <w:p w14:paraId="52880061" w14:textId="77777777" w:rsidR="00E579B9" w:rsidRDefault="006A1398">
      <w:r>
        <w:t>1</w:t>
      </w:r>
      <w:r>
        <w:rPr>
          <w:rFonts w:hint="eastAsia"/>
        </w:rPr>
        <w:t>、对工业场地地面不利用建筑进行拆除；</w:t>
      </w:r>
    </w:p>
    <w:p w14:paraId="468365A0" w14:textId="77777777" w:rsidR="00E579B9" w:rsidRDefault="006A1398">
      <w:r>
        <w:t>2</w:t>
      </w:r>
      <w:r>
        <w:rPr>
          <w:rFonts w:hint="eastAsia"/>
        </w:rPr>
        <w:t>、建筑垃圾运往当地专用堆放场地处置；</w:t>
      </w:r>
    </w:p>
    <w:p w14:paraId="39DE838B" w14:textId="77777777" w:rsidR="00E579B9" w:rsidRDefault="006A1398">
      <w:r>
        <w:t>3</w:t>
      </w:r>
      <w:r>
        <w:rPr>
          <w:rFonts w:hint="eastAsia"/>
        </w:rPr>
        <w:t>、开采区恢复措施以栽植乔木和灌草为主，乔木、灌木及草种应选择当地乡土植物为主。</w:t>
      </w:r>
    </w:p>
    <w:p w14:paraId="28692BDC" w14:textId="77777777" w:rsidR="00E579B9" w:rsidRDefault="006A1398">
      <w:pPr>
        <w:ind w:firstLine="472"/>
      </w:pPr>
      <w:r>
        <w:rPr>
          <w:rFonts w:hint="eastAsia"/>
          <w:spacing w:val="-2"/>
        </w:rPr>
        <w:lastRenderedPageBreak/>
        <w:t>由于采矿活动会形成露天采坑、废弃工业场地等，如果采取措施不当或未采取防护措施，容易造成滑坡、水土流失等自然灾害。因此，矿山闭坑时，企业应对采矿造成的</w:t>
      </w:r>
      <w:r>
        <w:rPr>
          <w:rFonts w:hint="eastAsia"/>
        </w:rPr>
        <w:t>环境问题进行处理，以保护生态环境。</w:t>
      </w:r>
    </w:p>
    <w:p w14:paraId="65C471E2" w14:textId="77777777" w:rsidR="00E579B9" w:rsidRDefault="006A1398">
      <w:r>
        <w:rPr>
          <w:rFonts w:hint="eastAsia"/>
        </w:rPr>
        <w:t>生态恢复内容如下：</w:t>
      </w:r>
    </w:p>
    <w:p w14:paraId="3C51D893" w14:textId="77777777" w:rsidR="00E579B9" w:rsidRDefault="006A1398">
      <w:r>
        <w:rPr>
          <w:rFonts w:hint="eastAsia"/>
        </w:rPr>
        <w:t>（</w:t>
      </w:r>
      <w:r>
        <w:t>1</w:t>
      </w:r>
      <w:r>
        <w:rPr>
          <w:rFonts w:hint="eastAsia"/>
        </w:rPr>
        <w:t>）露采坑</w:t>
      </w:r>
      <w:r>
        <w:rPr>
          <w:rFonts w:hint="eastAsia"/>
          <w:spacing w:val="-2"/>
        </w:rPr>
        <w:t>根据项目开拓特点，要求闭矿期对露采坑进行回填、平整、覆土。根据核算及矿山</w:t>
      </w:r>
      <w:r>
        <w:rPr>
          <w:rFonts w:hint="eastAsia"/>
        </w:rPr>
        <w:t>开采终了图，开采结束后，露天采场形成</w:t>
      </w:r>
      <w:r>
        <w:t>1</w:t>
      </w:r>
      <w:r>
        <w:rPr>
          <w:rFonts w:hint="eastAsia"/>
        </w:rPr>
        <w:t>个终了台阶，矿山运行期对矿山终了台阶复垦为林地，林地覆土厚度为</w:t>
      </w:r>
      <w:r>
        <w:t>30cm</w:t>
      </w:r>
      <w:r>
        <w:rPr>
          <w:rFonts w:hint="eastAsia"/>
        </w:rPr>
        <w:t>；其余台阶清扫平台、安全平台和坡面复垦为灌草地，草地覆土厚度为</w:t>
      </w:r>
      <w:r>
        <w:t>20~30cm</w:t>
      </w:r>
      <w:r>
        <w:rPr>
          <w:rFonts w:hint="eastAsia"/>
        </w:rPr>
        <w:t>：露天采区共需覆量</w:t>
      </w:r>
      <w:r>
        <w:t>8.895</w:t>
      </w:r>
      <w:r>
        <w:rPr>
          <w:rFonts w:hint="eastAsia"/>
        </w:rPr>
        <w:t>万</w:t>
      </w:r>
      <w:r>
        <w:t>m</w:t>
      </w:r>
      <w:r>
        <w:rPr>
          <w:vertAlign w:val="superscript"/>
        </w:rPr>
        <w:t>3</w:t>
      </w:r>
      <w:r>
        <w:rPr>
          <w:rFonts w:hint="eastAsia"/>
        </w:rPr>
        <w:t>，覆土来源于矿山运营期的剥离表土。</w:t>
      </w:r>
    </w:p>
    <w:p w14:paraId="2AEE4157" w14:textId="77777777" w:rsidR="00E579B9" w:rsidRDefault="006A1398">
      <w:r>
        <w:rPr>
          <w:rFonts w:hint="eastAsia"/>
        </w:rPr>
        <w:t>（</w:t>
      </w:r>
      <w:r>
        <w:t>2</w:t>
      </w:r>
      <w:r>
        <w:rPr>
          <w:rFonts w:hint="eastAsia"/>
        </w:rPr>
        <w:t>）矿山道路根据核算，本项目矿山运输道路分为两部分，一是利用矿区南部已有外部运输道路，二是新修运矿道路，矿区专用道路在使用期间，对道路两侧进行绿化。闭矿后，对破坏的道路进行维修恢复，继续作为农村道路供当地村民使用。</w:t>
      </w:r>
    </w:p>
    <w:p w14:paraId="114D7A74" w14:textId="77777777" w:rsidR="00E579B9" w:rsidRDefault="006A1398">
      <w:r>
        <w:rPr>
          <w:rFonts w:hint="eastAsia"/>
        </w:rPr>
        <w:t>（</w:t>
      </w:r>
      <w:r>
        <w:t>3</w:t>
      </w:r>
      <w:r>
        <w:rPr>
          <w:rFonts w:hint="eastAsia"/>
        </w:rPr>
        <w:t>）工业场地</w:t>
      </w:r>
      <w:r>
        <w:rPr>
          <w:rFonts w:hint="eastAsia"/>
        </w:rPr>
        <w:t>(</w:t>
      </w:r>
      <w:r>
        <w:rPr>
          <w:rFonts w:hint="eastAsia"/>
        </w:rPr>
        <w:t>破碎加工厂</w:t>
      </w:r>
      <w:r>
        <w:rPr>
          <w:rFonts w:hint="eastAsia"/>
        </w:rPr>
        <w:t>)</w:t>
      </w:r>
      <w:r>
        <w:rPr>
          <w:rFonts w:hint="eastAsia"/>
          <w:spacing w:val="-2"/>
        </w:rPr>
        <w:t>矿山闭坑后，对工业场地建筑物进行拆除，建筑物拆除后，清除矿区硬化地面、对压实的地表进行松翻，清除碎石、砖块等影响植物生长的杂物，将固体废弃物回填至采</w:t>
      </w:r>
      <w:r>
        <w:rPr>
          <w:rFonts w:hint="eastAsia"/>
        </w:rPr>
        <w:t>坑内，平整场地恢复其土地功能，依据采矿前的土地性质，覆盖</w:t>
      </w:r>
      <w:r>
        <w:t>30cm</w:t>
      </w:r>
      <w:r>
        <w:rPr>
          <w:rFonts w:hint="eastAsia"/>
        </w:rPr>
        <w:t>表层土，覆土来源于表土临时堆场的剥离表土，覆土完毕后，植树种草，恢复面积约</w:t>
      </w:r>
      <w:r>
        <w:t>4.67hm</w:t>
      </w:r>
      <w:r>
        <w:rPr>
          <w:position w:val="8"/>
          <w:sz w:val="15"/>
          <w:szCs w:val="15"/>
        </w:rPr>
        <w:t>2</w:t>
      </w:r>
      <w:r>
        <w:rPr>
          <w:rFonts w:hint="eastAsia"/>
        </w:rPr>
        <w:t>。</w:t>
      </w:r>
    </w:p>
    <w:p w14:paraId="645F716E" w14:textId="77777777" w:rsidR="00E579B9" w:rsidRDefault="006A1398">
      <w:r>
        <w:rPr>
          <w:rFonts w:hint="eastAsia"/>
        </w:rPr>
        <w:t>（</w:t>
      </w:r>
      <w:r>
        <w:t>4</w:t>
      </w:r>
      <w:r>
        <w:rPr>
          <w:rFonts w:hint="eastAsia"/>
        </w:rPr>
        <w:t>）表土临时堆场</w:t>
      </w:r>
    </w:p>
    <w:p w14:paraId="3C8F7921" w14:textId="77777777" w:rsidR="00E579B9" w:rsidRDefault="006A1398">
      <w:r>
        <w:rPr>
          <w:rFonts w:hint="eastAsia"/>
        </w:rPr>
        <w:t>矿山服务期满后，表土临时堆场堆存的废土石用于其他区域生态恢复之后地表形</w:t>
      </w:r>
      <w:r>
        <w:rPr>
          <w:rFonts w:hint="eastAsia"/>
          <w:spacing w:val="-2"/>
        </w:rPr>
        <w:t>成裸露，需对废石场表面覆土，对表土场表面进行植树种草，恢复为灌草地，恢复面积</w:t>
      </w:r>
      <w:r>
        <w:t>1hm</w:t>
      </w:r>
      <w:r>
        <w:rPr>
          <w:position w:val="8"/>
          <w:sz w:val="15"/>
          <w:szCs w:val="15"/>
        </w:rPr>
        <w:t>2</w:t>
      </w:r>
      <w:r>
        <w:rPr>
          <w:rFonts w:hint="eastAsia"/>
        </w:rPr>
        <w:t>，覆土厚度</w:t>
      </w:r>
      <w:r>
        <w:t>40cm</w:t>
      </w:r>
      <w:r>
        <w:rPr>
          <w:rFonts w:hint="eastAsia"/>
        </w:rPr>
        <w:t>，覆土</w:t>
      </w:r>
      <w:r>
        <w:t>0.4</w:t>
      </w:r>
      <w:r>
        <w:rPr>
          <w:rFonts w:hint="eastAsia"/>
        </w:rPr>
        <w:t>万</w:t>
      </w:r>
      <w:r>
        <w:t>m</w:t>
      </w:r>
      <w:r>
        <w:rPr>
          <w:position w:val="8"/>
          <w:sz w:val="15"/>
          <w:szCs w:val="15"/>
        </w:rPr>
        <w:t>3</w:t>
      </w:r>
      <w:r>
        <w:rPr>
          <w:rFonts w:hint="eastAsia"/>
        </w:rPr>
        <w:t>，土源为本区内堆放表土。</w:t>
      </w:r>
    </w:p>
    <w:p w14:paraId="7E7654F0" w14:textId="77777777" w:rsidR="00E579B9" w:rsidRDefault="006A1398">
      <w:pPr>
        <w:rPr>
          <w:highlight w:val="yellow"/>
        </w:rPr>
        <w:sectPr w:rsidR="00E579B9">
          <w:headerReference w:type="even" r:id="rId78"/>
          <w:headerReference w:type="default" r:id="rId79"/>
          <w:footerReference w:type="even" r:id="rId80"/>
          <w:footerReference w:type="default" r:id="rId81"/>
          <w:headerReference w:type="first" r:id="rId82"/>
          <w:footerReference w:type="first" r:id="rId83"/>
          <w:pgSz w:w="11906" w:h="16838"/>
          <w:pgMar w:top="1701" w:right="1588" w:bottom="1985" w:left="1588" w:header="1077" w:footer="680" w:gutter="0"/>
          <w:cols w:space="720"/>
          <w:docGrid w:type="lines" w:linePitch="312"/>
        </w:sectPr>
      </w:pPr>
      <w:r>
        <w:rPr>
          <w:rFonts w:hint="eastAsia"/>
        </w:rPr>
        <w:t>表土堆场经全面整地、覆土后，灌草结合恢复植被。灌木选择紫穗槐，株行距</w:t>
      </w:r>
      <w:r>
        <w:t>1</w:t>
      </w:r>
      <w:r>
        <w:rPr>
          <w:rFonts w:hint="eastAsia"/>
        </w:rPr>
        <w:t>×</w:t>
      </w:r>
      <w:r>
        <w:rPr>
          <w:spacing w:val="2"/>
        </w:rPr>
        <w:t>1m</w:t>
      </w:r>
      <w:r>
        <w:rPr>
          <w:rFonts w:hint="eastAsia"/>
          <w:spacing w:val="2"/>
        </w:rPr>
        <w:t>，品字形配置，要求选择</w:t>
      </w:r>
      <w:r>
        <w:t>1-2</w:t>
      </w:r>
      <w:r>
        <w:rPr>
          <w:rFonts w:hint="eastAsia"/>
        </w:rPr>
        <w:t>年生苗木，灌丛高</w:t>
      </w:r>
      <w:r>
        <w:t>0.4~0.6m</w:t>
      </w:r>
      <w:r>
        <w:rPr>
          <w:rFonts w:hint="eastAsia"/>
        </w:rPr>
        <w:t>，草种为狗牙根，播种量</w:t>
      </w:r>
      <w:r>
        <w:t>15kg/hm</w:t>
      </w:r>
      <w:r>
        <w:rPr>
          <w:position w:val="8"/>
          <w:sz w:val="15"/>
          <w:szCs w:val="15"/>
        </w:rPr>
        <w:t>2</w:t>
      </w:r>
      <w:r>
        <w:rPr>
          <w:rFonts w:hint="eastAsia"/>
        </w:rPr>
        <w:t>。</w:t>
      </w:r>
    </w:p>
    <w:p w14:paraId="1CA56583" w14:textId="77777777" w:rsidR="00E579B9" w:rsidRDefault="006A1398">
      <w:pPr>
        <w:pStyle w:val="2"/>
        <w:ind w:firstLine="560"/>
      </w:pPr>
      <w:bookmarkStart w:id="451" w:name="_Toc33021819"/>
      <w:bookmarkEnd w:id="450"/>
      <w:r>
        <w:lastRenderedPageBreak/>
        <w:t>7.4</w:t>
      </w:r>
      <w:r>
        <w:rPr>
          <w:rFonts w:hint="eastAsia"/>
        </w:rPr>
        <w:t>工程污染防治措施及生态保护措施汇总</w:t>
      </w:r>
      <w:bookmarkEnd w:id="451"/>
    </w:p>
    <w:p w14:paraId="103422D7" w14:textId="77777777" w:rsidR="00E579B9" w:rsidRDefault="006A1398">
      <w:pPr>
        <w:pStyle w:val="21"/>
        <w:rPr>
          <w:szCs w:val="24"/>
        </w:rPr>
      </w:pPr>
      <w:r>
        <w:rPr>
          <w:rFonts w:hint="eastAsia"/>
        </w:rPr>
        <w:t>表</w:t>
      </w:r>
      <w:r>
        <w:t>7.4-1</w:t>
      </w:r>
      <w:r>
        <w:rPr>
          <w:rFonts w:hint="eastAsia"/>
        </w:rPr>
        <w:t>本项目工程污染防治措施及生态保护措施汇总表</w:t>
      </w:r>
    </w:p>
    <w:tbl>
      <w:tblPr>
        <w:tblW w:w="13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
        <w:gridCol w:w="374"/>
        <w:gridCol w:w="821"/>
        <w:gridCol w:w="4601"/>
        <w:gridCol w:w="2430"/>
        <w:gridCol w:w="2911"/>
        <w:gridCol w:w="927"/>
        <w:gridCol w:w="795"/>
      </w:tblGrid>
      <w:tr w:rsidR="00E579B9" w14:paraId="5D4D1988" w14:textId="77777777">
        <w:trPr>
          <w:trHeight w:val="340"/>
          <w:tblHeader/>
          <w:jc w:val="center"/>
        </w:trPr>
        <w:tc>
          <w:tcPr>
            <w:tcW w:w="1498" w:type="dxa"/>
            <w:gridSpan w:val="3"/>
            <w:vAlign w:val="center"/>
          </w:tcPr>
          <w:p w14:paraId="3B295A30" w14:textId="77777777" w:rsidR="00E579B9" w:rsidRDefault="006A1398">
            <w:pPr>
              <w:pStyle w:val="aa"/>
            </w:pPr>
            <w:r>
              <w:t>工程项</w:t>
            </w:r>
            <w:r>
              <w:rPr>
                <w:rFonts w:hint="eastAsia"/>
              </w:rPr>
              <w:t>目</w:t>
            </w:r>
          </w:p>
        </w:tc>
        <w:tc>
          <w:tcPr>
            <w:tcW w:w="4601" w:type="dxa"/>
            <w:vAlign w:val="center"/>
          </w:tcPr>
          <w:p w14:paraId="3C75B33D" w14:textId="77777777" w:rsidR="00E579B9" w:rsidRDefault="006A1398">
            <w:pPr>
              <w:pStyle w:val="aa"/>
            </w:pPr>
            <w:r>
              <w:t>处理（保护）措施</w:t>
            </w:r>
          </w:p>
        </w:tc>
        <w:tc>
          <w:tcPr>
            <w:tcW w:w="2430" w:type="dxa"/>
            <w:vAlign w:val="center"/>
          </w:tcPr>
          <w:p w14:paraId="0A69EFCC" w14:textId="77777777" w:rsidR="00E579B9" w:rsidRDefault="006A1398">
            <w:pPr>
              <w:pStyle w:val="aa"/>
            </w:pPr>
            <w:r>
              <w:t>环保设施</w:t>
            </w:r>
          </w:p>
        </w:tc>
        <w:tc>
          <w:tcPr>
            <w:tcW w:w="2911" w:type="dxa"/>
            <w:vAlign w:val="center"/>
          </w:tcPr>
          <w:p w14:paraId="1D212746" w14:textId="77777777" w:rsidR="00E579B9" w:rsidRDefault="006A1398">
            <w:pPr>
              <w:pStyle w:val="aa"/>
            </w:pPr>
            <w:r>
              <w:t>治理效果</w:t>
            </w:r>
          </w:p>
        </w:tc>
        <w:tc>
          <w:tcPr>
            <w:tcW w:w="927" w:type="dxa"/>
            <w:vAlign w:val="center"/>
          </w:tcPr>
          <w:p w14:paraId="1BEC6AD2" w14:textId="77777777" w:rsidR="00E579B9" w:rsidRDefault="006A1398">
            <w:pPr>
              <w:pStyle w:val="aa"/>
            </w:pPr>
            <w:r>
              <w:t>投资</w:t>
            </w:r>
          </w:p>
          <w:p w14:paraId="57CAAB37" w14:textId="77777777" w:rsidR="00E579B9" w:rsidRDefault="006A1398">
            <w:pPr>
              <w:pStyle w:val="aa"/>
            </w:pPr>
            <w:r>
              <w:t>（万元）</w:t>
            </w:r>
          </w:p>
        </w:tc>
        <w:tc>
          <w:tcPr>
            <w:tcW w:w="795" w:type="dxa"/>
            <w:vAlign w:val="center"/>
          </w:tcPr>
          <w:p w14:paraId="15174E46" w14:textId="77777777" w:rsidR="00E579B9" w:rsidRDefault="006A1398">
            <w:pPr>
              <w:pStyle w:val="aa"/>
            </w:pPr>
            <w:r>
              <w:t>实施</w:t>
            </w:r>
          </w:p>
          <w:p w14:paraId="3A229F7C" w14:textId="77777777" w:rsidR="00E579B9" w:rsidRDefault="006A1398">
            <w:pPr>
              <w:pStyle w:val="aa"/>
            </w:pPr>
            <w:r>
              <w:t>时间</w:t>
            </w:r>
          </w:p>
        </w:tc>
      </w:tr>
      <w:tr w:rsidR="00E579B9" w14:paraId="2664E202" w14:textId="77777777">
        <w:trPr>
          <w:trHeight w:val="340"/>
          <w:jc w:val="center"/>
        </w:trPr>
        <w:tc>
          <w:tcPr>
            <w:tcW w:w="303" w:type="dxa"/>
            <w:vMerge w:val="restart"/>
            <w:vAlign w:val="center"/>
          </w:tcPr>
          <w:p w14:paraId="71D96D2A" w14:textId="77777777" w:rsidR="00E579B9" w:rsidRDefault="006A1398">
            <w:pPr>
              <w:pStyle w:val="aa"/>
            </w:pPr>
            <w:r>
              <w:t>建设期</w:t>
            </w:r>
          </w:p>
        </w:tc>
        <w:tc>
          <w:tcPr>
            <w:tcW w:w="374" w:type="dxa"/>
            <w:vAlign w:val="center"/>
          </w:tcPr>
          <w:p w14:paraId="3D3DE0A4" w14:textId="77777777" w:rsidR="00E579B9" w:rsidRDefault="006A1398">
            <w:pPr>
              <w:pStyle w:val="aa"/>
            </w:pPr>
            <w:r>
              <w:t>环境空气</w:t>
            </w:r>
          </w:p>
        </w:tc>
        <w:tc>
          <w:tcPr>
            <w:tcW w:w="821" w:type="dxa"/>
            <w:vAlign w:val="center"/>
          </w:tcPr>
          <w:p w14:paraId="09DFBB23" w14:textId="77777777" w:rsidR="00E579B9" w:rsidRDefault="006A1398">
            <w:pPr>
              <w:pStyle w:val="aa"/>
            </w:pPr>
            <w:r>
              <w:t>场地施工扬尘</w:t>
            </w:r>
          </w:p>
        </w:tc>
        <w:tc>
          <w:tcPr>
            <w:tcW w:w="4601" w:type="dxa"/>
            <w:vAlign w:val="center"/>
          </w:tcPr>
          <w:p w14:paraId="671AF319" w14:textId="77777777" w:rsidR="00E579B9" w:rsidRDefault="006A1398">
            <w:pPr>
              <w:pStyle w:val="aa"/>
              <w:numPr>
                <w:ilvl w:val="0"/>
                <w:numId w:val="11"/>
              </w:numPr>
            </w:pPr>
            <w:r>
              <w:rPr>
                <w:rFonts w:hint="eastAsia"/>
                <w:bCs/>
              </w:rPr>
              <w:t>必须做到“八个百分百”；②</w:t>
            </w:r>
            <w:r>
              <w:rPr>
                <w:rFonts w:hint="eastAsia"/>
              </w:rPr>
              <w:t>尽量缩短施工期，缩小施工影响范围，及时恢复场地植被，</w:t>
            </w:r>
            <w:r>
              <w:t>干燥、大风天气施工必须采取洒水抑尘措施；</w:t>
            </w:r>
            <w:r>
              <w:rPr>
                <w:rFonts w:hint="eastAsia"/>
              </w:rPr>
              <w:t>③</w:t>
            </w:r>
            <w:r>
              <w:t>分别在各施工场地四周设不低于</w:t>
            </w:r>
            <w:r>
              <w:t>2.5m</w:t>
            </w:r>
            <w:r>
              <w:t>高的围挡；</w:t>
            </w:r>
            <w:r>
              <w:rPr>
                <w:rFonts w:hint="eastAsia"/>
              </w:rPr>
              <w:t>④</w:t>
            </w:r>
            <w:r>
              <w:t>运输物料的车辆应限速，不得超载，并对运输道路进行定期清扫、洒水，文明装缷物料</w:t>
            </w:r>
          </w:p>
        </w:tc>
        <w:tc>
          <w:tcPr>
            <w:tcW w:w="2430" w:type="dxa"/>
            <w:vAlign w:val="center"/>
          </w:tcPr>
          <w:p w14:paraId="0FECE791" w14:textId="77777777" w:rsidR="00E579B9" w:rsidRDefault="006A1398">
            <w:pPr>
              <w:pStyle w:val="aa"/>
            </w:pPr>
            <w:r>
              <w:rPr>
                <w:rFonts w:hint="eastAsia"/>
              </w:rPr>
              <w:t>施工场地四周设围挡，</w:t>
            </w:r>
            <w:r>
              <w:t>配备洒水泵一台，洒水车一辆</w:t>
            </w:r>
          </w:p>
        </w:tc>
        <w:tc>
          <w:tcPr>
            <w:tcW w:w="2911" w:type="dxa"/>
            <w:vAlign w:val="center"/>
          </w:tcPr>
          <w:p w14:paraId="0E7C6538" w14:textId="77777777" w:rsidR="00E579B9" w:rsidRDefault="006A1398">
            <w:pPr>
              <w:pStyle w:val="aa"/>
            </w:pPr>
            <w:r>
              <w:t>将施工扬尘降到最低程度</w:t>
            </w:r>
          </w:p>
        </w:tc>
        <w:tc>
          <w:tcPr>
            <w:tcW w:w="927" w:type="dxa"/>
            <w:vAlign w:val="center"/>
          </w:tcPr>
          <w:p w14:paraId="5543CA04" w14:textId="77777777" w:rsidR="00E579B9" w:rsidRDefault="006A1398">
            <w:pPr>
              <w:pStyle w:val="aa"/>
            </w:pPr>
            <w:r>
              <w:t>40</w:t>
            </w:r>
          </w:p>
        </w:tc>
        <w:tc>
          <w:tcPr>
            <w:tcW w:w="795" w:type="dxa"/>
            <w:vMerge w:val="restart"/>
            <w:vAlign w:val="center"/>
          </w:tcPr>
          <w:p w14:paraId="24A9EFE5" w14:textId="77777777" w:rsidR="00E579B9" w:rsidRDefault="006A1398">
            <w:pPr>
              <w:pStyle w:val="aa"/>
            </w:pPr>
            <w:r>
              <w:t>施工期</w:t>
            </w:r>
          </w:p>
        </w:tc>
      </w:tr>
      <w:tr w:rsidR="00E579B9" w14:paraId="31B1F63E" w14:textId="77777777">
        <w:trPr>
          <w:trHeight w:val="340"/>
          <w:jc w:val="center"/>
        </w:trPr>
        <w:tc>
          <w:tcPr>
            <w:tcW w:w="303" w:type="dxa"/>
            <w:vMerge/>
            <w:vAlign w:val="center"/>
          </w:tcPr>
          <w:p w14:paraId="073F3AF3" w14:textId="77777777" w:rsidR="00E579B9" w:rsidRDefault="00E579B9">
            <w:pPr>
              <w:pStyle w:val="aa"/>
            </w:pPr>
          </w:p>
        </w:tc>
        <w:tc>
          <w:tcPr>
            <w:tcW w:w="1195" w:type="dxa"/>
            <w:gridSpan w:val="2"/>
            <w:vAlign w:val="center"/>
          </w:tcPr>
          <w:p w14:paraId="1FC5360D" w14:textId="77777777" w:rsidR="00E579B9" w:rsidRDefault="006A1398">
            <w:pPr>
              <w:pStyle w:val="aa"/>
            </w:pPr>
            <w:r>
              <w:t>噪声防治</w:t>
            </w:r>
          </w:p>
        </w:tc>
        <w:tc>
          <w:tcPr>
            <w:tcW w:w="4601" w:type="dxa"/>
            <w:vAlign w:val="center"/>
          </w:tcPr>
          <w:p w14:paraId="6BB745EB" w14:textId="77777777" w:rsidR="00E579B9" w:rsidRDefault="006A1398">
            <w:pPr>
              <w:pStyle w:val="aa"/>
            </w:pPr>
            <w:r>
              <w:t>选用低噪声设备，加强施工机械的维修、管理，保证施工机械处于低噪声、高效率的状态，合理安排工作时间，夜间禁止施工</w:t>
            </w:r>
            <w:r>
              <w:rPr>
                <w:rFonts w:hint="eastAsia"/>
              </w:rPr>
              <w:t>，</w:t>
            </w:r>
            <w:r>
              <w:t>物料运输车辆安排在白天进出，</w:t>
            </w:r>
          </w:p>
        </w:tc>
        <w:tc>
          <w:tcPr>
            <w:tcW w:w="2430" w:type="dxa"/>
            <w:vAlign w:val="center"/>
          </w:tcPr>
          <w:p w14:paraId="71024739" w14:textId="77777777" w:rsidR="00E579B9" w:rsidRDefault="006A1398">
            <w:pPr>
              <w:pStyle w:val="aa"/>
            </w:pPr>
            <w:r>
              <w:t>/</w:t>
            </w:r>
          </w:p>
        </w:tc>
        <w:tc>
          <w:tcPr>
            <w:tcW w:w="2911" w:type="dxa"/>
            <w:vAlign w:val="center"/>
          </w:tcPr>
          <w:p w14:paraId="7F734379" w14:textId="77777777" w:rsidR="00E579B9" w:rsidRDefault="006A1398">
            <w:pPr>
              <w:pStyle w:val="aa"/>
            </w:pPr>
            <w:r>
              <w:t>最大限度地减少施工噪声</w:t>
            </w:r>
          </w:p>
          <w:p w14:paraId="03F07D36" w14:textId="77777777" w:rsidR="00E579B9" w:rsidRDefault="006A1398">
            <w:pPr>
              <w:pStyle w:val="aa"/>
            </w:pPr>
            <w:r>
              <w:t>对居民区的影响</w:t>
            </w:r>
          </w:p>
        </w:tc>
        <w:tc>
          <w:tcPr>
            <w:tcW w:w="927" w:type="dxa"/>
            <w:vAlign w:val="center"/>
          </w:tcPr>
          <w:p w14:paraId="3C0024A9" w14:textId="77777777" w:rsidR="00E579B9" w:rsidRDefault="006A1398">
            <w:pPr>
              <w:pStyle w:val="aa"/>
            </w:pPr>
            <w:r>
              <w:t>4</w:t>
            </w:r>
          </w:p>
        </w:tc>
        <w:tc>
          <w:tcPr>
            <w:tcW w:w="795" w:type="dxa"/>
            <w:vMerge/>
            <w:vAlign w:val="center"/>
          </w:tcPr>
          <w:p w14:paraId="6C8B2908" w14:textId="77777777" w:rsidR="00E579B9" w:rsidRDefault="00E579B9">
            <w:pPr>
              <w:pStyle w:val="aa"/>
            </w:pPr>
          </w:p>
        </w:tc>
      </w:tr>
      <w:tr w:rsidR="00E579B9" w14:paraId="00297E58" w14:textId="77777777">
        <w:trPr>
          <w:trHeight w:val="340"/>
          <w:jc w:val="center"/>
        </w:trPr>
        <w:tc>
          <w:tcPr>
            <w:tcW w:w="303" w:type="dxa"/>
            <w:vMerge/>
            <w:vAlign w:val="center"/>
          </w:tcPr>
          <w:p w14:paraId="13407661" w14:textId="77777777" w:rsidR="00E579B9" w:rsidRDefault="00E579B9">
            <w:pPr>
              <w:pStyle w:val="aa"/>
            </w:pPr>
          </w:p>
        </w:tc>
        <w:tc>
          <w:tcPr>
            <w:tcW w:w="1195" w:type="dxa"/>
            <w:gridSpan w:val="2"/>
            <w:vAlign w:val="center"/>
          </w:tcPr>
          <w:p w14:paraId="2B0A1027" w14:textId="77777777" w:rsidR="00E579B9" w:rsidRDefault="006A1398">
            <w:pPr>
              <w:pStyle w:val="aa"/>
            </w:pPr>
            <w:r>
              <w:t>水污染防治</w:t>
            </w:r>
          </w:p>
        </w:tc>
        <w:tc>
          <w:tcPr>
            <w:tcW w:w="4601" w:type="dxa"/>
            <w:vAlign w:val="center"/>
          </w:tcPr>
          <w:p w14:paraId="3C1A6263" w14:textId="77777777" w:rsidR="00E579B9" w:rsidRDefault="006A1398">
            <w:pPr>
              <w:pStyle w:val="aa"/>
              <w:rPr>
                <w:rFonts w:ascii="Calibri" w:hAnsi="Calibri"/>
                <w:sz w:val="22"/>
              </w:rPr>
            </w:pPr>
            <w:r>
              <w:rPr>
                <w:rFonts w:hint="eastAsia"/>
              </w:rPr>
              <w:t>建设期人员少，施工周期短，生活</w:t>
            </w:r>
            <w:r>
              <w:t>污水</w:t>
            </w:r>
            <w:r>
              <w:rPr>
                <w:rFonts w:hint="eastAsia"/>
              </w:rPr>
              <w:t>收集后用于场地洒水，旱厕收集的粪污水由周边村民拉走肥田；车辆</w:t>
            </w:r>
            <w:r>
              <w:t>冲洗废水</w:t>
            </w:r>
            <w:r>
              <w:rPr>
                <w:rFonts w:hint="eastAsia"/>
              </w:rPr>
              <w:t>沉淀后用于场地洒水</w:t>
            </w:r>
          </w:p>
        </w:tc>
        <w:tc>
          <w:tcPr>
            <w:tcW w:w="2430" w:type="dxa"/>
            <w:vAlign w:val="center"/>
          </w:tcPr>
          <w:p w14:paraId="5B3D4EF9" w14:textId="77777777" w:rsidR="00E579B9" w:rsidRDefault="006A1398">
            <w:pPr>
              <w:pStyle w:val="51"/>
            </w:pPr>
            <w:r>
              <w:rPr>
                <w:rFonts w:hint="eastAsia"/>
              </w:rPr>
              <w:t>旱厕、</w:t>
            </w:r>
            <w:r>
              <w:rPr>
                <w:rFonts w:ascii="Times New Roman" w:hAnsi="Times New Roman" w:cs="Times New Roman"/>
              </w:rPr>
              <w:t>5m</w:t>
            </w:r>
            <w:r>
              <w:rPr>
                <w:rFonts w:ascii="Times New Roman" w:hAnsi="Times New Roman" w:cs="Times New Roman"/>
                <w:position w:val="7"/>
                <w:sz w:val="13"/>
                <w:szCs w:val="13"/>
              </w:rPr>
              <w:t>3</w:t>
            </w:r>
            <w:r>
              <w:rPr>
                <w:rFonts w:ascii="宋体" w:hAnsi="宋体" w:hint="eastAsia"/>
              </w:rPr>
              <w:t>沉淀池</w:t>
            </w:r>
          </w:p>
        </w:tc>
        <w:tc>
          <w:tcPr>
            <w:tcW w:w="2911" w:type="dxa"/>
            <w:vAlign w:val="center"/>
          </w:tcPr>
          <w:p w14:paraId="5A0B8C95" w14:textId="77777777" w:rsidR="00E579B9" w:rsidRDefault="006A1398">
            <w:pPr>
              <w:pStyle w:val="aa"/>
            </w:pPr>
            <w:r>
              <w:rPr>
                <w:rFonts w:hint="eastAsia"/>
              </w:rPr>
              <w:t>合理处置</w:t>
            </w:r>
            <w:r>
              <w:t>，不外排</w:t>
            </w:r>
          </w:p>
        </w:tc>
        <w:tc>
          <w:tcPr>
            <w:tcW w:w="927" w:type="dxa"/>
            <w:vAlign w:val="center"/>
          </w:tcPr>
          <w:p w14:paraId="081D2013" w14:textId="77777777" w:rsidR="00E579B9" w:rsidRDefault="006A1398">
            <w:pPr>
              <w:pStyle w:val="aa"/>
            </w:pPr>
            <w:r>
              <w:t>5</w:t>
            </w:r>
          </w:p>
        </w:tc>
        <w:tc>
          <w:tcPr>
            <w:tcW w:w="795" w:type="dxa"/>
            <w:vMerge/>
            <w:vAlign w:val="center"/>
          </w:tcPr>
          <w:p w14:paraId="60643A9D" w14:textId="77777777" w:rsidR="00E579B9" w:rsidRDefault="00E579B9">
            <w:pPr>
              <w:pStyle w:val="aa"/>
            </w:pPr>
          </w:p>
        </w:tc>
      </w:tr>
      <w:tr w:rsidR="00E579B9" w14:paraId="141DBE73" w14:textId="77777777">
        <w:trPr>
          <w:trHeight w:val="340"/>
          <w:jc w:val="center"/>
        </w:trPr>
        <w:tc>
          <w:tcPr>
            <w:tcW w:w="303" w:type="dxa"/>
            <w:vMerge/>
            <w:vAlign w:val="center"/>
          </w:tcPr>
          <w:p w14:paraId="52E09942" w14:textId="77777777" w:rsidR="00E579B9" w:rsidRDefault="00E579B9">
            <w:pPr>
              <w:pStyle w:val="aa"/>
            </w:pPr>
          </w:p>
        </w:tc>
        <w:tc>
          <w:tcPr>
            <w:tcW w:w="374" w:type="dxa"/>
            <w:vMerge w:val="restart"/>
            <w:vAlign w:val="center"/>
          </w:tcPr>
          <w:p w14:paraId="0D646806" w14:textId="77777777" w:rsidR="00E579B9" w:rsidRDefault="006A1398">
            <w:pPr>
              <w:pStyle w:val="aa"/>
            </w:pPr>
            <w:r>
              <w:t>固废</w:t>
            </w:r>
          </w:p>
        </w:tc>
        <w:tc>
          <w:tcPr>
            <w:tcW w:w="821" w:type="dxa"/>
            <w:tcBorders>
              <w:bottom w:val="single" w:sz="4" w:space="0" w:color="auto"/>
            </w:tcBorders>
            <w:vAlign w:val="center"/>
          </w:tcPr>
          <w:p w14:paraId="5FF77762" w14:textId="77777777" w:rsidR="00E579B9" w:rsidRDefault="006A1398">
            <w:pPr>
              <w:pStyle w:val="aa"/>
            </w:pPr>
            <w:r>
              <w:t>生活垃圾</w:t>
            </w:r>
          </w:p>
        </w:tc>
        <w:tc>
          <w:tcPr>
            <w:tcW w:w="4601" w:type="dxa"/>
            <w:tcBorders>
              <w:bottom w:val="single" w:sz="4" w:space="0" w:color="auto"/>
            </w:tcBorders>
            <w:vAlign w:val="center"/>
          </w:tcPr>
          <w:p w14:paraId="33ABD633" w14:textId="77777777" w:rsidR="00E579B9" w:rsidRDefault="006A1398">
            <w:pPr>
              <w:pStyle w:val="aa"/>
            </w:pPr>
            <w:r>
              <w:t>设置垃圾</w:t>
            </w:r>
            <w:r>
              <w:rPr>
                <w:rFonts w:hint="eastAsia"/>
              </w:rPr>
              <w:t>桶</w:t>
            </w:r>
            <w:r>
              <w:t>，收集后运至垃圾中转站统一处理</w:t>
            </w:r>
          </w:p>
        </w:tc>
        <w:tc>
          <w:tcPr>
            <w:tcW w:w="2430" w:type="dxa"/>
            <w:tcBorders>
              <w:bottom w:val="single" w:sz="4" w:space="0" w:color="auto"/>
            </w:tcBorders>
            <w:vAlign w:val="center"/>
          </w:tcPr>
          <w:p w14:paraId="62453612" w14:textId="77777777" w:rsidR="00E579B9" w:rsidRDefault="006A1398">
            <w:pPr>
              <w:pStyle w:val="aa"/>
            </w:pPr>
            <w:r>
              <w:t>垃圾桶</w:t>
            </w:r>
          </w:p>
        </w:tc>
        <w:tc>
          <w:tcPr>
            <w:tcW w:w="2911" w:type="dxa"/>
            <w:vMerge w:val="restart"/>
            <w:tcBorders>
              <w:bottom w:val="single" w:sz="4" w:space="0" w:color="auto"/>
            </w:tcBorders>
            <w:vAlign w:val="center"/>
          </w:tcPr>
          <w:p w14:paraId="14383EB0" w14:textId="77777777" w:rsidR="00E579B9" w:rsidRDefault="006A1398">
            <w:pPr>
              <w:pStyle w:val="aa"/>
            </w:pPr>
            <w:r>
              <w:t>合理安全处置</w:t>
            </w:r>
          </w:p>
        </w:tc>
        <w:tc>
          <w:tcPr>
            <w:tcW w:w="927" w:type="dxa"/>
            <w:vMerge w:val="restart"/>
            <w:tcBorders>
              <w:bottom w:val="single" w:sz="4" w:space="0" w:color="auto"/>
            </w:tcBorders>
            <w:vAlign w:val="center"/>
          </w:tcPr>
          <w:p w14:paraId="4CC999DD" w14:textId="77777777" w:rsidR="00E579B9" w:rsidRDefault="006A1398">
            <w:pPr>
              <w:pStyle w:val="aa"/>
            </w:pPr>
            <w:r>
              <w:rPr>
                <w:rFonts w:hint="eastAsia"/>
              </w:rPr>
              <w:t>1</w:t>
            </w:r>
            <w:r>
              <w:t>5</w:t>
            </w:r>
          </w:p>
        </w:tc>
        <w:tc>
          <w:tcPr>
            <w:tcW w:w="795" w:type="dxa"/>
            <w:vMerge/>
            <w:tcBorders>
              <w:bottom w:val="single" w:sz="4" w:space="0" w:color="auto"/>
            </w:tcBorders>
            <w:vAlign w:val="center"/>
          </w:tcPr>
          <w:p w14:paraId="6D208867" w14:textId="77777777" w:rsidR="00E579B9" w:rsidRDefault="00E579B9">
            <w:pPr>
              <w:pStyle w:val="aa"/>
            </w:pPr>
          </w:p>
        </w:tc>
      </w:tr>
      <w:tr w:rsidR="00E579B9" w14:paraId="22AC8B60" w14:textId="77777777">
        <w:trPr>
          <w:trHeight w:val="340"/>
          <w:jc w:val="center"/>
        </w:trPr>
        <w:tc>
          <w:tcPr>
            <w:tcW w:w="303" w:type="dxa"/>
            <w:vMerge/>
            <w:vAlign w:val="center"/>
          </w:tcPr>
          <w:p w14:paraId="541FEBF6" w14:textId="77777777" w:rsidR="00E579B9" w:rsidRDefault="00E579B9">
            <w:pPr>
              <w:pStyle w:val="aa"/>
            </w:pPr>
          </w:p>
        </w:tc>
        <w:tc>
          <w:tcPr>
            <w:tcW w:w="374" w:type="dxa"/>
            <w:vMerge/>
            <w:vAlign w:val="center"/>
          </w:tcPr>
          <w:p w14:paraId="67AC2052" w14:textId="77777777" w:rsidR="00E579B9" w:rsidRDefault="00E579B9">
            <w:pPr>
              <w:pStyle w:val="aa"/>
            </w:pPr>
          </w:p>
        </w:tc>
        <w:tc>
          <w:tcPr>
            <w:tcW w:w="821" w:type="dxa"/>
            <w:vAlign w:val="center"/>
          </w:tcPr>
          <w:p w14:paraId="5160CF77" w14:textId="77777777" w:rsidR="00E579B9" w:rsidRDefault="006A1398">
            <w:pPr>
              <w:pStyle w:val="aa"/>
            </w:pPr>
            <w:r>
              <w:t>剥离表土、废石</w:t>
            </w:r>
          </w:p>
        </w:tc>
        <w:tc>
          <w:tcPr>
            <w:tcW w:w="4601" w:type="dxa"/>
            <w:vAlign w:val="center"/>
          </w:tcPr>
          <w:p w14:paraId="0A03F4BB" w14:textId="77777777" w:rsidR="00E579B9" w:rsidRDefault="006A1398">
            <w:pPr>
              <w:pStyle w:val="aa"/>
            </w:pPr>
            <w:r>
              <w:t>表土堆存于</w:t>
            </w:r>
            <w:r>
              <w:rPr>
                <w:rFonts w:hint="eastAsia"/>
              </w:rPr>
              <w:t>表土场</w:t>
            </w:r>
            <w:r>
              <w:t>，废石</w:t>
            </w:r>
            <w:r>
              <w:rPr>
                <w:rFonts w:hint="eastAsia"/>
              </w:rPr>
              <w:t>一</w:t>
            </w:r>
            <w:r>
              <w:t>部分用于</w:t>
            </w:r>
            <w:r>
              <w:rPr>
                <w:rFonts w:hint="eastAsia"/>
              </w:rPr>
              <w:t>外售给当地砖厂，</w:t>
            </w:r>
            <w:r>
              <w:t>剩余部分</w:t>
            </w:r>
            <w:r>
              <w:rPr>
                <w:rFonts w:hint="eastAsia"/>
              </w:rPr>
              <w:t>暂存于表表土场用于后期采坑回填</w:t>
            </w:r>
          </w:p>
        </w:tc>
        <w:tc>
          <w:tcPr>
            <w:tcW w:w="2430" w:type="dxa"/>
            <w:vAlign w:val="center"/>
          </w:tcPr>
          <w:p w14:paraId="54D05E02" w14:textId="77777777" w:rsidR="00E579B9" w:rsidRDefault="006A1398">
            <w:pPr>
              <w:pStyle w:val="aa"/>
            </w:pPr>
            <w:r>
              <w:rPr>
                <w:rFonts w:hint="eastAsia"/>
              </w:rPr>
              <w:t>堆场</w:t>
            </w:r>
            <w:r>
              <w:t>两侧修建排水沟，上游修建截水沟，</w:t>
            </w:r>
            <w:r>
              <w:rPr>
                <w:rFonts w:hint="eastAsia"/>
              </w:rPr>
              <w:t>下游设挡土墙，</w:t>
            </w:r>
            <w:r>
              <w:t>边坡播撒草籽绿化</w:t>
            </w:r>
          </w:p>
        </w:tc>
        <w:tc>
          <w:tcPr>
            <w:tcW w:w="2911" w:type="dxa"/>
            <w:vMerge/>
            <w:vAlign w:val="center"/>
          </w:tcPr>
          <w:p w14:paraId="58B355C8" w14:textId="77777777" w:rsidR="00E579B9" w:rsidRDefault="00E579B9">
            <w:pPr>
              <w:pStyle w:val="aa"/>
            </w:pPr>
          </w:p>
        </w:tc>
        <w:tc>
          <w:tcPr>
            <w:tcW w:w="927" w:type="dxa"/>
            <w:vMerge/>
            <w:vAlign w:val="center"/>
          </w:tcPr>
          <w:p w14:paraId="72EEB870" w14:textId="77777777" w:rsidR="00E579B9" w:rsidRDefault="00E579B9">
            <w:pPr>
              <w:pStyle w:val="aa"/>
            </w:pPr>
          </w:p>
        </w:tc>
        <w:tc>
          <w:tcPr>
            <w:tcW w:w="795" w:type="dxa"/>
            <w:vMerge/>
            <w:vAlign w:val="center"/>
          </w:tcPr>
          <w:p w14:paraId="4B269846" w14:textId="77777777" w:rsidR="00E579B9" w:rsidRDefault="00E579B9">
            <w:pPr>
              <w:pStyle w:val="aa"/>
            </w:pPr>
          </w:p>
        </w:tc>
      </w:tr>
      <w:tr w:rsidR="00E579B9" w14:paraId="0FDDB98A" w14:textId="77777777">
        <w:trPr>
          <w:trHeight w:val="340"/>
          <w:jc w:val="center"/>
        </w:trPr>
        <w:tc>
          <w:tcPr>
            <w:tcW w:w="303" w:type="dxa"/>
            <w:vMerge/>
            <w:vAlign w:val="center"/>
          </w:tcPr>
          <w:p w14:paraId="506BA276" w14:textId="77777777" w:rsidR="00E579B9" w:rsidRDefault="00E579B9">
            <w:pPr>
              <w:pStyle w:val="aa"/>
            </w:pPr>
          </w:p>
        </w:tc>
        <w:tc>
          <w:tcPr>
            <w:tcW w:w="1195" w:type="dxa"/>
            <w:gridSpan w:val="2"/>
            <w:vMerge w:val="restart"/>
            <w:vAlign w:val="center"/>
          </w:tcPr>
          <w:p w14:paraId="4C4478BC" w14:textId="77777777" w:rsidR="00E579B9" w:rsidRDefault="006A1398">
            <w:pPr>
              <w:pStyle w:val="aa"/>
            </w:pPr>
            <w:r>
              <w:t>生态保护</w:t>
            </w:r>
          </w:p>
        </w:tc>
        <w:tc>
          <w:tcPr>
            <w:tcW w:w="4601" w:type="dxa"/>
            <w:vAlign w:val="center"/>
          </w:tcPr>
          <w:p w14:paraId="79D8A567" w14:textId="77777777" w:rsidR="00E579B9" w:rsidRDefault="006A1398">
            <w:pPr>
              <w:pStyle w:val="aa"/>
            </w:pPr>
            <w:r>
              <w:t>运输道路整修</w:t>
            </w:r>
          </w:p>
        </w:tc>
        <w:tc>
          <w:tcPr>
            <w:tcW w:w="2430" w:type="dxa"/>
            <w:vAlign w:val="center"/>
          </w:tcPr>
          <w:p w14:paraId="074E49D9" w14:textId="77777777" w:rsidR="00E579B9" w:rsidRDefault="006A1398">
            <w:pPr>
              <w:pStyle w:val="aa"/>
            </w:pPr>
            <w:r>
              <w:t>边坡防护、排水沟、绿化</w:t>
            </w:r>
          </w:p>
        </w:tc>
        <w:tc>
          <w:tcPr>
            <w:tcW w:w="2911" w:type="dxa"/>
            <w:vMerge w:val="restart"/>
            <w:vAlign w:val="center"/>
          </w:tcPr>
          <w:p w14:paraId="6173ACD2" w14:textId="77777777" w:rsidR="00E579B9" w:rsidRDefault="006A1398">
            <w:pPr>
              <w:pStyle w:val="aa"/>
            </w:pPr>
            <w:r>
              <w:t>最大限度地减少对生态的影响</w:t>
            </w:r>
          </w:p>
        </w:tc>
        <w:tc>
          <w:tcPr>
            <w:tcW w:w="927" w:type="dxa"/>
            <w:vMerge w:val="restart"/>
            <w:vAlign w:val="center"/>
          </w:tcPr>
          <w:p w14:paraId="2DB9EDD3" w14:textId="77777777" w:rsidR="00E579B9" w:rsidRDefault="006A1398">
            <w:pPr>
              <w:pStyle w:val="aa"/>
            </w:pPr>
            <w:r>
              <w:t>40</w:t>
            </w:r>
          </w:p>
        </w:tc>
        <w:tc>
          <w:tcPr>
            <w:tcW w:w="795" w:type="dxa"/>
            <w:vMerge/>
            <w:vAlign w:val="center"/>
          </w:tcPr>
          <w:p w14:paraId="50E582F4" w14:textId="77777777" w:rsidR="00E579B9" w:rsidRDefault="00E579B9">
            <w:pPr>
              <w:pStyle w:val="aa"/>
            </w:pPr>
          </w:p>
        </w:tc>
      </w:tr>
      <w:tr w:rsidR="00E579B9" w14:paraId="3CF23AF8" w14:textId="77777777">
        <w:trPr>
          <w:trHeight w:val="340"/>
          <w:jc w:val="center"/>
        </w:trPr>
        <w:tc>
          <w:tcPr>
            <w:tcW w:w="303" w:type="dxa"/>
            <w:vMerge/>
            <w:vAlign w:val="center"/>
          </w:tcPr>
          <w:p w14:paraId="48239004" w14:textId="77777777" w:rsidR="00E579B9" w:rsidRDefault="00E579B9">
            <w:pPr>
              <w:pStyle w:val="aa"/>
            </w:pPr>
          </w:p>
        </w:tc>
        <w:tc>
          <w:tcPr>
            <w:tcW w:w="1195" w:type="dxa"/>
            <w:gridSpan w:val="2"/>
            <w:vMerge/>
            <w:vAlign w:val="center"/>
          </w:tcPr>
          <w:p w14:paraId="1758BBBA" w14:textId="77777777" w:rsidR="00E579B9" w:rsidRDefault="00E579B9">
            <w:pPr>
              <w:pStyle w:val="aa"/>
            </w:pPr>
          </w:p>
        </w:tc>
        <w:tc>
          <w:tcPr>
            <w:tcW w:w="4601" w:type="dxa"/>
            <w:vAlign w:val="center"/>
          </w:tcPr>
          <w:p w14:paraId="422692FB" w14:textId="77777777" w:rsidR="00E579B9" w:rsidRDefault="006A1398">
            <w:pPr>
              <w:pStyle w:val="aa"/>
            </w:pPr>
            <w:r>
              <w:t>施工中应加强施工管理，将临时占地面积控制在最低限度，并且在施工完成时及时做好恢复和补偿工作，加强绿化</w:t>
            </w:r>
          </w:p>
        </w:tc>
        <w:tc>
          <w:tcPr>
            <w:tcW w:w="2430" w:type="dxa"/>
            <w:vAlign w:val="center"/>
          </w:tcPr>
          <w:p w14:paraId="5CE17ACD" w14:textId="77777777" w:rsidR="00E579B9" w:rsidRDefault="006A1398">
            <w:pPr>
              <w:pStyle w:val="aa"/>
            </w:pPr>
            <w:r>
              <w:t>严格控制临时占地面积，及时绿化</w:t>
            </w:r>
          </w:p>
        </w:tc>
        <w:tc>
          <w:tcPr>
            <w:tcW w:w="2911" w:type="dxa"/>
            <w:vMerge/>
            <w:vAlign w:val="center"/>
          </w:tcPr>
          <w:p w14:paraId="5130FF96" w14:textId="77777777" w:rsidR="00E579B9" w:rsidRDefault="00E579B9">
            <w:pPr>
              <w:pStyle w:val="aa"/>
            </w:pPr>
          </w:p>
        </w:tc>
        <w:tc>
          <w:tcPr>
            <w:tcW w:w="927" w:type="dxa"/>
            <w:vMerge/>
            <w:vAlign w:val="center"/>
          </w:tcPr>
          <w:p w14:paraId="5FC9F3A8" w14:textId="77777777" w:rsidR="00E579B9" w:rsidRDefault="00E579B9">
            <w:pPr>
              <w:pStyle w:val="aa"/>
            </w:pPr>
          </w:p>
        </w:tc>
        <w:tc>
          <w:tcPr>
            <w:tcW w:w="795" w:type="dxa"/>
            <w:vMerge/>
            <w:vAlign w:val="center"/>
          </w:tcPr>
          <w:p w14:paraId="61956FE3" w14:textId="77777777" w:rsidR="00E579B9" w:rsidRDefault="00E579B9">
            <w:pPr>
              <w:pStyle w:val="aa"/>
            </w:pPr>
          </w:p>
        </w:tc>
      </w:tr>
      <w:tr w:rsidR="00E579B9" w14:paraId="1AEA5A0D" w14:textId="77777777">
        <w:trPr>
          <w:trHeight w:val="340"/>
          <w:jc w:val="center"/>
        </w:trPr>
        <w:tc>
          <w:tcPr>
            <w:tcW w:w="303" w:type="dxa"/>
            <w:vMerge w:val="restart"/>
            <w:vAlign w:val="center"/>
          </w:tcPr>
          <w:p w14:paraId="33CD1E53" w14:textId="77777777" w:rsidR="00E579B9" w:rsidRDefault="00E579B9">
            <w:pPr>
              <w:pStyle w:val="aa"/>
            </w:pPr>
          </w:p>
          <w:p w14:paraId="5F113503" w14:textId="77777777" w:rsidR="00E579B9" w:rsidRDefault="00E579B9">
            <w:pPr>
              <w:pStyle w:val="aa"/>
            </w:pPr>
          </w:p>
          <w:p w14:paraId="322B8C48" w14:textId="77777777" w:rsidR="00E579B9" w:rsidRDefault="00E579B9">
            <w:pPr>
              <w:pStyle w:val="aa"/>
            </w:pPr>
          </w:p>
          <w:p w14:paraId="4BB177FA" w14:textId="77777777" w:rsidR="00E579B9" w:rsidRDefault="006A1398">
            <w:pPr>
              <w:pStyle w:val="aa"/>
            </w:pPr>
            <w:r>
              <w:t>营运期</w:t>
            </w:r>
          </w:p>
          <w:p w14:paraId="72549925" w14:textId="77777777" w:rsidR="00E579B9" w:rsidRDefault="00E579B9">
            <w:pPr>
              <w:pStyle w:val="aa"/>
            </w:pPr>
          </w:p>
          <w:p w14:paraId="32840CCA" w14:textId="77777777" w:rsidR="00E579B9" w:rsidRDefault="00E579B9">
            <w:pPr>
              <w:pStyle w:val="aa"/>
            </w:pPr>
          </w:p>
          <w:p w14:paraId="0EEB6E0A" w14:textId="77777777" w:rsidR="00E579B9" w:rsidRDefault="00E579B9">
            <w:pPr>
              <w:pStyle w:val="aa"/>
            </w:pPr>
          </w:p>
          <w:p w14:paraId="78E92223" w14:textId="77777777" w:rsidR="00E579B9" w:rsidRDefault="00E579B9">
            <w:pPr>
              <w:pStyle w:val="aa"/>
            </w:pPr>
          </w:p>
          <w:p w14:paraId="22CF94E0" w14:textId="77777777" w:rsidR="00E579B9" w:rsidRDefault="00E579B9">
            <w:pPr>
              <w:pStyle w:val="aa"/>
            </w:pPr>
          </w:p>
          <w:p w14:paraId="108F081B" w14:textId="77777777" w:rsidR="00E579B9" w:rsidRDefault="00E579B9">
            <w:pPr>
              <w:pStyle w:val="aa"/>
            </w:pPr>
          </w:p>
          <w:p w14:paraId="5A36A629" w14:textId="77777777" w:rsidR="00E579B9" w:rsidRDefault="00E579B9">
            <w:pPr>
              <w:pStyle w:val="aa"/>
            </w:pPr>
          </w:p>
          <w:p w14:paraId="7D914F21" w14:textId="77777777" w:rsidR="00E579B9" w:rsidRDefault="00E579B9">
            <w:pPr>
              <w:pStyle w:val="aa"/>
            </w:pPr>
          </w:p>
          <w:p w14:paraId="4A9595D4" w14:textId="77777777" w:rsidR="00E579B9" w:rsidRDefault="00E579B9">
            <w:pPr>
              <w:pStyle w:val="aa"/>
            </w:pPr>
          </w:p>
          <w:p w14:paraId="67A1D522" w14:textId="77777777" w:rsidR="00E579B9" w:rsidRDefault="00E579B9">
            <w:pPr>
              <w:pStyle w:val="aa"/>
            </w:pPr>
          </w:p>
          <w:p w14:paraId="467A6180" w14:textId="77777777" w:rsidR="00E579B9" w:rsidRDefault="00E579B9">
            <w:pPr>
              <w:pStyle w:val="aa"/>
            </w:pPr>
          </w:p>
          <w:p w14:paraId="5FFB57C5" w14:textId="77777777" w:rsidR="00E579B9" w:rsidRDefault="00E579B9">
            <w:pPr>
              <w:pStyle w:val="aa"/>
            </w:pPr>
          </w:p>
          <w:p w14:paraId="48630C77" w14:textId="77777777" w:rsidR="00E579B9" w:rsidRDefault="00E579B9">
            <w:pPr>
              <w:pStyle w:val="aa"/>
            </w:pPr>
          </w:p>
          <w:p w14:paraId="1AE1FA4A" w14:textId="77777777" w:rsidR="00E579B9" w:rsidRDefault="00E579B9">
            <w:pPr>
              <w:pStyle w:val="aa"/>
            </w:pPr>
          </w:p>
          <w:p w14:paraId="6A4BA02D" w14:textId="77777777" w:rsidR="00E579B9" w:rsidRDefault="006A1398">
            <w:pPr>
              <w:pStyle w:val="aa"/>
            </w:pPr>
            <w:r>
              <w:t>营运期</w:t>
            </w:r>
          </w:p>
        </w:tc>
        <w:tc>
          <w:tcPr>
            <w:tcW w:w="374" w:type="dxa"/>
            <w:vMerge w:val="restart"/>
            <w:vAlign w:val="center"/>
          </w:tcPr>
          <w:p w14:paraId="724CE07F" w14:textId="77777777" w:rsidR="00E579B9" w:rsidRDefault="006A1398">
            <w:pPr>
              <w:pStyle w:val="aa"/>
            </w:pPr>
            <w:r>
              <w:lastRenderedPageBreak/>
              <w:t>环境</w:t>
            </w:r>
          </w:p>
          <w:p w14:paraId="0A4D5589" w14:textId="77777777" w:rsidR="00E579B9" w:rsidRDefault="006A1398">
            <w:pPr>
              <w:pStyle w:val="aa"/>
            </w:pPr>
            <w:r>
              <w:t>空气</w:t>
            </w:r>
          </w:p>
        </w:tc>
        <w:tc>
          <w:tcPr>
            <w:tcW w:w="821" w:type="dxa"/>
            <w:vAlign w:val="center"/>
          </w:tcPr>
          <w:p w14:paraId="53D723BD" w14:textId="77777777" w:rsidR="00E579B9" w:rsidRDefault="006A1398">
            <w:pPr>
              <w:pStyle w:val="aa"/>
            </w:pPr>
            <w:r>
              <w:t>采场粉尘</w:t>
            </w:r>
          </w:p>
        </w:tc>
        <w:tc>
          <w:tcPr>
            <w:tcW w:w="4601" w:type="dxa"/>
            <w:vAlign w:val="center"/>
          </w:tcPr>
          <w:p w14:paraId="7F82E19F" w14:textId="77777777" w:rsidR="00E579B9" w:rsidRDefault="006A1398">
            <w:pPr>
              <w:pStyle w:val="aa"/>
            </w:pPr>
            <w:r>
              <w:t>采取洒水抑尘措施，潜孔钻加装除尘布袋；</w:t>
            </w:r>
            <w:r>
              <w:rPr>
                <w:rFonts w:hint="eastAsia"/>
              </w:rPr>
              <w:t>采区四周设不低于</w:t>
            </w:r>
            <w:r>
              <w:rPr>
                <w:rFonts w:hint="eastAsia"/>
              </w:rPr>
              <w:t>2m</w:t>
            </w:r>
            <w:r>
              <w:rPr>
                <w:rFonts w:hint="eastAsia"/>
              </w:rPr>
              <w:t>的围挡，并对作业面之外的区域进行临时覆盖，在作业面四周设高压水枪，</w:t>
            </w:r>
            <w:r>
              <w:t>对爆堆及运输道路进行洒水</w:t>
            </w:r>
            <w:r>
              <w:rPr>
                <w:rFonts w:hint="eastAsia"/>
              </w:rPr>
              <w:t>，车辆加盖篷布</w:t>
            </w:r>
          </w:p>
        </w:tc>
        <w:tc>
          <w:tcPr>
            <w:tcW w:w="2430" w:type="dxa"/>
            <w:vAlign w:val="center"/>
          </w:tcPr>
          <w:p w14:paraId="5B169A67" w14:textId="77777777" w:rsidR="00E579B9" w:rsidRDefault="006A1398">
            <w:pPr>
              <w:pStyle w:val="aa"/>
            </w:pPr>
            <w:r>
              <w:t>穿孔设备带有袋式除尘装置；采区</w:t>
            </w:r>
            <w:r>
              <w:rPr>
                <w:rFonts w:hint="eastAsia"/>
              </w:rPr>
              <w:t>四周设不低于</w:t>
            </w:r>
            <w:r>
              <w:rPr>
                <w:rFonts w:hint="eastAsia"/>
              </w:rPr>
              <w:t>2m</w:t>
            </w:r>
            <w:r>
              <w:rPr>
                <w:rFonts w:hint="eastAsia"/>
              </w:rPr>
              <w:t>的围挡，</w:t>
            </w:r>
            <w:r>
              <w:t>配备洒水车及洒水喷头</w:t>
            </w:r>
            <w:r>
              <w:rPr>
                <w:rFonts w:hint="eastAsia"/>
              </w:rPr>
              <w:t>，作业面之外的区域进行临时覆盖</w:t>
            </w:r>
          </w:p>
        </w:tc>
        <w:tc>
          <w:tcPr>
            <w:tcW w:w="2911" w:type="dxa"/>
            <w:vAlign w:val="center"/>
          </w:tcPr>
          <w:p w14:paraId="0D2E5530" w14:textId="77777777" w:rsidR="00E579B9" w:rsidRDefault="006A1398">
            <w:pPr>
              <w:pStyle w:val="aa"/>
            </w:pPr>
            <w:r>
              <w:t>达到《</w:t>
            </w:r>
            <w:r>
              <w:rPr>
                <w:rFonts w:hint="eastAsia"/>
              </w:rPr>
              <w:t>水泥工业</w:t>
            </w:r>
            <w:r>
              <w:t>大气污染物排放标准》（</w:t>
            </w:r>
            <w:r>
              <w:t>GB</w:t>
            </w:r>
            <w:r>
              <w:rPr>
                <w:rFonts w:hint="eastAsia"/>
              </w:rPr>
              <w:t>4915</w:t>
            </w:r>
            <w:r>
              <w:t>-</w:t>
            </w:r>
            <w:r>
              <w:rPr>
                <w:rFonts w:hint="eastAsia"/>
              </w:rPr>
              <w:t>2013</w:t>
            </w:r>
            <w:r>
              <w:t>）表</w:t>
            </w:r>
            <w:r>
              <w:rPr>
                <w:rFonts w:hint="eastAsia"/>
              </w:rPr>
              <w:t>3</w:t>
            </w:r>
            <w:r>
              <w:t>中颗粒物周界外浓度最高点</w:t>
            </w:r>
            <w:r>
              <w:rPr>
                <w:rFonts w:hint="eastAsia"/>
              </w:rPr>
              <w:t>0.5</w:t>
            </w:r>
            <w:r>
              <w:t>mg/m</w:t>
            </w:r>
            <w:r>
              <w:rPr>
                <w:vertAlign w:val="superscript"/>
              </w:rPr>
              <w:t>3</w:t>
            </w:r>
          </w:p>
        </w:tc>
        <w:tc>
          <w:tcPr>
            <w:tcW w:w="927" w:type="dxa"/>
            <w:vAlign w:val="center"/>
          </w:tcPr>
          <w:p w14:paraId="4586B7E7" w14:textId="77777777" w:rsidR="00E579B9" w:rsidRDefault="006A1398">
            <w:pPr>
              <w:pStyle w:val="aa"/>
            </w:pPr>
            <w:r>
              <w:t>15</w:t>
            </w:r>
          </w:p>
        </w:tc>
        <w:tc>
          <w:tcPr>
            <w:tcW w:w="795" w:type="dxa"/>
            <w:vMerge w:val="restart"/>
            <w:vAlign w:val="center"/>
          </w:tcPr>
          <w:p w14:paraId="5C49EBDD" w14:textId="77777777" w:rsidR="00E579B9" w:rsidRDefault="006A1398">
            <w:pPr>
              <w:pStyle w:val="aa"/>
            </w:pPr>
            <w:r>
              <w:rPr>
                <w:rFonts w:hint="eastAsia"/>
              </w:rPr>
              <w:t>营运期</w:t>
            </w:r>
          </w:p>
        </w:tc>
      </w:tr>
      <w:tr w:rsidR="00E579B9" w14:paraId="232205FE" w14:textId="77777777">
        <w:trPr>
          <w:trHeight w:val="340"/>
          <w:jc w:val="center"/>
        </w:trPr>
        <w:tc>
          <w:tcPr>
            <w:tcW w:w="303" w:type="dxa"/>
            <w:vMerge/>
            <w:vAlign w:val="center"/>
          </w:tcPr>
          <w:p w14:paraId="2B8D5341" w14:textId="77777777" w:rsidR="00E579B9" w:rsidRDefault="00E579B9">
            <w:pPr>
              <w:pStyle w:val="aa"/>
            </w:pPr>
          </w:p>
        </w:tc>
        <w:tc>
          <w:tcPr>
            <w:tcW w:w="374" w:type="dxa"/>
            <w:vMerge/>
            <w:vAlign w:val="center"/>
          </w:tcPr>
          <w:p w14:paraId="67BFB6BC" w14:textId="77777777" w:rsidR="00E579B9" w:rsidRDefault="00E579B9">
            <w:pPr>
              <w:pStyle w:val="aa"/>
            </w:pPr>
          </w:p>
        </w:tc>
        <w:tc>
          <w:tcPr>
            <w:tcW w:w="821" w:type="dxa"/>
            <w:vAlign w:val="center"/>
          </w:tcPr>
          <w:p w14:paraId="40D22722" w14:textId="77777777" w:rsidR="00E579B9" w:rsidRDefault="006A1398">
            <w:pPr>
              <w:pStyle w:val="aa"/>
            </w:pPr>
            <w:r>
              <w:rPr>
                <w:rFonts w:hint="eastAsia"/>
              </w:rPr>
              <w:t>表土场粉尘</w:t>
            </w:r>
          </w:p>
        </w:tc>
        <w:tc>
          <w:tcPr>
            <w:tcW w:w="4601" w:type="dxa"/>
            <w:vAlign w:val="center"/>
          </w:tcPr>
          <w:p w14:paraId="59341F36" w14:textId="77777777" w:rsidR="00E579B9" w:rsidRDefault="006A1398">
            <w:pPr>
              <w:pStyle w:val="aa"/>
            </w:pPr>
            <w:r>
              <w:rPr>
                <w:rFonts w:hint="eastAsia"/>
              </w:rPr>
              <w:t>对堆场及时进行覆盖并设有水泵定期对堆场洒水降尘、设置防尘网等措施，配备喷淋、覆盖和围挡等防尘措施，可有效控制堆场扬尘污染。</w:t>
            </w:r>
          </w:p>
        </w:tc>
        <w:tc>
          <w:tcPr>
            <w:tcW w:w="2430" w:type="dxa"/>
            <w:vAlign w:val="center"/>
          </w:tcPr>
          <w:p w14:paraId="3F9E4EFB" w14:textId="77777777" w:rsidR="00E579B9" w:rsidRDefault="006A1398">
            <w:pPr>
              <w:pStyle w:val="aa"/>
            </w:pPr>
            <w:r>
              <w:rPr>
                <w:rFonts w:hint="eastAsia"/>
              </w:rPr>
              <w:t>定期洒水降尘，设置防尘网，围挡的防尘措施</w:t>
            </w:r>
          </w:p>
        </w:tc>
        <w:tc>
          <w:tcPr>
            <w:tcW w:w="2911" w:type="dxa"/>
            <w:vAlign w:val="center"/>
          </w:tcPr>
          <w:p w14:paraId="3748D065" w14:textId="77777777" w:rsidR="00E579B9" w:rsidRDefault="006A1398">
            <w:pPr>
              <w:pStyle w:val="aa"/>
            </w:pPr>
            <w:r>
              <w:rPr>
                <w:rFonts w:hint="eastAsia"/>
              </w:rPr>
              <w:t>减少无组织粉尘的产生量，减小对周围环境的不利影响</w:t>
            </w:r>
          </w:p>
        </w:tc>
        <w:tc>
          <w:tcPr>
            <w:tcW w:w="927" w:type="dxa"/>
            <w:vAlign w:val="center"/>
          </w:tcPr>
          <w:p w14:paraId="7F6F8B07" w14:textId="77777777" w:rsidR="00E579B9" w:rsidRDefault="006A1398">
            <w:pPr>
              <w:pStyle w:val="aa"/>
            </w:pPr>
            <w:r>
              <w:rPr>
                <w:rFonts w:hint="eastAsia"/>
              </w:rPr>
              <w:t>1</w:t>
            </w:r>
            <w:r>
              <w:t>5</w:t>
            </w:r>
          </w:p>
        </w:tc>
        <w:tc>
          <w:tcPr>
            <w:tcW w:w="795" w:type="dxa"/>
            <w:vMerge/>
            <w:vAlign w:val="center"/>
          </w:tcPr>
          <w:p w14:paraId="753591A9" w14:textId="77777777" w:rsidR="00E579B9" w:rsidRDefault="00E579B9">
            <w:pPr>
              <w:pStyle w:val="aa"/>
            </w:pPr>
          </w:p>
        </w:tc>
      </w:tr>
      <w:tr w:rsidR="00E579B9" w14:paraId="7D24A29F" w14:textId="77777777">
        <w:trPr>
          <w:trHeight w:val="340"/>
          <w:jc w:val="center"/>
        </w:trPr>
        <w:tc>
          <w:tcPr>
            <w:tcW w:w="303" w:type="dxa"/>
            <w:vMerge/>
            <w:vAlign w:val="center"/>
          </w:tcPr>
          <w:p w14:paraId="6B4CB604" w14:textId="77777777" w:rsidR="00E579B9" w:rsidRDefault="00E579B9">
            <w:pPr>
              <w:pStyle w:val="aa"/>
            </w:pPr>
          </w:p>
        </w:tc>
        <w:tc>
          <w:tcPr>
            <w:tcW w:w="374" w:type="dxa"/>
            <w:vMerge/>
            <w:tcBorders>
              <w:right w:val="single" w:sz="4" w:space="0" w:color="auto"/>
            </w:tcBorders>
            <w:vAlign w:val="center"/>
          </w:tcPr>
          <w:p w14:paraId="78EFA1FF" w14:textId="77777777" w:rsidR="00E579B9" w:rsidRDefault="00E579B9">
            <w:pPr>
              <w:pStyle w:val="aa"/>
            </w:pPr>
          </w:p>
        </w:tc>
        <w:tc>
          <w:tcPr>
            <w:tcW w:w="821" w:type="dxa"/>
            <w:tcBorders>
              <w:top w:val="single" w:sz="4" w:space="0" w:color="auto"/>
              <w:left w:val="single" w:sz="4" w:space="0" w:color="auto"/>
              <w:bottom w:val="single" w:sz="4" w:space="0" w:color="auto"/>
              <w:right w:val="single" w:sz="4" w:space="0" w:color="auto"/>
            </w:tcBorders>
            <w:vAlign w:val="center"/>
          </w:tcPr>
          <w:p w14:paraId="1C26BF3B" w14:textId="77777777" w:rsidR="00E579B9" w:rsidRDefault="006A1398">
            <w:pPr>
              <w:pStyle w:val="af5"/>
              <w:spacing w:line="360" w:lineRule="exact"/>
              <w:rPr>
                <w:rFonts w:ascii="Times New Roman" w:hAnsi="Times New Roman" w:cs="Times New Roman"/>
              </w:rPr>
            </w:pPr>
            <w:r>
              <w:rPr>
                <w:rFonts w:ascii="Times New Roman" w:hAnsi="Times New Roman" w:cs="Times New Roman"/>
              </w:rPr>
              <w:t>破碎和筛分粉尘</w:t>
            </w:r>
          </w:p>
        </w:tc>
        <w:tc>
          <w:tcPr>
            <w:tcW w:w="4601" w:type="dxa"/>
            <w:tcBorders>
              <w:top w:val="single" w:sz="4" w:space="0" w:color="auto"/>
              <w:left w:val="single" w:sz="4" w:space="0" w:color="auto"/>
              <w:bottom w:val="single" w:sz="4" w:space="0" w:color="auto"/>
              <w:right w:val="single" w:sz="4" w:space="0" w:color="auto"/>
            </w:tcBorders>
            <w:vAlign w:val="center"/>
          </w:tcPr>
          <w:p w14:paraId="1582FD33" w14:textId="77777777" w:rsidR="00E579B9" w:rsidRDefault="006A1398">
            <w:pPr>
              <w:pStyle w:val="af5"/>
              <w:spacing w:line="360" w:lineRule="exact"/>
              <w:rPr>
                <w:rFonts w:ascii="Times New Roman" w:hAnsi="Times New Roman" w:cs="Times New Roman"/>
              </w:rPr>
            </w:pPr>
            <w:r>
              <w:rPr>
                <w:rFonts w:ascii="Times New Roman" w:hAnsi="Times New Roman" w:cs="Times New Roman"/>
              </w:rPr>
              <w:t>密闭罩收集</w:t>
            </w:r>
            <w:r>
              <w:rPr>
                <w:rFonts w:ascii="Times New Roman" w:hAnsi="Times New Roman" w:cs="Times New Roman"/>
              </w:rPr>
              <w:t>+</w:t>
            </w:r>
            <w:r>
              <w:rPr>
                <w:rFonts w:ascii="宋体" w:hAnsi="宋体" w:cs="Times New Roman"/>
              </w:rPr>
              <w:t>袋式除尘器</w:t>
            </w:r>
            <w:r>
              <w:rPr>
                <w:rFonts w:ascii="Times New Roman" w:hAnsi="Times New Roman" w:cs="Times New Roman"/>
              </w:rPr>
              <w:t>+15m</w:t>
            </w:r>
            <w:r>
              <w:rPr>
                <w:rFonts w:ascii="宋体" w:hAnsi="宋体" w:cs="Times New Roman"/>
              </w:rPr>
              <w:t>高排气筒外排</w:t>
            </w:r>
          </w:p>
        </w:tc>
        <w:tc>
          <w:tcPr>
            <w:tcW w:w="2430" w:type="dxa"/>
            <w:tcBorders>
              <w:top w:val="single" w:sz="4" w:space="0" w:color="auto"/>
              <w:left w:val="single" w:sz="4" w:space="0" w:color="auto"/>
              <w:bottom w:val="single" w:sz="4" w:space="0" w:color="auto"/>
              <w:right w:val="single" w:sz="4" w:space="0" w:color="auto"/>
            </w:tcBorders>
            <w:vAlign w:val="center"/>
          </w:tcPr>
          <w:p w14:paraId="5D383AEF" w14:textId="77777777" w:rsidR="00E579B9" w:rsidRDefault="006A1398">
            <w:pPr>
              <w:spacing w:line="360" w:lineRule="exact"/>
              <w:ind w:firstLineChars="0" w:firstLine="0"/>
              <w:jc w:val="center"/>
              <w:rPr>
                <w:rFonts w:cs="Times New Roman"/>
                <w:sz w:val="21"/>
                <w:szCs w:val="21"/>
              </w:rPr>
            </w:pPr>
            <w:r>
              <w:rPr>
                <w:rFonts w:hint="eastAsia"/>
                <w:sz w:val="21"/>
                <w:szCs w:val="21"/>
              </w:rPr>
              <w:t>2</w:t>
            </w:r>
            <w:r>
              <w:rPr>
                <w:rFonts w:ascii="宋体" w:hAnsi="宋体" w:hint="eastAsia"/>
                <w:sz w:val="21"/>
                <w:szCs w:val="21"/>
              </w:rPr>
              <w:t>套</w:t>
            </w:r>
            <w:r>
              <w:rPr>
                <w:sz w:val="21"/>
                <w:szCs w:val="21"/>
              </w:rPr>
              <w:t>密闭罩收集</w:t>
            </w:r>
            <w:r>
              <w:rPr>
                <w:sz w:val="21"/>
                <w:szCs w:val="21"/>
              </w:rPr>
              <w:t>+</w:t>
            </w:r>
            <w:r>
              <w:rPr>
                <w:rFonts w:ascii="宋体" w:hAnsi="宋体"/>
                <w:sz w:val="21"/>
                <w:szCs w:val="21"/>
              </w:rPr>
              <w:t>袋式除尘器</w:t>
            </w:r>
            <w:r>
              <w:rPr>
                <w:sz w:val="21"/>
                <w:szCs w:val="21"/>
              </w:rPr>
              <w:t>+15m</w:t>
            </w:r>
            <w:r>
              <w:rPr>
                <w:rFonts w:ascii="宋体" w:hAnsi="宋体"/>
                <w:sz w:val="21"/>
                <w:szCs w:val="21"/>
              </w:rPr>
              <w:t>高排气筒外排</w:t>
            </w:r>
          </w:p>
        </w:tc>
        <w:tc>
          <w:tcPr>
            <w:tcW w:w="2911" w:type="dxa"/>
            <w:tcBorders>
              <w:top w:val="single" w:sz="4" w:space="0" w:color="auto"/>
              <w:left w:val="single" w:sz="4" w:space="0" w:color="auto"/>
              <w:bottom w:val="single" w:sz="4" w:space="0" w:color="auto"/>
              <w:right w:val="single" w:sz="4" w:space="0" w:color="auto"/>
            </w:tcBorders>
            <w:vAlign w:val="center"/>
          </w:tcPr>
          <w:p w14:paraId="5139BF83" w14:textId="77777777" w:rsidR="00E579B9" w:rsidRDefault="006A1398">
            <w:pPr>
              <w:pStyle w:val="aa"/>
              <w:rPr>
                <w:szCs w:val="24"/>
              </w:rPr>
            </w:pPr>
            <w:r>
              <w:rPr>
                <w:rFonts w:hint="eastAsia"/>
              </w:rPr>
              <w:t>《水泥工业大气污染物排放标准》（</w:t>
            </w:r>
            <w:r>
              <w:rPr>
                <w:rFonts w:hint="eastAsia"/>
              </w:rPr>
              <w:t>GB4915-2013</w:t>
            </w:r>
            <w:r>
              <w:rPr>
                <w:rFonts w:hint="eastAsia"/>
              </w:rPr>
              <w:t>）表</w:t>
            </w:r>
            <w:r>
              <w:rPr>
                <w:rFonts w:hint="eastAsia"/>
              </w:rPr>
              <w:t>1</w:t>
            </w:r>
            <w:r>
              <w:t>标准及表</w:t>
            </w:r>
            <w:r>
              <w:rPr>
                <w:rFonts w:hint="eastAsia"/>
              </w:rPr>
              <w:t>3</w:t>
            </w:r>
            <w:r>
              <w:rPr>
                <w:rFonts w:hint="eastAsia"/>
              </w:rPr>
              <w:t>标准</w:t>
            </w:r>
            <w:r>
              <w:t>（粉尘有组织排放浓度</w:t>
            </w:r>
            <w:r>
              <w:t>20mg/m</w:t>
            </w:r>
            <w:r>
              <w:rPr>
                <w:vertAlign w:val="superscript"/>
              </w:rPr>
              <w:t>3</w:t>
            </w:r>
            <w:r>
              <w:rPr>
                <w:rFonts w:hint="eastAsia"/>
              </w:rPr>
              <w:t>、</w:t>
            </w:r>
            <w:r>
              <w:t>无组织排放标准浓度限值要求</w:t>
            </w:r>
            <w:r>
              <w:rPr>
                <w:rFonts w:hint="eastAsia"/>
              </w:rPr>
              <w:t>0.5</w:t>
            </w:r>
            <w:r>
              <w:t>mg/m</w:t>
            </w:r>
            <w:r>
              <w:rPr>
                <w:vertAlign w:val="superscript"/>
              </w:rPr>
              <w:t>3</w:t>
            </w:r>
            <w:r>
              <w:t>）</w:t>
            </w:r>
          </w:p>
        </w:tc>
        <w:tc>
          <w:tcPr>
            <w:tcW w:w="927" w:type="dxa"/>
            <w:tcBorders>
              <w:top w:val="single" w:sz="4" w:space="0" w:color="auto"/>
              <w:left w:val="single" w:sz="4" w:space="0" w:color="auto"/>
              <w:bottom w:val="single" w:sz="4" w:space="0" w:color="auto"/>
              <w:right w:val="single" w:sz="4" w:space="0" w:color="auto"/>
            </w:tcBorders>
            <w:vAlign w:val="center"/>
          </w:tcPr>
          <w:p w14:paraId="2F74D284" w14:textId="77777777" w:rsidR="00E579B9" w:rsidRDefault="006A1398">
            <w:pPr>
              <w:pStyle w:val="aa"/>
            </w:pPr>
            <w:r>
              <w:rPr>
                <w:rFonts w:hint="eastAsia"/>
              </w:rPr>
              <w:t>5</w:t>
            </w:r>
          </w:p>
        </w:tc>
        <w:tc>
          <w:tcPr>
            <w:tcW w:w="795" w:type="dxa"/>
            <w:vMerge/>
            <w:tcBorders>
              <w:top w:val="single" w:sz="4" w:space="0" w:color="auto"/>
              <w:left w:val="single" w:sz="4" w:space="0" w:color="auto"/>
              <w:bottom w:val="single" w:sz="4" w:space="0" w:color="auto"/>
            </w:tcBorders>
            <w:vAlign w:val="center"/>
          </w:tcPr>
          <w:p w14:paraId="2FBCE832" w14:textId="77777777" w:rsidR="00E579B9" w:rsidRDefault="00E579B9">
            <w:pPr>
              <w:pStyle w:val="aa"/>
            </w:pPr>
          </w:p>
        </w:tc>
      </w:tr>
      <w:tr w:rsidR="00E579B9" w14:paraId="4722D8F5" w14:textId="77777777">
        <w:trPr>
          <w:trHeight w:val="628"/>
          <w:jc w:val="center"/>
        </w:trPr>
        <w:tc>
          <w:tcPr>
            <w:tcW w:w="303" w:type="dxa"/>
            <w:vMerge/>
            <w:vAlign w:val="center"/>
          </w:tcPr>
          <w:p w14:paraId="017FB383" w14:textId="77777777" w:rsidR="00E579B9" w:rsidRDefault="00E579B9">
            <w:pPr>
              <w:pStyle w:val="aa"/>
            </w:pPr>
          </w:p>
        </w:tc>
        <w:tc>
          <w:tcPr>
            <w:tcW w:w="374" w:type="dxa"/>
            <w:vMerge/>
            <w:vAlign w:val="center"/>
          </w:tcPr>
          <w:p w14:paraId="1B1664E9" w14:textId="77777777" w:rsidR="00E579B9" w:rsidRDefault="00E579B9">
            <w:pPr>
              <w:pStyle w:val="aa"/>
            </w:pPr>
          </w:p>
        </w:tc>
        <w:tc>
          <w:tcPr>
            <w:tcW w:w="821" w:type="dxa"/>
            <w:vAlign w:val="center"/>
          </w:tcPr>
          <w:p w14:paraId="4529FA97" w14:textId="77777777" w:rsidR="00E579B9" w:rsidRDefault="006A1398">
            <w:pPr>
              <w:pStyle w:val="aa"/>
            </w:pPr>
            <w:r>
              <w:rPr>
                <w:rFonts w:hint="eastAsia"/>
              </w:rPr>
              <w:t>运输、装卸粉尘</w:t>
            </w:r>
          </w:p>
        </w:tc>
        <w:tc>
          <w:tcPr>
            <w:tcW w:w="4601" w:type="dxa"/>
            <w:vAlign w:val="center"/>
          </w:tcPr>
          <w:p w14:paraId="767F3DD1" w14:textId="77777777" w:rsidR="00E579B9" w:rsidRDefault="006A1398">
            <w:pPr>
              <w:pStyle w:val="aa"/>
              <w:rPr>
                <w:bCs/>
              </w:rPr>
            </w:pPr>
            <w:r>
              <w:t>对运输道路定期清扫、运输车辆采用加盖帆布篷</w:t>
            </w:r>
            <w:r>
              <w:rPr>
                <w:rFonts w:hint="eastAsia"/>
              </w:rPr>
              <w:t>、限载、限速</w:t>
            </w:r>
            <w:r>
              <w:t>，出口处建设车轮清洗池</w:t>
            </w:r>
          </w:p>
        </w:tc>
        <w:tc>
          <w:tcPr>
            <w:tcW w:w="2430" w:type="dxa"/>
            <w:vAlign w:val="center"/>
          </w:tcPr>
          <w:p w14:paraId="0A73840C" w14:textId="77777777" w:rsidR="00E579B9" w:rsidRDefault="006A1398">
            <w:pPr>
              <w:pStyle w:val="aa"/>
            </w:pPr>
            <w:r>
              <w:t>洒水车，运输车辆遮挡帆布篷，车轮清洗池和减速禁鸣标志</w:t>
            </w:r>
          </w:p>
        </w:tc>
        <w:tc>
          <w:tcPr>
            <w:tcW w:w="2911" w:type="dxa"/>
            <w:vAlign w:val="center"/>
          </w:tcPr>
          <w:p w14:paraId="0C9D836C" w14:textId="77777777" w:rsidR="00E579B9" w:rsidRDefault="006A1398">
            <w:pPr>
              <w:pStyle w:val="aa"/>
            </w:pPr>
            <w:r>
              <w:t>减少车辆运输产生的扬尘，避免对沿线居民造成较大影响</w:t>
            </w:r>
          </w:p>
        </w:tc>
        <w:tc>
          <w:tcPr>
            <w:tcW w:w="927" w:type="dxa"/>
            <w:vAlign w:val="center"/>
          </w:tcPr>
          <w:p w14:paraId="11C78F84" w14:textId="77777777" w:rsidR="00E579B9" w:rsidRDefault="006A1398">
            <w:pPr>
              <w:pStyle w:val="aa"/>
            </w:pPr>
            <w:r>
              <w:t>6</w:t>
            </w:r>
          </w:p>
        </w:tc>
        <w:tc>
          <w:tcPr>
            <w:tcW w:w="795" w:type="dxa"/>
            <w:vMerge/>
            <w:vAlign w:val="center"/>
          </w:tcPr>
          <w:p w14:paraId="2FD98728" w14:textId="77777777" w:rsidR="00E579B9" w:rsidRDefault="00E579B9">
            <w:pPr>
              <w:pStyle w:val="aa"/>
            </w:pPr>
          </w:p>
        </w:tc>
      </w:tr>
      <w:tr w:rsidR="00E579B9" w14:paraId="3692CFD7" w14:textId="77777777">
        <w:trPr>
          <w:trHeight w:val="1328"/>
          <w:jc w:val="center"/>
        </w:trPr>
        <w:tc>
          <w:tcPr>
            <w:tcW w:w="303" w:type="dxa"/>
            <w:vMerge/>
            <w:vAlign w:val="center"/>
          </w:tcPr>
          <w:p w14:paraId="1EE9F72A" w14:textId="77777777" w:rsidR="00E579B9" w:rsidRDefault="00E579B9">
            <w:pPr>
              <w:pStyle w:val="aa"/>
            </w:pPr>
          </w:p>
        </w:tc>
        <w:tc>
          <w:tcPr>
            <w:tcW w:w="374" w:type="dxa"/>
            <w:vMerge w:val="restart"/>
            <w:vAlign w:val="center"/>
          </w:tcPr>
          <w:p w14:paraId="10BBB6AA" w14:textId="77777777" w:rsidR="00E579B9" w:rsidRDefault="006A1398">
            <w:pPr>
              <w:pStyle w:val="aa"/>
            </w:pPr>
            <w:r>
              <w:t>噪声防治</w:t>
            </w:r>
          </w:p>
        </w:tc>
        <w:tc>
          <w:tcPr>
            <w:tcW w:w="821" w:type="dxa"/>
            <w:vAlign w:val="center"/>
          </w:tcPr>
          <w:p w14:paraId="0C5B5846" w14:textId="77777777" w:rsidR="00E579B9" w:rsidRDefault="006A1398">
            <w:pPr>
              <w:pStyle w:val="aa"/>
            </w:pPr>
            <w:r>
              <w:rPr>
                <w:rFonts w:hint="eastAsia"/>
              </w:rPr>
              <w:t>爆破噪声</w:t>
            </w:r>
          </w:p>
        </w:tc>
        <w:tc>
          <w:tcPr>
            <w:tcW w:w="4601" w:type="dxa"/>
            <w:vAlign w:val="center"/>
          </w:tcPr>
          <w:p w14:paraId="275637F8" w14:textId="77777777" w:rsidR="00E579B9" w:rsidRDefault="006A1398">
            <w:pPr>
              <w:pStyle w:val="aa"/>
            </w:pPr>
            <w:r>
              <w:rPr>
                <w:rFonts w:hint="eastAsia"/>
              </w:rPr>
              <w:t>爆破采用多排孔挤压微差爆破，控制每一段的装药量，同时要求爆破作业均在白天进行。评价建议建设方严格遵守以下降噪措施：①在有爆破任务的前一天通过告示或广播告知周边村民第二天的爆破时间和次数；②在爆破警戒线外围设置警戒标志牌。</w:t>
            </w:r>
          </w:p>
        </w:tc>
        <w:tc>
          <w:tcPr>
            <w:tcW w:w="2430" w:type="dxa"/>
            <w:vMerge w:val="restart"/>
            <w:vAlign w:val="center"/>
          </w:tcPr>
          <w:p w14:paraId="31ADE3F6" w14:textId="77777777" w:rsidR="00E579B9" w:rsidRDefault="006A1398">
            <w:pPr>
              <w:spacing w:line="360" w:lineRule="exact"/>
              <w:jc w:val="center"/>
            </w:pPr>
            <w:r>
              <w:rPr>
                <w:rFonts w:hint="eastAsia"/>
              </w:rPr>
              <w:t>低噪声设备、低速行驶</w:t>
            </w:r>
          </w:p>
        </w:tc>
        <w:tc>
          <w:tcPr>
            <w:tcW w:w="2911" w:type="dxa"/>
            <w:vMerge w:val="restart"/>
            <w:vAlign w:val="center"/>
          </w:tcPr>
          <w:p w14:paraId="770F170D" w14:textId="77777777" w:rsidR="00E579B9" w:rsidRDefault="006A1398">
            <w:pPr>
              <w:pStyle w:val="aa"/>
            </w:pPr>
            <w:r>
              <w:t>厂界噪声达到（</w:t>
            </w:r>
            <w:r>
              <w:t>GB12348-2008</w:t>
            </w:r>
            <w:r>
              <w:t>）</w:t>
            </w:r>
            <w:r>
              <w:t>2</w:t>
            </w:r>
            <w:r>
              <w:t>类</w:t>
            </w:r>
            <w:r>
              <w:rPr>
                <w:rFonts w:hint="eastAsia"/>
              </w:rPr>
              <w:t>；</w:t>
            </w:r>
            <w:r>
              <w:t>敏感点噪声达到</w:t>
            </w:r>
          </w:p>
          <w:p w14:paraId="18F440E4" w14:textId="77777777" w:rsidR="00E579B9" w:rsidRDefault="006A1398">
            <w:pPr>
              <w:pStyle w:val="aa"/>
            </w:pPr>
            <w:r>
              <w:t>（</w:t>
            </w:r>
            <w:r>
              <w:t>GB3096-2008</w:t>
            </w:r>
            <w:r>
              <w:t>）</w:t>
            </w:r>
            <w:r>
              <w:t>2</w:t>
            </w:r>
            <w:r>
              <w:t>类</w:t>
            </w:r>
          </w:p>
        </w:tc>
        <w:tc>
          <w:tcPr>
            <w:tcW w:w="927" w:type="dxa"/>
            <w:vMerge w:val="restart"/>
            <w:vAlign w:val="center"/>
          </w:tcPr>
          <w:p w14:paraId="6D6A2558" w14:textId="77777777" w:rsidR="00E579B9" w:rsidRDefault="006A1398">
            <w:pPr>
              <w:pStyle w:val="aa"/>
            </w:pPr>
            <w:r>
              <w:t>5</w:t>
            </w:r>
          </w:p>
        </w:tc>
        <w:tc>
          <w:tcPr>
            <w:tcW w:w="795" w:type="dxa"/>
            <w:vMerge/>
            <w:vAlign w:val="center"/>
          </w:tcPr>
          <w:p w14:paraId="1C279BDB" w14:textId="77777777" w:rsidR="00E579B9" w:rsidRDefault="00E579B9">
            <w:pPr>
              <w:pStyle w:val="aa"/>
            </w:pPr>
          </w:p>
        </w:tc>
      </w:tr>
      <w:tr w:rsidR="00E579B9" w14:paraId="4DC37A72" w14:textId="77777777">
        <w:trPr>
          <w:trHeight w:val="554"/>
          <w:jc w:val="center"/>
        </w:trPr>
        <w:tc>
          <w:tcPr>
            <w:tcW w:w="303" w:type="dxa"/>
            <w:vMerge/>
            <w:vAlign w:val="center"/>
          </w:tcPr>
          <w:p w14:paraId="393C362F" w14:textId="77777777" w:rsidR="00E579B9" w:rsidRDefault="00E579B9">
            <w:pPr>
              <w:pStyle w:val="aa"/>
            </w:pPr>
          </w:p>
        </w:tc>
        <w:tc>
          <w:tcPr>
            <w:tcW w:w="374" w:type="dxa"/>
            <w:vMerge/>
            <w:vAlign w:val="center"/>
          </w:tcPr>
          <w:p w14:paraId="55F78310" w14:textId="77777777" w:rsidR="00E579B9" w:rsidRDefault="00E579B9">
            <w:pPr>
              <w:pStyle w:val="aa"/>
            </w:pPr>
          </w:p>
        </w:tc>
        <w:tc>
          <w:tcPr>
            <w:tcW w:w="821" w:type="dxa"/>
            <w:vAlign w:val="center"/>
          </w:tcPr>
          <w:p w14:paraId="136BDC6D" w14:textId="77777777" w:rsidR="00E579B9" w:rsidRDefault="006A1398">
            <w:pPr>
              <w:pStyle w:val="aa"/>
            </w:pPr>
            <w:r>
              <w:rPr>
                <w:rFonts w:hint="eastAsia"/>
              </w:rPr>
              <w:t>设备噪声</w:t>
            </w:r>
          </w:p>
        </w:tc>
        <w:tc>
          <w:tcPr>
            <w:tcW w:w="4601" w:type="dxa"/>
            <w:vAlign w:val="center"/>
          </w:tcPr>
          <w:p w14:paraId="2BF3EC62" w14:textId="77777777" w:rsidR="00E579B9" w:rsidRDefault="006A1398">
            <w:pPr>
              <w:pStyle w:val="aa"/>
            </w:pPr>
            <w:r>
              <w:rPr>
                <w:rFonts w:hint="eastAsia"/>
              </w:rPr>
              <w:t>选用低噪声设备，可采取关闭操作室门窗、工人戴护耳器等隔声、减振、加设消声设施措施</w:t>
            </w:r>
          </w:p>
        </w:tc>
        <w:tc>
          <w:tcPr>
            <w:tcW w:w="2430" w:type="dxa"/>
            <w:vMerge/>
            <w:vAlign w:val="center"/>
          </w:tcPr>
          <w:p w14:paraId="47C03A93" w14:textId="77777777" w:rsidR="00E579B9" w:rsidRDefault="00E579B9">
            <w:pPr>
              <w:spacing w:line="360" w:lineRule="exact"/>
              <w:jc w:val="center"/>
            </w:pPr>
          </w:p>
        </w:tc>
        <w:tc>
          <w:tcPr>
            <w:tcW w:w="2911" w:type="dxa"/>
            <w:vMerge/>
            <w:vAlign w:val="center"/>
          </w:tcPr>
          <w:p w14:paraId="3494047A" w14:textId="77777777" w:rsidR="00E579B9" w:rsidRDefault="00E579B9">
            <w:pPr>
              <w:pStyle w:val="aa"/>
            </w:pPr>
          </w:p>
        </w:tc>
        <w:tc>
          <w:tcPr>
            <w:tcW w:w="927" w:type="dxa"/>
            <w:vMerge/>
            <w:vAlign w:val="center"/>
          </w:tcPr>
          <w:p w14:paraId="2D7C8574" w14:textId="77777777" w:rsidR="00E579B9" w:rsidRDefault="00E579B9">
            <w:pPr>
              <w:pStyle w:val="aa"/>
            </w:pPr>
          </w:p>
        </w:tc>
        <w:tc>
          <w:tcPr>
            <w:tcW w:w="795" w:type="dxa"/>
            <w:vMerge/>
            <w:vAlign w:val="center"/>
          </w:tcPr>
          <w:p w14:paraId="1D187169" w14:textId="77777777" w:rsidR="00E579B9" w:rsidRDefault="00E579B9">
            <w:pPr>
              <w:pStyle w:val="aa"/>
            </w:pPr>
          </w:p>
        </w:tc>
      </w:tr>
      <w:tr w:rsidR="00E579B9" w14:paraId="61BF6C86" w14:textId="77777777">
        <w:trPr>
          <w:trHeight w:val="554"/>
          <w:jc w:val="center"/>
        </w:trPr>
        <w:tc>
          <w:tcPr>
            <w:tcW w:w="303" w:type="dxa"/>
            <w:vMerge/>
            <w:vAlign w:val="center"/>
          </w:tcPr>
          <w:p w14:paraId="5F3D552F" w14:textId="77777777" w:rsidR="00E579B9" w:rsidRDefault="00E579B9">
            <w:pPr>
              <w:pStyle w:val="aa"/>
            </w:pPr>
          </w:p>
        </w:tc>
        <w:tc>
          <w:tcPr>
            <w:tcW w:w="374" w:type="dxa"/>
            <w:vMerge/>
            <w:tcBorders>
              <w:right w:val="single" w:sz="4" w:space="0" w:color="auto"/>
            </w:tcBorders>
            <w:vAlign w:val="center"/>
          </w:tcPr>
          <w:p w14:paraId="4EF9C9E2" w14:textId="77777777" w:rsidR="00E579B9" w:rsidRDefault="00E579B9">
            <w:pPr>
              <w:pStyle w:val="aa"/>
            </w:pPr>
          </w:p>
        </w:tc>
        <w:tc>
          <w:tcPr>
            <w:tcW w:w="821" w:type="dxa"/>
            <w:tcBorders>
              <w:top w:val="single" w:sz="4" w:space="0" w:color="auto"/>
              <w:left w:val="single" w:sz="4" w:space="0" w:color="auto"/>
              <w:bottom w:val="single" w:sz="4" w:space="0" w:color="auto"/>
              <w:right w:val="single" w:sz="4" w:space="0" w:color="auto"/>
            </w:tcBorders>
            <w:vAlign w:val="center"/>
          </w:tcPr>
          <w:p w14:paraId="5FC2CCD3" w14:textId="77777777" w:rsidR="00E579B9" w:rsidRDefault="006A1398">
            <w:pPr>
              <w:spacing w:line="360" w:lineRule="exact"/>
              <w:ind w:firstLineChars="0" w:firstLine="0"/>
              <w:jc w:val="center"/>
              <w:rPr>
                <w:rFonts w:cs="Times New Roman"/>
                <w:sz w:val="21"/>
                <w:szCs w:val="21"/>
              </w:rPr>
            </w:pPr>
            <w:r>
              <w:rPr>
                <w:sz w:val="21"/>
                <w:szCs w:val="21"/>
              </w:rPr>
              <w:t>运输噪声</w:t>
            </w:r>
          </w:p>
        </w:tc>
        <w:tc>
          <w:tcPr>
            <w:tcW w:w="4601" w:type="dxa"/>
            <w:tcBorders>
              <w:top w:val="single" w:sz="4" w:space="0" w:color="auto"/>
              <w:left w:val="single" w:sz="4" w:space="0" w:color="auto"/>
              <w:bottom w:val="single" w:sz="4" w:space="0" w:color="auto"/>
              <w:right w:val="single" w:sz="4" w:space="0" w:color="auto"/>
            </w:tcBorders>
            <w:vAlign w:val="center"/>
          </w:tcPr>
          <w:p w14:paraId="4F389FCE" w14:textId="77777777" w:rsidR="00E579B9" w:rsidRDefault="006A1398">
            <w:pPr>
              <w:spacing w:line="360" w:lineRule="exact"/>
              <w:ind w:firstLineChars="0" w:firstLine="0"/>
              <w:jc w:val="center"/>
              <w:rPr>
                <w:sz w:val="21"/>
                <w:szCs w:val="21"/>
              </w:rPr>
            </w:pPr>
            <w:r>
              <w:rPr>
                <w:sz w:val="21"/>
                <w:szCs w:val="21"/>
              </w:rPr>
              <w:t>运输车辆限速</w:t>
            </w:r>
            <w:r>
              <w:rPr>
                <w:sz w:val="21"/>
                <w:szCs w:val="21"/>
              </w:rPr>
              <w:t>(20km/h)</w:t>
            </w:r>
            <w:r>
              <w:rPr>
                <w:rFonts w:ascii="宋体" w:hAnsi="宋体"/>
                <w:sz w:val="21"/>
                <w:szCs w:val="21"/>
              </w:rPr>
              <w:t>行驶，禁止夜间运输</w:t>
            </w:r>
          </w:p>
        </w:tc>
        <w:tc>
          <w:tcPr>
            <w:tcW w:w="2430" w:type="dxa"/>
            <w:vMerge/>
            <w:tcBorders>
              <w:top w:val="single" w:sz="4" w:space="0" w:color="auto"/>
              <w:left w:val="single" w:sz="4" w:space="0" w:color="auto"/>
              <w:bottom w:val="single" w:sz="4" w:space="0" w:color="auto"/>
              <w:right w:val="single" w:sz="4" w:space="0" w:color="auto"/>
            </w:tcBorders>
            <w:vAlign w:val="center"/>
          </w:tcPr>
          <w:p w14:paraId="4A5783EB" w14:textId="77777777" w:rsidR="00E579B9" w:rsidRDefault="00E579B9">
            <w:pPr>
              <w:spacing w:line="360" w:lineRule="exact"/>
              <w:ind w:firstLineChars="0" w:firstLine="0"/>
              <w:jc w:val="center"/>
              <w:rPr>
                <w:sz w:val="21"/>
                <w:szCs w:val="21"/>
              </w:rPr>
            </w:pPr>
          </w:p>
        </w:tc>
        <w:tc>
          <w:tcPr>
            <w:tcW w:w="2911" w:type="dxa"/>
            <w:vMerge/>
            <w:tcBorders>
              <w:top w:val="single" w:sz="4" w:space="0" w:color="auto"/>
              <w:left w:val="single" w:sz="4" w:space="0" w:color="auto"/>
              <w:bottom w:val="single" w:sz="4" w:space="0" w:color="auto"/>
              <w:right w:val="single" w:sz="4" w:space="0" w:color="auto"/>
            </w:tcBorders>
            <w:vAlign w:val="center"/>
          </w:tcPr>
          <w:p w14:paraId="1A6C9F4C" w14:textId="77777777" w:rsidR="00E579B9" w:rsidRDefault="00E579B9">
            <w:pPr>
              <w:pStyle w:val="aa"/>
            </w:pPr>
          </w:p>
        </w:tc>
        <w:tc>
          <w:tcPr>
            <w:tcW w:w="927" w:type="dxa"/>
            <w:vMerge/>
            <w:tcBorders>
              <w:top w:val="single" w:sz="4" w:space="0" w:color="auto"/>
              <w:left w:val="single" w:sz="4" w:space="0" w:color="auto"/>
              <w:bottom w:val="single" w:sz="4" w:space="0" w:color="auto"/>
              <w:right w:val="single" w:sz="4" w:space="0" w:color="auto"/>
            </w:tcBorders>
            <w:vAlign w:val="center"/>
          </w:tcPr>
          <w:p w14:paraId="5427E0AE" w14:textId="77777777" w:rsidR="00E579B9" w:rsidRDefault="00E579B9">
            <w:pPr>
              <w:pStyle w:val="aa"/>
            </w:pPr>
          </w:p>
        </w:tc>
        <w:tc>
          <w:tcPr>
            <w:tcW w:w="795" w:type="dxa"/>
            <w:vMerge/>
            <w:tcBorders>
              <w:top w:val="single" w:sz="4" w:space="0" w:color="auto"/>
              <w:left w:val="single" w:sz="4" w:space="0" w:color="auto"/>
              <w:bottom w:val="single" w:sz="4" w:space="0" w:color="auto"/>
            </w:tcBorders>
            <w:vAlign w:val="center"/>
          </w:tcPr>
          <w:p w14:paraId="18E34449" w14:textId="77777777" w:rsidR="00E579B9" w:rsidRDefault="00E579B9">
            <w:pPr>
              <w:pStyle w:val="aa"/>
            </w:pPr>
          </w:p>
        </w:tc>
      </w:tr>
      <w:tr w:rsidR="00E579B9" w14:paraId="5A3F2664" w14:textId="77777777">
        <w:trPr>
          <w:trHeight w:val="340"/>
          <w:jc w:val="center"/>
        </w:trPr>
        <w:tc>
          <w:tcPr>
            <w:tcW w:w="303" w:type="dxa"/>
            <w:vMerge/>
            <w:vAlign w:val="center"/>
          </w:tcPr>
          <w:p w14:paraId="07B33FE1" w14:textId="77777777" w:rsidR="00E579B9" w:rsidRDefault="00E579B9">
            <w:pPr>
              <w:pStyle w:val="aa"/>
            </w:pPr>
          </w:p>
        </w:tc>
        <w:tc>
          <w:tcPr>
            <w:tcW w:w="1195" w:type="dxa"/>
            <w:gridSpan w:val="2"/>
            <w:vAlign w:val="center"/>
          </w:tcPr>
          <w:p w14:paraId="02A63D22" w14:textId="77777777" w:rsidR="00E579B9" w:rsidRDefault="006A1398">
            <w:pPr>
              <w:pStyle w:val="aa"/>
            </w:pPr>
            <w:r>
              <w:t>水污染防治</w:t>
            </w:r>
          </w:p>
        </w:tc>
        <w:tc>
          <w:tcPr>
            <w:tcW w:w="4601" w:type="dxa"/>
            <w:vAlign w:val="center"/>
          </w:tcPr>
          <w:p w14:paraId="3E840324" w14:textId="77777777" w:rsidR="00E579B9" w:rsidRDefault="006A1398">
            <w:pPr>
              <w:pStyle w:val="aa"/>
            </w:pPr>
            <w:r>
              <w:rPr>
                <w:rFonts w:hint="eastAsia"/>
              </w:rPr>
              <w:t>采区设截排水沟，设置</w:t>
            </w:r>
            <w:r>
              <w:t>40</w:t>
            </w:r>
            <w:r>
              <w:rPr>
                <w:rFonts w:hint="eastAsia"/>
              </w:rPr>
              <w:t>0m</w:t>
            </w:r>
            <w:r>
              <w:rPr>
                <w:rFonts w:hint="eastAsia"/>
                <w:vertAlign w:val="superscript"/>
              </w:rPr>
              <w:t>3</w:t>
            </w:r>
            <w:r>
              <w:rPr>
                <w:rFonts w:hint="eastAsia"/>
              </w:rPr>
              <w:t>沉淀池一座，必要时为保证采矿正常生产、需要安排一定量的水泵将采坑内积水及时抽至集水池内，收集的初期雨水经集水池沉淀后用于采区和矿区道路洒水降尘，不外排。车辆冲洗装置废水经</w:t>
            </w:r>
            <w:r>
              <w:rPr>
                <w:rFonts w:hint="eastAsia"/>
              </w:rPr>
              <w:t>5m</w:t>
            </w:r>
            <w:r>
              <w:rPr>
                <w:rFonts w:hint="eastAsia"/>
                <w:vertAlign w:val="superscript"/>
              </w:rPr>
              <w:t>3</w:t>
            </w:r>
            <w:r>
              <w:rPr>
                <w:rFonts w:hint="eastAsia"/>
              </w:rPr>
              <w:t>的沉淀池沉淀后循环利用；生活污水经厂区内</w:t>
            </w:r>
            <w:r>
              <w:rPr>
                <w:rFonts w:hint="eastAsia"/>
              </w:rPr>
              <w:t>8m</w:t>
            </w:r>
            <w:r>
              <w:rPr>
                <w:rFonts w:hint="eastAsia"/>
                <w:vertAlign w:val="superscript"/>
              </w:rPr>
              <w:t>3</w:t>
            </w:r>
            <w:r>
              <w:rPr>
                <w:rFonts w:hint="eastAsia"/>
              </w:rPr>
              <w:t>一体化</w:t>
            </w:r>
            <w:r>
              <w:rPr>
                <w:rFonts w:hint="eastAsia"/>
              </w:rPr>
              <w:lastRenderedPageBreak/>
              <w:t>污水处理设施处理后用于厂区洒水降尘，不外排，旱厕粪污由附近村民拉走用于肥田。</w:t>
            </w:r>
          </w:p>
        </w:tc>
        <w:tc>
          <w:tcPr>
            <w:tcW w:w="2430" w:type="dxa"/>
            <w:vAlign w:val="center"/>
          </w:tcPr>
          <w:p w14:paraId="697941FD" w14:textId="77777777" w:rsidR="00E579B9" w:rsidRDefault="006A1398">
            <w:pPr>
              <w:pStyle w:val="aa"/>
            </w:pPr>
            <w:r>
              <w:rPr>
                <w:rFonts w:hint="eastAsia"/>
              </w:rPr>
              <w:lastRenderedPageBreak/>
              <w:t>4</w:t>
            </w:r>
            <w:r>
              <w:t>00</w:t>
            </w:r>
            <w:r>
              <w:rPr>
                <w:rFonts w:hint="eastAsia"/>
              </w:rPr>
              <w:t>m</w:t>
            </w:r>
            <w:r>
              <w:rPr>
                <w:rFonts w:hint="eastAsia"/>
                <w:vertAlign w:val="superscript"/>
              </w:rPr>
              <w:t>3</w:t>
            </w:r>
            <w:r>
              <w:rPr>
                <w:rFonts w:hint="eastAsia"/>
              </w:rPr>
              <w:t>的沉淀池一座，</w:t>
            </w:r>
            <w:r>
              <w:rPr>
                <w:rFonts w:hint="eastAsia"/>
              </w:rPr>
              <w:t>10</w:t>
            </w:r>
            <w:r>
              <w:t>m</w:t>
            </w:r>
            <w:r>
              <w:rPr>
                <w:vertAlign w:val="superscript"/>
              </w:rPr>
              <w:t>3</w:t>
            </w:r>
            <w:r>
              <w:rPr>
                <w:rFonts w:hint="eastAsia"/>
              </w:rPr>
              <w:t>/d</w:t>
            </w:r>
            <w:r>
              <w:rPr>
                <w:rFonts w:hint="eastAsia"/>
              </w:rPr>
              <w:t>一体化污水处理设施；</w:t>
            </w:r>
            <w:r>
              <w:rPr>
                <w:rFonts w:hint="eastAsia"/>
              </w:rPr>
              <w:t>5m</w:t>
            </w:r>
            <w:r>
              <w:rPr>
                <w:rFonts w:hint="eastAsia"/>
                <w:vertAlign w:val="superscript"/>
              </w:rPr>
              <w:t>3</w:t>
            </w:r>
            <w:r>
              <w:rPr>
                <w:rFonts w:hint="eastAsia"/>
              </w:rPr>
              <w:t>的沉淀池</w:t>
            </w:r>
          </w:p>
        </w:tc>
        <w:tc>
          <w:tcPr>
            <w:tcW w:w="2911" w:type="dxa"/>
            <w:vAlign w:val="center"/>
          </w:tcPr>
          <w:p w14:paraId="6BE56372" w14:textId="77777777" w:rsidR="00E579B9" w:rsidRDefault="006A1398">
            <w:pPr>
              <w:pStyle w:val="aa"/>
            </w:pPr>
            <w:r>
              <w:t>不外排</w:t>
            </w:r>
          </w:p>
        </w:tc>
        <w:tc>
          <w:tcPr>
            <w:tcW w:w="927" w:type="dxa"/>
            <w:vAlign w:val="center"/>
          </w:tcPr>
          <w:p w14:paraId="5A24F2C4" w14:textId="77777777" w:rsidR="00E579B9" w:rsidRDefault="006A1398">
            <w:pPr>
              <w:pStyle w:val="aa"/>
            </w:pPr>
            <w:r>
              <w:t>50</w:t>
            </w:r>
          </w:p>
        </w:tc>
        <w:tc>
          <w:tcPr>
            <w:tcW w:w="795" w:type="dxa"/>
            <w:vMerge/>
            <w:vAlign w:val="center"/>
          </w:tcPr>
          <w:p w14:paraId="568227D6" w14:textId="77777777" w:rsidR="00E579B9" w:rsidRDefault="00E579B9">
            <w:pPr>
              <w:pStyle w:val="aa"/>
            </w:pPr>
          </w:p>
        </w:tc>
      </w:tr>
      <w:tr w:rsidR="00E579B9" w14:paraId="78D2198C" w14:textId="77777777">
        <w:trPr>
          <w:trHeight w:val="340"/>
          <w:jc w:val="center"/>
        </w:trPr>
        <w:tc>
          <w:tcPr>
            <w:tcW w:w="303" w:type="dxa"/>
            <w:vMerge/>
            <w:vAlign w:val="center"/>
          </w:tcPr>
          <w:p w14:paraId="43B0A883" w14:textId="77777777" w:rsidR="00E579B9" w:rsidRDefault="00E579B9">
            <w:pPr>
              <w:pStyle w:val="aa"/>
            </w:pPr>
          </w:p>
        </w:tc>
        <w:tc>
          <w:tcPr>
            <w:tcW w:w="374" w:type="dxa"/>
            <w:vMerge w:val="restart"/>
            <w:vAlign w:val="center"/>
          </w:tcPr>
          <w:p w14:paraId="6B3D8FCA" w14:textId="77777777" w:rsidR="00E579B9" w:rsidRDefault="006A1398">
            <w:pPr>
              <w:pStyle w:val="aa"/>
            </w:pPr>
            <w:r>
              <w:t>固废</w:t>
            </w:r>
          </w:p>
        </w:tc>
        <w:tc>
          <w:tcPr>
            <w:tcW w:w="821" w:type="dxa"/>
            <w:vAlign w:val="center"/>
          </w:tcPr>
          <w:p w14:paraId="33C22F4C" w14:textId="77777777" w:rsidR="00E579B9" w:rsidRDefault="006A1398">
            <w:pPr>
              <w:pStyle w:val="aa"/>
            </w:pPr>
            <w:r>
              <w:t>废石</w:t>
            </w:r>
          </w:p>
        </w:tc>
        <w:tc>
          <w:tcPr>
            <w:tcW w:w="4601" w:type="dxa"/>
            <w:vAlign w:val="center"/>
          </w:tcPr>
          <w:p w14:paraId="3B9D3447" w14:textId="77777777" w:rsidR="00E579B9" w:rsidRDefault="006A1398">
            <w:pPr>
              <w:pStyle w:val="aa"/>
            </w:pPr>
            <w:r>
              <w:rPr>
                <w:rFonts w:hint="eastAsia"/>
              </w:rPr>
              <w:t>废石暂存表土场，固体残渣中的风华页岩外售给当地砖厂</w:t>
            </w:r>
          </w:p>
        </w:tc>
        <w:tc>
          <w:tcPr>
            <w:tcW w:w="2430" w:type="dxa"/>
            <w:vAlign w:val="center"/>
          </w:tcPr>
          <w:p w14:paraId="18EB4E14" w14:textId="77777777" w:rsidR="00E579B9" w:rsidRDefault="006A1398">
            <w:pPr>
              <w:pStyle w:val="aa"/>
            </w:pPr>
            <w:r>
              <w:rPr>
                <w:rFonts w:hint="eastAsia"/>
              </w:rPr>
              <w:t>剩余后期用于采区生态恢复</w:t>
            </w:r>
          </w:p>
        </w:tc>
        <w:tc>
          <w:tcPr>
            <w:tcW w:w="2911" w:type="dxa"/>
            <w:vMerge w:val="restart"/>
            <w:vAlign w:val="center"/>
          </w:tcPr>
          <w:p w14:paraId="161F1748" w14:textId="77777777" w:rsidR="00E579B9" w:rsidRDefault="006A1398">
            <w:pPr>
              <w:pStyle w:val="aa"/>
            </w:pPr>
            <w:r>
              <w:t>合理安全处置</w:t>
            </w:r>
          </w:p>
          <w:p w14:paraId="41CCD99B" w14:textId="77777777" w:rsidR="00E579B9" w:rsidRDefault="00E579B9">
            <w:pPr>
              <w:pStyle w:val="aa"/>
            </w:pPr>
          </w:p>
        </w:tc>
        <w:tc>
          <w:tcPr>
            <w:tcW w:w="927" w:type="dxa"/>
            <w:vMerge w:val="restart"/>
            <w:vAlign w:val="center"/>
          </w:tcPr>
          <w:p w14:paraId="6AC4EED7" w14:textId="77777777" w:rsidR="00E579B9" w:rsidRDefault="006A1398">
            <w:pPr>
              <w:pStyle w:val="aa"/>
            </w:pPr>
            <w:r>
              <w:t>10</w:t>
            </w:r>
          </w:p>
        </w:tc>
        <w:tc>
          <w:tcPr>
            <w:tcW w:w="795" w:type="dxa"/>
            <w:vMerge/>
            <w:vAlign w:val="center"/>
          </w:tcPr>
          <w:p w14:paraId="200B9EA6" w14:textId="77777777" w:rsidR="00E579B9" w:rsidRDefault="00E579B9">
            <w:pPr>
              <w:pStyle w:val="aa"/>
            </w:pPr>
          </w:p>
        </w:tc>
      </w:tr>
      <w:tr w:rsidR="00E579B9" w14:paraId="76A33652" w14:textId="77777777">
        <w:trPr>
          <w:trHeight w:val="578"/>
          <w:jc w:val="center"/>
        </w:trPr>
        <w:tc>
          <w:tcPr>
            <w:tcW w:w="303" w:type="dxa"/>
            <w:vMerge/>
            <w:vAlign w:val="center"/>
          </w:tcPr>
          <w:p w14:paraId="2F2B087F" w14:textId="77777777" w:rsidR="00E579B9" w:rsidRDefault="00E579B9">
            <w:pPr>
              <w:pStyle w:val="aa"/>
            </w:pPr>
          </w:p>
        </w:tc>
        <w:tc>
          <w:tcPr>
            <w:tcW w:w="374" w:type="dxa"/>
            <w:vMerge/>
            <w:vAlign w:val="center"/>
          </w:tcPr>
          <w:p w14:paraId="20F1B4B3" w14:textId="77777777" w:rsidR="00E579B9" w:rsidRDefault="00E579B9">
            <w:pPr>
              <w:pStyle w:val="aa"/>
            </w:pPr>
          </w:p>
        </w:tc>
        <w:tc>
          <w:tcPr>
            <w:tcW w:w="821" w:type="dxa"/>
            <w:vAlign w:val="center"/>
          </w:tcPr>
          <w:p w14:paraId="73ADF238" w14:textId="77777777" w:rsidR="00E579B9" w:rsidRDefault="006A1398">
            <w:pPr>
              <w:pStyle w:val="aa"/>
            </w:pPr>
            <w:r>
              <w:t>表土</w:t>
            </w:r>
          </w:p>
        </w:tc>
        <w:tc>
          <w:tcPr>
            <w:tcW w:w="4601" w:type="dxa"/>
            <w:vAlign w:val="center"/>
          </w:tcPr>
          <w:p w14:paraId="73323B36" w14:textId="77777777" w:rsidR="00E579B9" w:rsidRDefault="006A1398">
            <w:pPr>
              <w:pStyle w:val="aa"/>
            </w:pPr>
            <w:r>
              <w:t>表土堆存于</w:t>
            </w:r>
            <w:r>
              <w:rPr>
                <w:rFonts w:hint="eastAsia"/>
              </w:rPr>
              <w:t>表土场</w:t>
            </w:r>
            <w:r>
              <w:t>，用于生态恢复</w:t>
            </w:r>
          </w:p>
        </w:tc>
        <w:tc>
          <w:tcPr>
            <w:tcW w:w="2430" w:type="dxa"/>
            <w:vAlign w:val="center"/>
          </w:tcPr>
          <w:p w14:paraId="691683F8" w14:textId="77777777" w:rsidR="00E579B9" w:rsidRDefault="006A1398">
            <w:pPr>
              <w:pStyle w:val="aa"/>
            </w:pPr>
            <w:r>
              <w:rPr>
                <w:rFonts w:hint="eastAsia"/>
              </w:rPr>
              <w:t>堆场</w:t>
            </w:r>
            <w:r>
              <w:t>周边修建排水沟，下游修建挡土墙</w:t>
            </w:r>
          </w:p>
        </w:tc>
        <w:tc>
          <w:tcPr>
            <w:tcW w:w="2911" w:type="dxa"/>
            <w:vMerge/>
            <w:vAlign w:val="center"/>
          </w:tcPr>
          <w:p w14:paraId="1FD1BCF4" w14:textId="77777777" w:rsidR="00E579B9" w:rsidRDefault="00E579B9">
            <w:pPr>
              <w:pStyle w:val="aa"/>
            </w:pPr>
          </w:p>
        </w:tc>
        <w:tc>
          <w:tcPr>
            <w:tcW w:w="927" w:type="dxa"/>
            <w:vMerge/>
            <w:vAlign w:val="center"/>
          </w:tcPr>
          <w:p w14:paraId="4C4A99C8" w14:textId="77777777" w:rsidR="00E579B9" w:rsidRDefault="00E579B9">
            <w:pPr>
              <w:pStyle w:val="aa"/>
            </w:pPr>
          </w:p>
        </w:tc>
        <w:tc>
          <w:tcPr>
            <w:tcW w:w="795" w:type="dxa"/>
            <w:vMerge/>
            <w:vAlign w:val="center"/>
          </w:tcPr>
          <w:p w14:paraId="64FA6FE3" w14:textId="77777777" w:rsidR="00E579B9" w:rsidRDefault="00E579B9">
            <w:pPr>
              <w:pStyle w:val="aa"/>
            </w:pPr>
          </w:p>
        </w:tc>
      </w:tr>
      <w:tr w:rsidR="00E579B9" w14:paraId="23E4F8E6" w14:textId="77777777">
        <w:trPr>
          <w:trHeight w:val="241"/>
          <w:jc w:val="center"/>
        </w:trPr>
        <w:tc>
          <w:tcPr>
            <w:tcW w:w="303" w:type="dxa"/>
            <w:vMerge/>
            <w:vAlign w:val="center"/>
          </w:tcPr>
          <w:p w14:paraId="6E67E657" w14:textId="77777777" w:rsidR="00E579B9" w:rsidRDefault="00E579B9">
            <w:pPr>
              <w:pStyle w:val="aa"/>
            </w:pPr>
          </w:p>
        </w:tc>
        <w:tc>
          <w:tcPr>
            <w:tcW w:w="374" w:type="dxa"/>
            <w:vMerge/>
            <w:vAlign w:val="center"/>
          </w:tcPr>
          <w:p w14:paraId="22FC8FDE" w14:textId="77777777" w:rsidR="00E579B9" w:rsidRDefault="00E579B9">
            <w:pPr>
              <w:pStyle w:val="aa"/>
            </w:pPr>
          </w:p>
        </w:tc>
        <w:tc>
          <w:tcPr>
            <w:tcW w:w="821" w:type="dxa"/>
            <w:vAlign w:val="center"/>
          </w:tcPr>
          <w:p w14:paraId="4E27FFA7" w14:textId="77777777" w:rsidR="00E579B9" w:rsidRDefault="006A1398">
            <w:pPr>
              <w:pStyle w:val="aa"/>
            </w:pPr>
            <w:r>
              <w:t>生活垃圾</w:t>
            </w:r>
          </w:p>
        </w:tc>
        <w:tc>
          <w:tcPr>
            <w:tcW w:w="4601" w:type="dxa"/>
            <w:vAlign w:val="center"/>
          </w:tcPr>
          <w:p w14:paraId="6F8798DC" w14:textId="77777777" w:rsidR="00E579B9" w:rsidRDefault="006A1398">
            <w:pPr>
              <w:pStyle w:val="aa"/>
            </w:pPr>
            <w:r>
              <w:t>设置垃圾箱，</w:t>
            </w:r>
            <w:r>
              <w:rPr>
                <w:rFonts w:hint="eastAsia"/>
              </w:rPr>
              <w:t>集中收集后</w:t>
            </w:r>
            <w:r>
              <w:t>运至垃圾中转站统一处理</w:t>
            </w:r>
          </w:p>
        </w:tc>
        <w:tc>
          <w:tcPr>
            <w:tcW w:w="2430" w:type="dxa"/>
            <w:vAlign w:val="center"/>
          </w:tcPr>
          <w:p w14:paraId="40001F0A" w14:textId="77777777" w:rsidR="00E579B9" w:rsidRDefault="006A1398">
            <w:pPr>
              <w:pStyle w:val="aa"/>
            </w:pPr>
            <w:r>
              <w:t>垃圾箱</w:t>
            </w:r>
          </w:p>
        </w:tc>
        <w:tc>
          <w:tcPr>
            <w:tcW w:w="2911" w:type="dxa"/>
            <w:vMerge/>
            <w:vAlign w:val="center"/>
          </w:tcPr>
          <w:p w14:paraId="5FB3AADB" w14:textId="77777777" w:rsidR="00E579B9" w:rsidRDefault="00E579B9">
            <w:pPr>
              <w:pStyle w:val="aa"/>
            </w:pPr>
          </w:p>
        </w:tc>
        <w:tc>
          <w:tcPr>
            <w:tcW w:w="927" w:type="dxa"/>
            <w:vAlign w:val="center"/>
          </w:tcPr>
          <w:p w14:paraId="0AAE86CD" w14:textId="77777777" w:rsidR="00E579B9" w:rsidRDefault="006A1398">
            <w:pPr>
              <w:pStyle w:val="aa"/>
            </w:pPr>
            <w:r>
              <w:t>3</w:t>
            </w:r>
          </w:p>
        </w:tc>
        <w:tc>
          <w:tcPr>
            <w:tcW w:w="795" w:type="dxa"/>
            <w:vMerge/>
            <w:vAlign w:val="center"/>
          </w:tcPr>
          <w:p w14:paraId="647627E2" w14:textId="77777777" w:rsidR="00E579B9" w:rsidRDefault="00E579B9">
            <w:pPr>
              <w:pStyle w:val="aa"/>
            </w:pPr>
          </w:p>
        </w:tc>
      </w:tr>
      <w:tr w:rsidR="00E579B9" w14:paraId="20DBF74D" w14:textId="77777777">
        <w:trPr>
          <w:trHeight w:val="241"/>
          <w:jc w:val="center"/>
        </w:trPr>
        <w:tc>
          <w:tcPr>
            <w:tcW w:w="303" w:type="dxa"/>
            <w:vMerge/>
            <w:vAlign w:val="center"/>
          </w:tcPr>
          <w:p w14:paraId="222D4355" w14:textId="77777777" w:rsidR="00E579B9" w:rsidRDefault="00E579B9">
            <w:pPr>
              <w:pStyle w:val="aa"/>
            </w:pPr>
          </w:p>
        </w:tc>
        <w:tc>
          <w:tcPr>
            <w:tcW w:w="374" w:type="dxa"/>
            <w:vMerge/>
            <w:tcBorders>
              <w:right w:val="single" w:sz="4" w:space="0" w:color="auto"/>
            </w:tcBorders>
            <w:vAlign w:val="center"/>
          </w:tcPr>
          <w:p w14:paraId="3D7CDB10" w14:textId="77777777" w:rsidR="00E579B9" w:rsidRDefault="00E579B9">
            <w:pPr>
              <w:pStyle w:val="aa"/>
            </w:pPr>
          </w:p>
        </w:tc>
        <w:tc>
          <w:tcPr>
            <w:tcW w:w="821" w:type="dxa"/>
            <w:tcBorders>
              <w:top w:val="single" w:sz="4" w:space="0" w:color="auto"/>
              <w:left w:val="single" w:sz="4" w:space="0" w:color="auto"/>
              <w:bottom w:val="single" w:sz="4" w:space="0" w:color="auto"/>
              <w:right w:val="single" w:sz="4" w:space="0" w:color="auto"/>
            </w:tcBorders>
            <w:vAlign w:val="center"/>
          </w:tcPr>
          <w:p w14:paraId="79ECBDB7" w14:textId="77777777" w:rsidR="00E579B9" w:rsidRDefault="006A1398">
            <w:pPr>
              <w:spacing w:line="360" w:lineRule="exact"/>
              <w:ind w:firstLineChars="0" w:firstLine="0"/>
              <w:jc w:val="center"/>
              <w:rPr>
                <w:rFonts w:cs="Times New Roman"/>
                <w:sz w:val="21"/>
                <w:szCs w:val="21"/>
              </w:rPr>
            </w:pPr>
            <w:r>
              <w:rPr>
                <w:sz w:val="21"/>
                <w:szCs w:val="21"/>
              </w:rPr>
              <w:t>袋式除尘器收集粉尘</w:t>
            </w:r>
          </w:p>
        </w:tc>
        <w:tc>
          <w:tcPr>
            <w:tcW w:w="4601" w:type="dxa"/>
            <w:tcBorders>
              <w:top w:val="single" w:sz="4" w:space="0" w:color="auto"/>
              <w:left w:val="single" w:sz="4" w:space="0" w:color="auto"/>
              <w:bottom w:val="single" w:sz="4" w:space="0" w:color="auto"/>
              <w:right w:val="single" w:sz="4" w:space="0" w:color="auto"/>
            </w:tcBorders>
            <w:vAlign w:val="center"/>
          </w:tcPr>
          <w:p w14:paraId="0A370B92" w14:textId="77777777" w:rsidR="00E579B9" w:rsidRDefault="006A1398">
            <w:pPr>
              <w:spacing w:line="360" w:lineRule="exact"/>
              <w:ind w:firstLineChars="0" w:firstLine="0"/>
              <w:jc w:val="center"/>
              <w:rPr>
                <w:sz w:val="21"/>
                <w:szCs w:val="21"/>
              </w:rPr>
            </w:pPr>
            <w:r>
              <w:rPr>
                <w:rFonts w:hint="eastAsia"/>
                <w:sz w:val="21"/>
                <w:szCs w:val="21"/>
              </w:rPr>
              <w:t>掺入石粉中作为产品外售</w:t>
            </w:r>
          </w:p>
        </w:tc>
        <w:tc>
          <w:tcPr>
            <w:tcW w:w="2430" w:type="dxa"/>
            <w:tcBorders>
              <w:top w:val="single" w:sz="4" w:space="0" w:color="auto"/>
              <w:left w:val="single" w:sz="4" w:space="0" w:color="auto"/>
              <w:bottom w:val="single" w:sz="4" w:space="0" w:color="auto"/>
              <w:right w:val="single" w:sz="4" w:space="0" w:color="auto"/>
            </w:tcBorders>
            <w:vAlign w:val="center"/>
          </w:tcPr>
          <w:p w14:paraId="7CC39DB4" w14:textId="77777777" w:rsidR="00E579B9" w:rsidRDefault="006A1398">
            <w:pPr>
              <w:spacing w:line="360" w:lineRule="exact"/>
              <w:ind w:firstLineChars="0" w:firstLine="0"/>
              <w:jc w:val="center"/>
              <w:rPr>
                <w:sz w:val="21"/>
                <w:szCs w:val="21"/>
              </w:rPr>
            </w:pPr>
            <w:r>
              <w:rPr>
                <w:sz w:val="21"/>
                <w:szCs w:val="21"/>
              </w:rPr>
              <w:t>掺入产品中外售</w:t>
            </w:r>
          </w:p>
        </w:tc>
        <w:tc>
          <w:tcPr>
            <w:tcW w:w="2911" w:type="dxa"/>
            <w:vMerge/>
            <w:tcBorders>
              <w:top w:val="single" w:sz="4" w:space="0" w:color="auto"/>
              <w:left w:val="single" w:sz="4" w:space="0" w:color="auto"/>
              <w:bottom w:val="single" w:sz="4" w:space="0" w:color="auto"/>
              <w:right w:val="single" w:sz="4" w:space="0" w:color="auto"/>
            </w:tcBorders>
            <w:vAlign w:val="center"/>
          </w:tcPr>
          <w:p w14:paraId="7785EF09" w14:textId="77777777" w:rsidR="00E579B9" w:rsidRDefault="00E579B9">
            <w:pPr>
              <w:pStyle w:val="aa"/>
            </w:pPr>
          </w:p>
        </w:tc>
        <w:tc>
          <w:tcPr>
            <w:tcW w:w="927" w:type="dxa"/>
            <w:tcBorders>
              <w:top w:val="single" w:sz="4" w:space="0" w:color="auto"/>
              <w:left w:val="single" w:sz="4" w:space="0" w:color="auto"/>
              <w:bottom w:val="single" w:sz="4" w:space="0" w:color="auto"/>
              <w:right w:val="single" w:sz="4" w:space="0" w:color="auto"/>
            </w:tcBorders>
            <w:vAlign w:val="center"/>
          </w:tcPr>
          <w:p w14:paraId="683014CB" w14:textId="77777777" w:rsidR="00E579B9" w:rsidRDefault="006A1398">
            <w:pPr>
              <w:pStyle w:val="aa"/>
            </w:pPr>
            <w:r>
              <w:rPr>
                <w:rFonts w:hint="eastAsia"/>
              </w:rPr>
              <w:t>/</w:t>
            </w:r>
          </w:p>
        </w:tc>
        <w:tc>
          <w:tcPr>
            <w:tcW w:w="795" w:type="dxa"/>
            <w:tcBorders>
              <w:top w:val="single" w:sz="4" w:space="0" w:color="auto"/>
              <w:left w:val="single" w:sz="4" w:space="0" w:color="auto"/>
              <w:bottom w:val="single" w:sz="4" w:space="0" w:color="auto"/>
            </w:tcBorders>
            <w:vAlign w:val="center"/>
          </w:tcPr>
          <w:p w14:paraId="179A9893" w14:textId="77777777" w:rsidR="00E579B9" w:rsidRDefault="00E579B9">
            <w:pPr>
              <w:pStyle w:val="aa"/>
            </w:pPr>
          </w:p>
        </w:tc>
      </w:tr>
      <w:tr w:rsidR="00E579B9" w14:paraId="79EE5212" w14:textId="77777777">
        <w:trPr>
          <w:trHeight w:val="340"/>
          <w:jc w:val="center"/>
        </w:trPr>
        <w:tc>
          <w:tcPr>
            <w:tcW w:w="303" w:type="dxa"/>
            <w:vMerge/>
            <w:vAlign w:val="center"/>
          </w:tcPr>
          <w:p w14:paraId="31AB0BC8" w14:textId="77777777" w:rsidR="00E579B9" w:rsidRDefault="00E579B9">
            <w:pPr>
              <w:pStyle w:val="aa"/>
            </w:pPr>
          </w:p>
        </w:tc>
        <w:tc>
          <w:tcPr>
            <w:tcW w:w="1195" w:type="dxa"/>
            <w:gridSpan w:val="2"/>
            <w:vAlign w:val="center"/>
          </w:tcPr>
          <w:p w14:paraId="09EFC416" w14:textId="77777777" w:rsidR="00E579B9" w:rsidRDefault="006A1398">
            <w:pPr>
              <w:pStyle w:val="aa"/>
            </w:pPr>
            <w:r>
              <w:t>生态环境</w:t>
            </w:r>
          </w:p>
        </w:tc>
        <w:tc>
          <w:tcPr>
            <w:tcW w:w="4601" w:type="dxa"/>
            <w:vAlign w:val="center"/>
          </w:tcPr>
          <w:p w14:paraId="4E423DF5" w14:textId="77777777" w:rsidR="00E579B9" w:rsidRDefault="006A1398">
            <w:pPr>
              <w:pStyle w:val="aa"/>
            </w:pPr>
            <w:r>
              <w:t>工程期满后，对采区、</w:t>
            </w:r>
            <w:r>
              <w:rPr>
                <w:rFonts w:hint="eastAsia"/>
              </w:rPr>
              <w:t>运输道路、工业</w:t>
            </w:r>
            <w:r>
              <w:t>场地、</w:t>
            </w:r>
            <w:r>
              <w:rPr>
                <w:rFonts w:hint="eastAsia"/>
              </w:rPr>
              <w:t>办公区、表土场等</w:t>
            </w:r>
            <w:r>
              <w:t>进行清理、覆土，进行生态恢复恢复。</w:t>
            </w:r>
          </w:p>
        </w:tc>
        <w:tc>
          <w:tcPr>
            <w:tcW w:w="2430" w:type="dxa"/>
            <w:vAlign w:val="center"/>
          </w:tcPr>
          <w:p w14:paraId="5E4FC229" w14:textId="77777777" w:rsidR="00E579B9" w:rsidRDefault="006A1398">
            <w:pPr>
              <w:pStyle w:val="aa"/>
            </w:pPr>
            <w:r>
              <w:t>覆土恢复为林草地和灌草地</w:t>
            </w:r>
          </w:p>
        </w:tc>
        <w:tc>
          <w:tcPr>
            <w:tcW w:w="2911" w:type="dxa"/>
            <w:vAlign w:val="center"/>
          </w:tcPr>
          <w:p w14:paraId="34D876C9" w14:textId="77777777" w:rsidR="00E579B9" w:rsidRDefault="006A1398">
            <w:pPr>
              <w:pStyle w:val="aa"/>
            </w:pPr>
            <w:r>
              <w:rPr>
                <w:lang w:val="zh-CN"/>
              </w:rPr>
              <w:t>生态恢复面积</w:t>
            </w:r>
            <w:r>
              <w:t>35.3167hm</w:t>
            </w:r>
            <w:r>
              <w:rPr>
                <w:vertAlign w:val="superscript"/>
              </w:rPr>
              <w:t>2</w:t>
            </w:r>
          </w:p>
        </w:tc>
        <w:tc>
          <w:tcPr>
            <w:tcW w:w="927" w:type="dxa"/>
            <w:vAlign w:val="center"/>
          </w:tcPr>
          <w:p w14:paraId="6F51D954" w14:textId="77777777" w:rsidR="00E579B9" w:rsidRDefault="006A1398">
            <w:pPr>
              <w:pStyle w:val="aa"/>
            </w:pPr>
            <w:r>
              <w:t>296</w:t>
            </w:r>
          </w:p>
        </w:tc>
        <w:tc>
          <w:tcPr>
            <w:tcW w:w="795" w:type="dxa"/>
            <w:vMerge w:val="restart"/>
            <w:vAlign w:val="center"/>
          </w:tcPr>
          <w:p w14:paraId="320B6354" w14:textId="77777777" w:rsidR="00E579B9" w:rsidRDefault="006A1398">
            <w:pPr>
              <w:pStyle w:val="aa"/>
            </w:pPr>
            <w:r>
              <w:t>闭矿后一年内</w:t>
            </w:r>
          </w:p>
        </w:tc>
      </w:tr>
      <w:tr w:rsidR="00E579B9" w14:paraId="62F8DF3A" w14:textId="77777777">
        <w:trPr>
          <w:trHeight w:val="137"/>
          <w:jc w:val="center"/>
        </w:trPr>
        <w:tc>
          <w:tcPr>
            <w:tcW w:w="303" w:type="dxa"/>
            <w:vMerge/>
            <w:vAlign w:val="center"/>
          </w:tcPr>
          <w:p w14:paraId="46CF8475" w14:textId="77777777" w:rsidR="00E579B9" w:rsidRDefault="00E579B9">
            <w:pPr>
              <w:pStyle w:val="aa"/>
            </w:pPr>
          </w:p>
        </w:tc>
        <w:tc>
          <w:tcPr>
            <w:tcW w:w="11137" w:type="dxa"/>
            <w:gridSpan w:val="5"/>
            <w:vAlign w:val="center"/>
          </w:tcPr>
          <w:p w14:paraId="22196987" w14:textId="77777777" w:rsidR="00E579B9" w:rsidRDefault="006A1398">
            <w:pPr>
              <w:pStyle w:val="aa"/>
              <w:rPr>
                <w:lang w:val="zh-CN"/>
              </w:rPr>
            </w:pPr>
            <w:r>
              <w:t>合计</w:t>
            </w:r>
          </w:p>
        </w:tc>
        <w:tc>
          <w:tcPr>
            <w:tcW w:w="927" w:type="dxa"/>
            <w:vAlign w:val="center"/>
          </w:tcPr>
          <w:p w14:paraId="43F21E89" w14:textId="77777777" w:rsidR="00E579B9" w:rsidRDefault="006A1398">
            <w:pPr>
              <w:pStyle w:val="aa"/>
            </w:pPr>
            <w:r>
              <w:t>509</w:t>
            </w:r>
          </w:p>
        </w:tc>
        <w:tc>
          <w:tcPr>
            <w:tcW w:w="795" w:type="dxa"/>
            <w:vMerge/>
            <w:vAlign w:val="center"/>
          </w:tcPr>
          <w:p w14:paraId="3A8A33FA" w14:textId="77777777" w:rsidR="00E579B9" w:rsidRDefault="00E579B9">
            <w:pPr>
              <w:pStyle w:val="aa"/>
            </w:pPr>
          </w:p>
        </w:tc>
      </w:tr>
    </w:tbl>
    <w:p w14:paraId="00989302" w14:textId="77777777" w:rsidR="00E579B9" w:rsidRDefault="006A1398">
      <w:pPr>
        <w:pStyle w:val="2"/>
        <w:ind w:firstLine="560"/>
      </w:pPr>
      <w:bookmarkStart w:id="452" w:name="_Toc33021820"/>
      <w:r>
        <w:t>7.5</w:t>
      </w:r>
      <w:r>
        <w:rPr>
          <w:rFonts w:hint="eastAsia"/>
        </w:rPr>
        <w:t>环保设施验收一览表</w:t>
      </w:r>
      <w:bookmarkEnd w:id="452"/>
    </w:p>
    <w:p w14:paraId="784C6C85" w14:textId="77777777" w:rsidR="00E579B9" w:rsidRDefault="00E579B9"/>
    <w:p w14:paraId="26EC1E62" w14:textId="77777777" w:rsidR="00E579B9" w:rsidRDefault="00E579B9"/>
    <w:p w14:paraId="4B56628D" w14:textId="77777777" w:rsidR="00E579B9" w:rsidRDefault="006A1398">
      <w:pPr>
        <w:pStyle w:val="21"/>
        <w:jc w:val="center"/>
      </w:pPr>
      <w:r>
        <w:rPr>
          <w:rFonts w:hint="eastAsia"/>
        </w:rPr>
        <w:lastRenderedPageBreak/>
        <w:t>表</w:t>
      </w:r>
      <w:r>
        <w:t>7.5-1</w:t>
      </w:r>
      <w:r>
        <w:rPr>
          <w:rFonts w:hint="eastAsia"/>
        </w:rPr>
        <w:t>本项目环保设施验收一览表</w:t>
      </w:r>
    </w:p>
    <w:tbl>
      <w:tblPr>
        <w:tblW w:w="13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4"/>
        <w:gridCol w:w="627"/>
        <w:gridCol w:w="1635"/>
        <w:gridCol w:w="5273"/>
        <w:gridCol w:w="2703"/>
        <w:gridCol w:w="2230"/>
      </w:tblGrid>
      <w:tr w:rsidR="00E579B9" w14:paraId="01939FB8" w14:textId="77777777">
        <w:trPr>
          <w:tblHeader/>
          <w:jc w:val="center"/>
        </w:trPr>
        <w:tc>
          <w:tcPr>
            <w:tcW w:w="694" w:type="dxa"/>
            <w:vAlign w:val="center"/>
          </w:tcPr>
          <w:p w14:paraId="4C0FA9F7" w14:textId="77777777" w:rsidR="00E579B9" w:rsidRDefault="006A1398">
            <w:pPr>
              <w:pStyle w:val="aa"/>
            </w:pPr>
            <w:r>
              <w:t>时段</w:t>
            </w:r>
          </w:p>
        </w:tc>
        <w:tc>
          <w:tcPr>
            <w:tcW w:w="2262" w:type="dxa"/>
            <w:gridSpan w:val="2"/>
            <w:vAlign w:val="center"/>
          </w:tcPr>
          <w:p w14:paraId="0FF85468" w14:textId="77777777" w:rsidR="00E579B9" w:rsidRDefault="006A1398">
            <w:pPr>
              <w:pStyle w:val="aa"/>
            </w:pPr>
            <w:r>
              <w:t>环境保护对象</w:t>
            </w:r>
          </w:p>
        </w:tc>
        <w:tc>
          <w:tcPr>
            <w:tcW w:w="5273" w:type="dxa"/>
            <w:vAlign w:val="center"/>
          </w:tcPr>
          <w:p w14:paraId="44CACDEE" w14:textId="77777777" w:rsidR="00E579B9" w:rsidRDefault="006A1398">
            <w:pPr>
              <w:pStyle w:val="aa"/>
            </w:pPr>
            <w:r>
              <w:t>治理或处置措施</w:t>
            </w:r>
          </w:p>
        </w:tc>
        <w:tc>
          <w:tcPr>
            <w:tcW w:w="2703" w:type="dxa"/>
            <w:vAlign w:val="center"/>
          </w:tcPr>
          <w:p w14:paraId="334B0D7C" w14:textId="77777777" w:rsidR="00E579B9" w:rsidRDefault="006A1398">
            <w:pPr>
              <w:pStyle w:val="aa"/>
            </w:pPr>
            <w:r>
              <w:t>验收内容</w:t>
            </w:r>
          </w:p>
        </w:tc>
        <w:tc>
          <w:tcPr>
            <w:tcW w:w="2230" w:type="dxa"/>
            <w:vAlign w:val="center"/>
          </w:tcPr>
          <w:p w14:paraId="615128B5" w14:textId="77777777" w:rsidR="00E579B9" w:rsidRDefault="006A1398">
            <w:pPr>
              <w:pStyle w:val="aa"/>
            </w:pPr>
            <w:r>
              <w:t>效果及标准</w:t>
            </w:r>
          </w:p>
        </w:tc>
      </w:tr>
      <w:tr w:rsidR="00E579B9" w14:paraId="3A731CDF" w14:textId="77777777">
        <w:trPr>
          <w:jc w:val="center"/>
        </w:trPr>
        <w:tc>
          <w:tcPr>
            <w:tcW w:w="694" w:type="dxa"/>
            <w:vMerge w:val="restart"/>
            <w:vAlign w:val="center"/>
          </w:tcPr>
          <w:p w14:paraId="176301E8" w14:textId="77777777" w:rsidR="00E579B9" w:rsidRDefault="006A1398">
            <w:pPr>
              <w:pStyle w:val="aa"/>
            </w:pPr>
            <w:r>
              <w:t>建设期</w:t>
            </w:r>
          </w:p>
        </w:tc>
        <w:tc>
          <w:tcPr>
            <w:tcW w:w="627" w:type="dxa"/>
            <w:vAlign w:val="center"/>
          </w:tcPr>
          <w:p w14:paraId="4C4CCD44" w14:textId="77777777" w:rsidR="00E579B9" w:rsidRDefault="006A1398">
            <w:pPr>
              <w:pStyle w:val="aa"/>
            </w:pPr>
            <w:r>
              <w:t>气</w:t>
            </w:r>
          </w:p>
        </w:tc>
        <w:tc>
          <w:tcPr>
            <w:tcW w:w="1635" w:type="dxa"/>
            <w:vAlign w:val="center"/>
          </w:tcPr>
          <w:p w14:paraId="396B8095" w14:textId="77777777" w:rsidR="00E579B9" w:rsidRDefault="006A1398">
            <w:pPr>
              <w:pStyle w:val="aa"/>
            </w:pPr>
            <w:r>
              <w:t>施工扬尘、车辆运输扬尘</w:t>
            </w:r>
          </w:p>
        </w:tc>
        <w:tc>
          <w:tcPr>
            <w:tcW w:w="5273" w:type="dxa"/>
            <w:vAlign w:val="center"/>
          </w:tcPr>
          <w:p w14:paraId="6C30B23D" w14:textId="77777777" w:rsidR="00E579B9" w:rsidRDefault="006A1398">
            <w:pPr>
              <w:pStyle w:val="aa"/>
              <w:numPr>
                <w:ilvl w:val="0"/>
                <w:numId w:val="12"/>
              </w:numPr>
            </w:pPr>
            <w:r>
              <w:rPr>
                <w:bCs/>
              </w:rPr>
              <w:t>必须做到</w:t>
            </w:r>
            <w:r>
              <w:rPr>
                <w:bCs/>
              </w:rPr>
              <w:t>“</w:t>
            </w:r>
            <w:r>
              <w:rPr>
                <w:bCs/>
              </w:rPr>
              <w:t>八个百分百</w:t>
            </w:r>
            <w:r>
              <w:rPr>
                <w:bCs/>
              </w:rPr>
              <w:t>”</w:t>
            </w:r>
            <w:r>
              <w:rPr>
                <w:bCs/>
              </w:rPr>
              <w:t>；</w:t>
            </w:r>
            <w:r>
              <w:rPr>
                <w:rFonts w:hint="eastAsia"/>
                <w:bCs/>
              </w:rPr>
              <w:t>②</w:t>
            </w:r>
            <w:r>
              <w:t>尽量缩短施工期，缩小施工影响范围，及时恢复场地植被，干燥、大风天气施工必须采取洒水抑尘措施；</w:t>
            </w:r>
            <w:r>
              <w:rPr>
                <w:rFonts w:hint="eastAsia"/>
              </w:rPr>
              <w:t>③</w:t>
            </w:r>
            <w:r>
              <w:t>在露采区施工场地四周设不低于</w:t>
            </w:r>
            <w:r>
              <w:t>2.5m</w:t>
            </w:r>
            <w:r>
              <w:t>高的围挡；</w:t>
            </w:r>
            <w:r>
              <w:rPr>
                <w:rFonts w:hint="eastAsia"/>
              </w:rPr>
              <w:t>④</w:t>
            </w:r>
            <w:r>
              <w:t>运输物料的车辆应限速，不得超载，并对运输道路进行定期清扫、洒水，文明装缷物料</w:t>
            </w:r>
          </w:p>
        </w:tc>
        <w:tc>
          <w:tcPr>
            <w:tcW w:w="2703" w:type="dxa"/>
            <w:vAlign w:val="center"/>
          </w:tcPr>
          <w:p w14:paraId="2332AD65" w14:textId="77777777" w:rsidR="00E579B9" w:rsidRDefault="006A1398">
            <w:pPr>
              <w:pStyle w:val="aa"/>
            </w:pPr>
            <w:r>
              <w:t>施工场地四周设围挡，配洒水泵</w:t>
            </w:r>
            <w:r>
              <w:t>1</w:t>
            </w:r>
            <w:r>
              <w:t>台、洒水车</w:t>
            </w:r>
            <w:r>
              <w:t>1</w:t>
            </w:r>
            <w:r>
              <w:t>辆</w:t>
            </w:r>
          </w:p>
        </w:tc>
        <w:tc>
          <w:tcPr>
            <w:tcW w:w="2230" w:type="dxa"/>
            <w:vAlign w:val="center"/>
          </w:tcPr>
          <w:p w14:paraId="6A32D06F" w14:textId="77777777" w:rsidR="00E579B9" w:rsidRDefault="006A1398">
            <w:pPr>
              <w:pStyle w:val="aa"/>
            </w:pPr>
            <w:r>
              <w:t>有效抑制扬尘的产生</w:t>
            </w:r>
          </w:p>
        </w:tc>
      </w:tr>
      <w:tr w:rsidR="00E579B9" w14:paraId="57CBA4A6" w14:textId="77777777">
        <w:trPr>
          <w:jc w:val="center"/>
        </w:trPr>
        <w:tc>
          <w:tcPr>
            <w:tcW w:w="694" w:type="dxa"/>
            <w:vMerge/>
            <w:vAlign w:val="center"/>
          </w:tcPr>
          <w:p w14:paraId="6D277C16" w14:textId="77777777" w:rsidR="00E579B9" w:rsidRDefault="00E579B9">
            <w:pPr>
              <w:pStyle w:val="aa"/>
            </w:pPr>
          </w:p>
        </w:tc>
        <w:tc>
          <w:tcPr>
            <w:tcW w:w="627" w:type="dxa"/>
            <w:vAlign w:val="center"/>
          </w:tcPr>
          <w:p w14:paraId="1ED05978" w14:textId="77777777" w:rsidR="00E579B9" w:rsidRDefault="006A1398">
            <w:pPr>
              <w:pStyle w:val="aa"/>
            </w:pPr>
            <w:r>
              <w:t>水</w:t>
            </w:r>
          </w:p>
        </w:tc>
        <w:tc>
          <w:tcPr>
            <w:tcW w:w="1635" w:type="dxa"/>
            <w:vAlign w:val="center"/>
          </w:tcPr>
          <w:p w14:paraId="3A0525A3" w14:textId="77777777" w:rsidR="00E579B9" w:rsidRDefault="006A1398">
            <w:pPr>
              <w:pStyle w:val="aa"/>
            </w:pPr>
            <w:r>
              <w:t>施工人员生活污水</w:t>
            </w:r>
            <w:r>
              <w:rPr>
                <w:rFonts w:hint="eastAsia"/>
              </w:rPr>
              <w:t>、</w:t>
            </w:r>
            <w:r>
              <w:t>车辆冲洗废水</w:t>
            </w:r>
          </w:p>
        </w:tc>
        <w:tc>
          <w:tcPr>
            <w:tcW w:w="5273" w:type="dxa"/>
            <w:vAlign w:val="center"/>
          </w:tcPr>
          <w:p w14:paraId="7281BE45" w14:textId="77777777" w:rsidR="00E579B9" w:rsidRDefault="006A1398">
            <w:pPr>
              <w:pStyle w:val="aa"/>
              <w:rPr>
                <w:rFonts w:ascii="Calibri" w:hAnsi="Calibri"/>
                <w:sz w:val="22"/>
              </w:rPr>
            </w:pPr>
            <w:r>
              <w:rPr>
                <w:rFonts w:hint="eastAsia"/>
              </w:rPr>
              <w:t>建设期人员少，施工周期短，生活</w:t>
            </w:r>
            <w:r>
              <w:t>污水</w:t>
            </w:r>
            <w:r>
              <w:rPr>
                <w:rFonts w:hint="eastAsia"/>
              </w:rPr>
              <w:t>收集后用于场地洒水，旱厕收集的粪污水由周边村民拉走肥田；车辆</w:t>
            </w:r>
            <w:r>
              <w:t>冲洗废水</w:t>
            </w:r>
            <w:r>
              <w:rPr>
                <w:rFonts w:hint="eastAsia"/>
              </w:rPr>
              <w:t>沉淀后用于场地洒水</w:t>
            </w:r>
          </w:p>
        </w:tc>
        <w:tc>
          <w:tcPr>
            <w:tcW w:w="2703" w:type="dxa"/>
            <w:vAlign w:val="center"/>
          </w:tcPr>
          <w:p w14:paraId="766D5805" w14:textId="77777777" w:rsidR="00E579B9" w:rsidRDefault="006A1398">
            <w:pPr>
              <w:pStyle w:val="51"/>
            </w:pPr>
            <w:r>
              <w:rPr>
                <w:rFonts w:hint="eastAsia"/>
              </w:rPr>
              <w:t>旱厕、</w:t>
            </w:r>
            <w:r>
              <w:rPr>
                <w:rFonts w:ascii="Times New Roman" w:hAnsi="Times New Roman" w:cs="Times New Roman"/>
              </w:rPr>
              <w:t>5m</w:t>
            </w:r>
            <w:r>
              <w:rPr>
                <w:rFonts w:ascii="Times New Roman" w:hAnsi="Times New Roman" w:cs="Times New Roman"/>
                <w:position w:val="7"/>
                <w:sz w:val="13"/>
                <w:szCs w:val="13"/>
              </w:rPr>
              <w:t>3</w:t>
            </w:r>
            <w:r>
              <w:rPr>
                <w:rFonts w:ascii="宋体" w:hAnsi="宋体" w:hint="eastAsia"/>
              </w:rPr>
              <w:t>沉淀池</w:t>
            </w:r>
          </w:p>
        </w:tc>
        <w:tc>
          <w:tcPr>
            <w:tcW w:w="2230" w:type="dxa"/>
            <w:vAlign w:val="center"/>
          </w:tcPr>
          <w:p w14:paraId="5BD6BADD" w14:textId="77777777" w:rsidR="00E579B9" w:rsidRDefault="006A1398">
            <w:pPr>
              <w:pStyle w:val="aa"/>
            </w:pPr>
            <w:r>
              <w:rPr>
                <w:rFonts w:hint="eastAsia"/>
              </w:rPr>
              <w:t>合理处置</w:t>
            </w:r>
            <w:r>
              <w:t>，不外排</w:t>
            </w:r>
          </w:p>
        </w:tc>
      </w:tr>
      <w:tr w:rsidR="00E579B9" w14:paraId="4735EAB3" w14:textId="77777777">
        <w:trPr>
          <w:jc w:val="center"/>
        </w:trPr>
        <w:tc>
          <w:tcPr>
            <w:tcW w:w="694" w:type="dxa"/>
            <w:vMerge/>
            <w:vAlign w:val="center"/>
          </w:tcPr>
          <w:p w14:paraId="3A785184" w14:textId="77777777" w:rsidR="00E579B9" w:rsidRDefault="00E579B9">
            <w:pPr>
              <w:pStyle w:val="aa"/>
            </w:pPr>
          </w:p>
        </w:tc>
        <w:tc>
          <w:tcPr>
            <w:tcW w:w="627" w:type="dxa"/>
            <w:vAlign w:val="center"/>
          </w:tcPr>
          <w:p w14:paraId="34DC0D4B" w14:textId="77777777" w:rsidR="00E579B9" w:rsidRDefault="006A1398">
            <w:pPr>
              <w:pStyle w:val="aa"/>
            </w:pPr>
            <w:r>
              <w:t>噪声</w:t>
            </w:r>
          </w:p>
        </w:tc>
        <w:tc>
          <w:tcPr>
            <w:tcW w:w="1635" w:type="dxa"/>
            <w:vAlign w:val="center"/>
          </w:tcPr>
          <w:p w14:paraId="78F6D600" w14:textId="77777777" w:rsidR="00E579B9" w:rsidRDefault="006A1398">
            <w:pPr>
              <w:pStyle w:val="aa"/>
            </w:pPr>
            <w:r>
              <w:t>施工机械噪声</w:t>
            </w:r>
          </w:p>
        </w:tc>
        <w:tc>
          <w:tcPr>
            <w:tcW w:w="5273" w:type="dxa"/>
            <w:vAlign w:val="center"/>
          </w:tcPr>
          <w:p w14:paraId="307CC373" w14:textId="77777777" w:rsidR="00E579B9" w:rsidRDefault="006A1398">
            <w:pPr>
              <w:pStyle w:val="aa"/>
            </w:pPr>
            <w:r>
              <w:t>选用低噪声设备、及时检修、保养施工设备；白天施工并合理安排时间，禁止夜间施工</w:t>
            </w:r>
          </w:p>
        </w:tc>
        <w:tc>
          <w:tcPr>
            <w:tcW w:w="2703" w:type="dxa"/>
            <w:vAlign w:val="center"/>
          </w:tcPr>
          <w:p w14:paraId="3D62D996" w14:textId="77777777" w:rsidR="00E579B9" w:rsidRDefault="006A1398">
            <w:pPr>
              <w:pStyle w:val="aa"/>
            </w:pPr>
            <w:r>
              <w:t>噪声防护设施、夜间禁止施工</w:t>
            </w:r>
          </w:p>
        </w:tc>
        <w:tc>
          <w:tcPr>
            <w:tcW w:w="2230" w:type="dxa"/>
            <w:vAlign w:val="center"/>
          </w:tcPr>
          <w:p w14:paraId="14421BEC" w14:textId="77777777" w:rsidR="00E579B9" w:rsidRDefault="006A1398">
            <w:pPr>
              <w:pStyle w:val="aa"/>
            </w:pPr>
            <w:r>
              <w:t>达到《建筑施工场界环境噪声排放标准》（</w:t>
            </w:r>
            <w:r>
              <w:t>GB12523-2011</w:t>
            </w:r>
            <w:r>
              <w:t>）</w:t>
            </w:r>
          </w:p>
        </w:tc>
      </w:tr>
      <w:tr w:rsidR="00E579B9" w14:paraId="25BFA497" w14:textId="77777777">
        <w:trPr>
          <w:trHeight w:val="86"/>
          <w:jc w:val="center"/>
        </w:trPr>
        <w:tc>
          <w:tcPr>
            <w:tcW w:w="694" w:type="dxa"/>
            <w:vMerge/>
            <w:tcBorders>
              <w:bottom w:val="single" w:sz="4" w:space="0" w:color="auto"/>
            </w:tcBorders>
            <w:vAlign w:val="center"/>
          </w:tcPr>
          <w:p w14:paraId="7A79B72E" w14:textId="77777777" w:rsidR="00E579B9" w:rsidRDefault="00E579B9">
            <w:pPr>
              <w:pStyle w:val="aa"/>
            </w:pPr>
          </w:p>
        </w:tc>
        <w:tc>
          <w:tcPr>
            <w:tcW w:w="627" w:type="dxa"/>
            <w:vMerge w:val="restart"/>
            <w:tcBorders>
              <w:bottom w:val="single" w:sz="4" w:space="0" w:color="auto"/>
            </w:tcBorders>
            <w:vAlign w:val="center"/>
          </w:tcPr>
          <w:p w14:paraId="2A755DF7" w14:textId="77777777" w:rsidR="00E579B9" w:rsidRDefault="006A1398">
            <w:pPr>
              <w:pStyle w:val="aa"/>
            </w:pPr>
            <w:r>
              <w:t>固废</w:t>
            </w:r>
          </w:p>
        </w:tc>
        <w:tc>
          <w:tcPr>
            <w:tcW w:w="1635" w:type="dxa"/>
            <w:tcBorders>
              <w:bottom w:val="single" w:sz="4" w:space="0" w:color="auto"/>
            </w:tcBorders>
            <w:vAlign w:val="center"/>
          </w:tcPr>
          <w:p w14:paraId="73A2A91D" w14:textId="77777777" w:rsidR="00E579B9" w:rsidRDefault="006A1398">
            <w:pPr>
              <w:pStyle w:val="aa"/>
            </w:pPr>
            <w:r>
              <w:rPr>
                <w:rFonts w:hint="eastAsia"/>
              </w:rPr>
              <w:t>生活垃圾</w:t>
            </w:r>
          </w:p>
        </w:tc>
        <w:tc>
          <w:tcPr>
            <w:tcW w:w="5273" w:type="dxa"/>
            <w:tcBorders>
              <w:bottom w:val="single" w:sz="4" w:space="0" w:color="auto"/>
            </w:tcBorders>
            <w:vAlign w:val="center"/>
          </w:tcPr>
          <w:p w14:paraId="423EBC50" w14:textId="77777777" w:rsidR="00E579B9" w:rsidRDefault="006A1398">
            <w:pPr>
              <w:pStyle w:val="aa"/>
            </w:pPr>
            <w:r>
              <w:rPr>
                <w:rFonts w:hint="eastAsia"/>
              </w:rPr>
              <w:t>设置垃圾桶，收集后运至垃圾中转站统一处理</w:t>
            </w:r>
          </w:p>
        </w:tc>
        <w:tc>
          <w:tcPr>
            <w:tcW w:w="2703" w:type="dxa"/>
            <w:tcBorders>
              <w:bottom w:val="single" w:sz="4" w:space="0" w:color="auto"/>
            </w:tcBorders>
            <w:vAlign w:val="center"/>
          </w:tcPr>
          <w:p w14:paraId="7BCB2FC9" w14:textId="77777777" w:rsidR="00E579B9" w:rsidRDefault="006A1398">
            <w:pPr>
              <w:pStyle w:val="aa"/>
            </w:pPr>
            <w:r>
              <w:rPr>
                <w:rFonts w:hint="eastAsia"/>
              </w:rPr>
              <w:t>垃圾桶</w:t>
            </w:r>
          </w:p>
        </w:tc>
        <w:tc>
          <w:tcPr>
            <w:tcW w:w="2230" w:type="dxa"/>
            <w:vMerge w:val="restart"/>
            <w:tcBorders>
              <w:bottom w:val="single" w:sz="4" w:space="0" w:color="auto"/>
            </w:tcBorders>
            <w:vAlign w:val="center"/>
          </w:tcPr>
          <w:p w14:paraId="3CF53359" w14:textId="77777777" w:rsidR="00E579B9" w:rsidRDefault="006A1398">
            <w:pPr>
              <w:pStyle w:val="aa"/>
            </w:pPr>
            <w:r>
              <w:t>安全、合理处置</w:t>
            </w:r>
          </w:p>
        </w:tc>
      </w:tr>
      <w:tr w:rsidR="00E579B9" w14:paraId="07014317" w14:textId="77777777">
        <w:trPr>
          <w:jc w:val="center"/>
        </w:trPr>
        <w:tc>
          <w:tcPr>
            <w:tcW w:w="694" w:type="dxa"/>
            <w:vMerge/>
            <w:vAlign w:val="center"/>
          </w:tcPr>
          <w:p w14:paraId="441A04BB" w14:textId="77777777" w:rsidR="00E579B9" w:rsidRDefault="00E579B9">
            <w:pPr>
              <w:pStyle w:val="aa"/>
            </w:pPr>
          </w:p>
        </w:tc>
        <w:tc>
          <w:tcPr>
            <w:tcW w:w="627" w:type="dxa"/>
            <w:vMerge/>
            <w:vAlign w:val="center"/>
          </w:tcPr>
          <w:p w14:paraId="3534458A" w14:textId="77777777" w:rsidR="00E579B9" w:rsidRDefault="00E579B9">
            <w:pPr>
              <w:pStyle w:val="aa"/>
            </w:pPr>
          </w:p>
        </w:tc>
        <w:tc>
          <w:tcPr>
            <w:tcW w:w="1635" w:type="dxa"/>
            <w:vAlign w:val="center"/>
          </w:tcPr>
          <w:p w14:paraId="315C7D2D" w14:textId="77777777" w:rsidR="00E579B9" w:rsidRDefault="006A1398">
            <w:pPr>
              <w:pStyle w:val="aa"/>
            </w:pPr>
            <w:r>
              <w:t>剥离表土、废石</w:t>
            </w:r>
          </w:p>
        </w:tc>
        <w:tc>
          <w:tcPr>
            <w:tcW w:w="5273" w:type="dxa"/>
            <w:vAlign w:val="center"/>
          </w:tcPr>
          <w:p w14:paraId="443AEA1C" w14:textId="77777777" w:rsidR="00E579B9" w:rsidRDefault="006A1398">
            <w:pPr>
              <w:pStyle w:val="aa"/>
              <w:rPr>
                <w:rFonts w:cs="Times New Roman"/>
              </w:rPr>
            </w:pPr>
            <w:r>
              <w:t>表土堆存于</w:t>
            </w:r>
            <w:r>
              <w:rPr>
                <w:rFonts w:hint="eastAsia"/>
              </w:rPr>
              <w:t>表土场</w:t>
            </w:r>
            <w:r>
              <w:t>，废石</w:t>
            </w:r>
            <w:r>
              <w:rPr>
                <w:rFonts w:hint="eastAsia"/>
              </w:rPr>
              <w:t>一</w:t>
            </w:r>
            <w:r>
              <w:t>部分用于</w:t>
            </w:r>
            <w:r>
              <w:rPr>
                <w:rFonts w:hint="eastAsia"/>
              </w:rPr>
              <w:t>外售给当地砖厂，</w:t>
            </w:r>
            <w:r>
              <w:t>剩余部分</w:t>
            </w:r>
            <w:r>
              <w:rPr>
                <w:rFonts w:hint="eastAsia"/>
              </w:rPr>
              <w:t>暂存于表土场用于后期采坑回填</w:t>
            </w:r>
          </w:p>
        </w:tc>
        <w:tc>
          <w:tcPr>
            <w:tcW w:w="2703" w:type="dxa"/>
            <w:vAlign w:val="center"/>
          </w:tcPr>
          <w:p w14:paraId="233407F2" w14:textId="77777777" w:rsidR="00E579B9" w:rsidRDefault="006A1398">
            <w:pPr>
              <w:pStyle w:val="aa"/>
            </w:pPr>
            <w:r>
              <w:rPr>
                <w:rFonts w:hint="eastAsia"/>
              </w:rPr>
              <w:t>堆场两侧修建排水沟，上游修建截水沟，下游设挡土墙，边坡播撒草籽绿化</w:t>
            </w:r>
          </w:p>
        </w:tc>
        <w:tc>
          <w:tcPr>
            <w:tcW w:w="2230" w:type="dxa"/>
            <w:vMerge/>
            <w:vAlign w:val="center"/>
          </w:tcPr>
          <w:p w14:paraId="1E21853D" w14:textId="77777777" w:rsidR="00E579B9" w:rsidRDefault="00E579B9">
            <w:pPr>
              <w:pStyle w:val="aa"/>
            </w:pPr>
          </w:p>
        </w:tc>
      </w:tr>
      <w:tr w:rsidR="00E579B9" w14:paraId="35B041A2" w14:textId="77777777">
        <w:trPr>
          <w:jc w:val="center"/>
        </w:trPr>
        <w:tc>
          <w:tcPr>
            <w:tcW w:w="694" w:type="dxa"/>
            <w:vMerge/>
            <w:vAlign w:val="center"/>
          </w:tcPr>
          <w:p w14:paraId="5677793C" w14:textId="77777777" w:rsidR="00E579B9" w:rsidRDefault="00E579B9">
            <w:pPr>
              <w:pStyle w:val="aa"/>
            </w:pPr>
          </w:p>
        </w:tc>
        <w:tc>
          <w:tcPr>
            <w:tcW w:w="627" w:type="dxa"/>
            <w:vMerge w:val="restart"/>
            <w:vAlign w:val="center"/>
          </w:tcPr>
          <w:p w14:paraId="4072CF42" w14:textId="77777777" w:rsidR="00E579B9" w:rsidRDefault="006A1398">
            <w:pPr>
              <w:pStyle w:val="aa"/>
            </w:pPr>
            <w:r>
              <w:t>生态</w:t>
            </w:r>
          </w:p>
        </w:tc>
        <w:tc>
          <w:tcPr>
            <w:tcW w:w="1635" w:type="dxa"/>
            <w:vAlign w:val="center"/>
          </w:tcPr>
          <w:p w14:paraId="0F85F65D" w14:textId="77777777" w:rsidR="00E579B9" w:rsidRDefault="006A1398">
            <w:pPr>
              <w:pStyle w:val="aa"/>
            </w:pPr>
            <w:r>
              <w:t>运输道路</w:t>
            </w:r>
          </w:p>
        </w:tc>
        <w:tc>
          <w:tcPr>
            <w:tcW w:w="5273" w:type="dxa"/>
            <w:vAlign w:val="center"/>
          </w:tcPr>
          <w:p w14:paraId="21490A08" w14:textId="77777777" w:rsidR="00E579B9" w:rsidRDefault="006A1398">
            <w:pPr>
              <w:pStyle w:val="aa"/>
            </w:pPr>
            <w:r>
              <w:t>矿区道路运输道路一侧修截排水沟、绿化</w:t>
            </w:r>
          </w:p>
        </w:tc>
        <w:tc>
          <w:tcPr>
            <w:tcW w:w="2703" w:type="dxa"/>
            <w:vAlign w:val="center"/>
          </w:tcPr>
          <w:p w14:paraId="0A1289E2" w14:textId="77777777" w:rsidR="00E579B9" w:rsidRDefault="006A1398">
            <w:pPr>
              <w:pStyle w:val="aa"/>
              <w:rPr>
                <w:rFonts w:cs="Times New Roman"/>
              </w:rPr>
            </w:pPr>
            <w:r>
              <w:t>边坡防护、排水沟、绿化</w:t>
            </w:r>
          </w:p>
        </w:tc>
        <w:tc>
          <w:tcPr>
            <w:tcW w:w="2230" w:type="dxa"/>
            <w:vMerge w:val="restart"/>
            <w:vAlign w:val="center"/>
          </w:tcPr>
          <w:p w14:paraId="044066B1" w14:textId="77777777" w:rsidR="00E579B9" w:rsidRDefault="006A1398">
            <w:pPr>
              <w:pStyle w:val="aa"/>
            </w:pPr>
            <w:r>
              <w:t>最大限度地减少对生态的影响</w:t>
            </w:r>
          </w:p>
        </w:tc>
      </w:tr>
      <w:tr w:rsidR="00E579B9" w14:paraId="5F071609" w14:textId="77777777">
        <w:trPr>
          <w:jc w:val="center"/>
        </w:trPr>
        <w:tc>
          <w:tcPr>
            <w:tcW w:w="694" w:type="dxa"/>
            <w:vMerge/>
            <w:vAlign w:val="center"/>
          </w:tcPr>
          <w:p w14:paraId="45D2B992" w14:textId="77777777" w:rsidR="00E579B9" w:rsidRDefault="00E579B9">
            <w:pPr>
              <w:pStyle w:val="aa"/>
            </w:pPr>
          </w:p>
        </w:tc>
        <w:tc>
          <w:tcPr>
            <w:tcW w:w="627" w:type="dxa"/>
            <w:vMerge/>
            <w:vAlign w:val="center"/>
          </w:tcPr>
          <w:p w14:paraId="4025E816" w14:textId="77777777" w:rsidR="00E579B9" w:rsidRDefault="00E579B9">
            <w:pPr>
              <w:pStyle w:val="aa"/>
            </w:pPr>
          </w:p>
        </w:tc>
        <w:tc>
          <w:tcPr>
            <w:tcW w:w="1635" w:type="dxa"/>
            <w:vAlign w:val="center"/>
          </w:tcPr>
          <w:p w14:paraId="094569DD" w14:textId="77777777" w:rsidR="00E579B9" w:rsidRDefault="006A1398">
            <w:pPr>
              <w:pStyle w:val="aa"/>
            </w:pPr>
            <w:r>
              <w:t>施工区</w:t>
            </w:r>
          </w:p>
        </w:tc>
        <w:tc>
          <w:tcPr>
            <w:tcW w:w="5273" w:type="dxa"/>
            <w:vAlign w:val="center"/>
          </w:tcPr>
          <w:p w14:paraId="46FAFCE8" w14:textId="77777777" w:rsidR="00E579B9" w:rsidRDefault="006A1398">
            <w:pPr>
              <w:pStyle w:val="aa"/>
            </w:pPr>
            <w:r>
              <w:t>施工中应加强施工管理，将临时占地面积控制在最低限度；及时绿化</w:t>
            </w:r>
          </w:p>
        </w:tc>
        <w:tc>
          <w:tcPr>
            <w:tcW w:w="2703" w:type="dxa"/>
            <w:vAlign w:val="center"/>
          </w:tcPr>
          <w:p w14:paraId="25C51DE9" w14:textId="77777777" w:rsidR="00E579B9" w:rsidRDefault="006A1398">
            <w:pPr>
              <w:pStyle w:val="aa"/>
            </w:pPr>
            <w:r>
              <w:t>严格控制临时占地面积，及时绿化</w:t>
            </w:r>
          </w:p>
        </w:tc>
        <w:tc>
          <w:tcPr>
            <w:tcW w:w="2230" w:type="dxa"/>
            <w:vMerge/>
            <w:vAlign w:val="center"/>
          </w:tcPr>
          <w:p w14:paraId="16192E04" w14:textId="77777777" w:rsidR="00E579B9" w:rsidRDefault="00E579B9">
            <w:pPr>
              <w:pStyle w:val="aa"/>
            </w:pPr>
          </w:p>
        </w:tc>
      </w:tr>
      <w:tr w:rsidR="00E579B9" w14:paraId="372EFF65" w14:textId="77777777">
        <w:trPr>
          <w:jc w:val="center"/>
        </w:trPr>
        <w:tc>
          <w:tcPr>
            <w:tcW w:w="694" w:type="dxa"/>
            <w:vMerge w:val="restart"/>
            <w:vAlign w:val="center"/>
          </w:tcPr>
          <w:p w14:paraId="2DE53528" w14:textId="77777777" w:rsidR="00E579B9" w:rsidRDefault="00E579B9">
            <w:pPr>
              <w:pStyle w:val="aa"/>
            </w:pPr>
          </w:p>
          <w:p w14:paraId="4D3509DC" w14:textId="77777777" w:rsidR="00E579B9" w:rsidRDefault="00E579B9">
            <w:pPr>
              <w:pStyle w:val="aa"/>
            </w:pPr>
          </w:p>
          <w:p w14:paraId="06C81DF5" w14:textId="77777777" w:rsidR="00E579B9" w:rsidRDefault="00E579B9">
            <w:pPr>
              <w:pStyle w:val="aa"/>
            </w:pPr>
          </w:p>
          <w:p w14:paraId="4631FC19" w14:textId="77777777" w:rsidR="00E579B9" w:rsidRDefault="006A1398">
            <w:pPr>
              <w:pStyle w:val="aa"/>
            </w:pPr>
            <w:r>
              <w:t>营运期</w:t>
            </w:r>
          </w:p>
          <w:p w14:paraId="06A1187D" w14:textId="77777777" w:rsidR="00E579B9" w:rsidRDefault="00E579B9">
            <w:pPr>
              <w:pStyle w:val="aa"/>
            </w:pPr>
          </w:p>
          <w:p w14:paraId="6D3518DF" w14:textId="77777777" w:rsidR="00E579B9" w:rsidRDefault="00E579B9">
            <w:pPr>
              <w:pStyle w:val="aa"/>
            </w:pPr>
          </w:p>
          <w:p w14:paraId="29081C53" w14:textId="77777777" w:rsidR="00E579B9" w:rsidRDefault="00E579B9">
            <w:pPr>
              <w:pStyle w:val="aa"/>
            </w:pPr>
          </w:p>
          <w:p w14:paraId="373352A0" w14:textId="77777777" w:rsidR="00E579B9" w:rsidRDefault="00E579B9">
            <w:pPr>
              <w:pStyle w:val="aa"/>
            </w:pPr>
          </w:p>
          <w:p w14:paraId="46F59FFD" w14:textId="77777777" w:rsidR="00E579B9" w:rsidRDefault="00E579B9">
            <w:pPr>
              <w:pStyle w:val="aa"/>
            </w:pPr>
          </w:p>
          <w:p w14:paraId="58077AE9" w14:textId="77777777" w:rsidR="00E579B9" w:rsidRDefault="00E579B9">
            <w:pPr>
              <w:pStyle w:val="aa"/>
            </w:pPr>
          </w:p>
          <w:p w14:paraId="320319DB" w14:textId="77777777" w:rsidR="00E579B9" w:rsidRDefault="00E579B9">
            <w:pPr>
              <w:pStyle w:val="aa"/>
            </w:pPr>
          </w:p>
          <w:p w14:paraId="3C03BEE6" w14:textId="77777777" w:rsidR="00E579B9" w:rsidRDefault="00E579B9">
            <w:pPr>
              <w:pStyle w:val="aa"/>
            </w:pPr>
          </w:p>
        </w:tc>
        <w:tc>
          <w:tcPr>
            <w:tcW w:w="627" w:type="dxa"/>
            <w:vMerge w:val="restart"/>
            <w:vAlign w:val="center"/>
          </w:tcPr>
          <w:p w14:paraId="76BF5D4F" w14:textId="77777777" w:rsidR="00E579B9" w:rsidRDefault="006A1398">
            <w:pPr>
              <w:pStyle w:val="aa"/>
            </w:pPr>
            <w:r>
              <w:t>废气</w:t>
            </w:r>
          </w:p>
        </w:tc>
        <w:tc>
          <w:tcPr>
            <w:tcW w:w="1635" w:type="dxa"/>
            <w:tcBorders>
              <w:bottom w:val="single" w:sz="4" w:space="0" w:color="auto"/>
            </w:tcBorders>
            <w:vAlign w:val="center"/>
          </w:tcPr>
          <w:p w14:paraId="266BA526" w14:textId="77777777" w:rsidR="00E579B9" w:rsidRDefault="006A1398">
            <w:pPr>
              <w:pStyle w:val="aa"/>
            </w:pPr>
            <w:r>
              <w:t>采场粉尘</w:t>
            </w:r>
          </w:p>
        </w:tc>
        <w:tc>
          <w:tcPr>
            <w:tcW w:w="5273" w:type="dxa"/>
            <w:tcBorders>
              <w:bottom w:val="single" w:sz="4" w:space="0" w:color="auto"/>
            </w:tcBorders>
            <w:vAlign w:val="center"/>
          </w:tcPr>
          <w:p w14:paraId="0AAB699E" w14:textId="77777777" w:rsidR="00E579B9" w:rsidRDefault="006A1398">
            <w:pPr>
              <w:pStyle w:val="aa"/>
            </w:pPr>
            <w:r>
              <w:t>采取洒水抑尘措施，潜孔钻加装除尘布袋；采区四周设不低于</w:t>
            </w:r>
            <w:r>
              <w:t>2m</w:t>
            </w:r>
            <w:r>
              <w:t>的围挡，并对作业面之外的区域进行临时覆盖，在作业面四周设高压水枪，对爆堆及运输道路进行洒水，车辆加盖篷布</w:t>
            </w:r>
          </w:p>
        </w:tc>
        <w:tc>
          <w:tcPr>
            <w:tcW w:w="2703" w:type="dxa"/>
            <w:tcBorders>
              <w:bottom w:val="single" w:sz="4" w:space="0" w:color="auto"/>
            </w:tcBorders>
            <w:vAlign w:val="center"/>
          </w:tcPr>
          <w:p w14:paraId="6CFF7876" w14:textId="77777777" w:rsidR="00E579B9" w:rsidRDefault="006A1398">
            <w:pPr>
              <w:pStyle w:val="aa"/>
            </w:pPr>
            <w:r>
              <w:t>采区四周设</w:t>
            </w:r>
            <w:r>
              <w:t>2m</w:t>
            </w:r>
            <w:r>
              <w:t>高围挡，配备洒水车</w:t>
            </w:r>
            <w:r>
              <w:rPr>
                <w:rFonts w:hint="eastAsia"/>
              </w:rPr>
              <w:t>，</w:t>
            </w:r>
            <w:r>
              <w:t>作业面之外的区域进行覆盖，穿孔设备带有袋式除尘设施，洒水设施（洒水车），运输车辆加盖篷布</w:t>
            </w:r>
          </w:p>
        </w:tc>
        <w:tc>
          <w:tcPr>
            <w:tcW w:w="2230" w:type="dxa"/>
            <w:vMerge w:val="restart"/>
            <w:vAlign w:val="center"/>
          </w:tcPr>
          <w:p w14:paraId="1FBD2B33" w14:textId="77777777" w:rsidR="00E579B9" w:rsidRDefault="006A1398">
            <w:pPr>
              <w:pStyle w:val="aa"/>
            </w:pPr>
            <w:r>
              <w:rPr>
                <w:rFonts w:hint="eastAsia"/>
              </w:rPr>
              <w:t>《水泥工业大气污染物排放标准》（</w:t>
            </w:r>
            <w:r>
              <w:rPr>
                <w:rFonts w:hint="eastAsia"/>
              </w:rPr>
              <w:t>GB4915-2013</w:t>
            </w:r>
            <w:r>
              <w:rPr>
                <w:rFonts w:hint="eastAsia"/>
              </w:rPr>
              <w:t>）表</w:t>
            </w:r>
            <w:r>
              <w:rPr>
                <w:rFonts w:hint="eastAsia"/>
              </w:rPr>
              <w:t>1</w:t>
            </w:r>
            <w:r>
              <w:t>标准及表</w:t>
            </w:r>
            <w:r>
              <w:rPr>
                <w:rFonts w:hint="eastAsia"/>
              </w:rPr>
              <w:t>3</w:t>
            </w:r>
            <w:r>
              <w:rPr>
                <w:rFonts w:hint="eastAsia"/>
              </w:rPr>
              <w:t>标准</w:t>
            </w:r>
            <w:r>
              <w:t>（粉尘有组织排放浓度</w:t>
            </w:r>
            <w:r>
              <w:t>20mg/m</w:t>
            </w:r>
            <w:r>
              <w:rPr>
                <w:vertAlign w:val="superscript"/>
              </w:rPr>
              <w:t>3</w:t>
            </w:r>
            <w:r>
              <w:rPr>
                <w:rFonts w:hint="eastAsia"/>
              </w:rPr>
              <w:t>、</w:t>
            </w:r>
            <w:r>
              <w:t>无组织排放标准浓度限值要求</w:t>
            </w:r>
            <w:r>
              <w:rPr>
                <w:rFonts w:hint="eastAsia"/>
              </w:rPr>
              <w:t>0.5</w:t>
            </w:r>
            <w:r>
              <w:t>mg/m</w:t>
            </w:r>
            <w:r>
              <w:rPr>
                <w:vertAlign w:val="superscript"/>
              </w:rPr>
              <w:t>3</w:t>
            </w:r>
            <w:r>
              <w:t>）</w:t>
            </w:r>
          </w:p>
        </w:tc>
      </w:tr>
      <w:tr w:rsidR="00E579B9" w14:paraId="5F65269D" w14:textId="77777777">
        <w:trPr>
          <w:jc w:val="center"/>
        </w:trPr>
        <w:tc>
          <w:tcPr>
            <w:tcW w:w="694" w:type="dxa"/>
            <w:vMerge/>
            <w:vAlign w:val="center"/>
          </w:tcPr>
          <w:p w14:paraId="2108A48E" w14:textId="77777777" w:rsidR="00E579B9" w:rsidRDefault="00E579B9">
            <w:pPr>
              <w:pStyle w:val="aa"/>
            </w:pPr>
          </w:p>
        </w:tc>
        <w:tc>
          <w:tcPr>
            <w:tcW w:w="627" w:type="dxa"/>
            <w:vMerge/>
            <w:tcBorders>
              <w:right w:val="single" w:sz="4" w:space="0" w:color="auto"/>
            </w:tcBorders>
            <w:vAlign w:val="center"/>
          </w:tcPr>
          <w:p w14:paraId="639D8D69" w14:textId="77777777" w:rsidR="00E579B9" w:rsidRDefault="00E579B9">
            <w:pPr>
              <w:pStyle w:val="aa"/>
            </w:pPr>
          </w:p>
        </w:tc>
        <w:tc>
          <w:tcPr>
            <w:tcW w:w="1635" w:type="dxa"/>
            <w:tcBorders>
              <w:top w:val="single" w:sz="4" w:space="0" w:color="auto"/>
              <w:left w:val="single" w:sz="4" w:space="0" w:color="auto"/>
              <w:bottom w:val="single" w:sz="4" w:space="0" w:color="auto"/>
              <w:right w:val="single" w:sz="4" w:space="0" w:color="auto"/>
            </w:tcBorders>
            <w:vAlign w:val="center"/>
          </w:tcPr>
          <w:p w14:paraId="2E46ED55" w14:textId="77777777" w:rsidR="00E579B9" w:rsidRDefault="006A1398">
            <w:pPr>
              <w:pStyle w:val="af5"/>
              <w:spacing w:line="360" w:lineRule="exact"/>
              <w:rPr>
                <w:rFonts w:ascii="Times New Roman" w:hAnsi="Times New Roman" w:cs="Times New Roman"/>
              </w:rPr>
            </w:pPr>
            <w:r>
              <w:rPr>
                <w:rFonts w:ascii="Times New Roman" w:hAnsi="Times New Roman" w:cs="Times New Roman"/>
              </w:rPr>
              <w:t>破碎和筛分粉尘</w:t>
            </w:r>
          </w:p>
        </w:tc>
        <w:tc>
          <w:tcPr>
            <w:tcW w:w="5273" w:type="dxa"/>
            <w:tcBorders>
              <w:top w:val="single" w:sz="4" w:space="0" w:color="auto"/>
              <w:left w:val="single" w:sz="4" w:space="0" w:color="auto"/>
              <w:bottom w:val="single" w:sz="4" w:space="0" w:color="auto"/>
              <w:right w:val="single" w:sz="4" w:space="0" w:color="auto"/>
            </w:tcBorders>
            <w:vAlign w:val="center"/>
          </w:tcPr>
          <w:p w14:paraId="720B96D7" w14:textId="77777777" w:rsidR="00E579B9" w:rsidRDefault="006A1398">
            <w:pPr>
              <w:pStyle w:val="af5"/>
              <w:spacing w:line="360" w:lineRule="exact"/>
              <w:rPr>
                <w:rFonts w:ascii="Times New Roman" w:hAnsi="Times New Roman" w:cs="Times New Roman"/>
              </w:rPr>
            </w:pPr>
            <w:r>
              <w:rPr>
                <w:rFonts w:ascii="Times New Roman" w:hAnsi="Times New Roman" w:cs="Times New Roman"/>
              </w:rPr>
              <w:t>密闭罩收集</w:t>
            </w:r>
            <w:r>
              <w:rPr>
                <w:rFonts w:ascii="Times New Roman" w:hAnsi="Times New Roman" w:cs="Times New Roman"/>
              </w:rPr>
              <w:t>+</w:t>
            </w:r>
            <w:r>
              <w:rPr>
                <w:rFonts w:ascii="宋体" w:hAnsi="宋体" w:cs="Times New Roman"/>
              </w:rPr>
              <w:t>袋式除尘器</w:t>
            </w:r>
            <w:r>
              <w:rPr>
                <w:rFonts w:ascii="Times New Roman" w:hAnsi="Times New Roman" w:cs="Times New Roman"/>
              </w:rPr>
              <w:t>+15m</w:t>
            </w:r>
            <w:r>
              <w:rPr>
                <w:rFonts w:ascii="宋体" w:hAnsi="宋体" w:cs="Times New Roman"/>
              </w:rPr>
              <w:t>高排气筒外排</w:t>
            </w:r>
          </w:p>
        </w:tc>
        <w:tc>
          <w:tcPr>
            <w:tcW w:w="2703" w:type="dxa"/>
            <w:tcBorders>
              <w:top w:val="single" w:sz="4" w:space="0" w:color="auto"/>
              <w:left w:val="single" w:sz="4" w:space="0" w:color="auto"/>
              <w:bottom w:val="single" w:sz="4" w:space="0" w:color="auto"/>
              <w:right w:val="single" w:sz="4" w:space="0" w:color="auto"/>
            </w:tcBorders>
            <w:vAlign w:val="center"/>
          </w:tcPr>
          <w:p w14:paraId="41A6A274" w14:textId="77777777" w:rsidR="00E579B9" w:rsidRDefault="006A1398">
            <w:pPr>
              <w:spacing w:line="360" w:lineRule="exact"/>
              <w:ind w:firstLineChars="0" w:firstLine="0"/>
              <w:jc w:val="center"/>
              <w:rPr>
                <w:rFonts w:cs="Times New Roman"/>
                <w:sz w:val="21"/>
                <w:szCs w:val="21"/>
              </w:rPr>
            </w:pPr>
            <w:r>
              <w:rPr>
                <w:rFonts w:hint="eastAsia"/>
                <w:sz w:val="21"/>
                <w:szCs w:val="21"/>
              </w:rPr>
              <w:t>2</w:t>
            </w:r>
            <w:r>
              <w:rPr>
                <w:rFonts w:ascii="宋体" w:hAnsi="宋体" w:hint="eastAsia"/>
                <w:sz w:val="21"/>
                <w:szCs w:val="21"/>
              </w:rPr>
              <w:t>套</w:t>
            </w:r>
            <w:r>
              <w:rPr>
                <w:sz w:val="21"/>
                <w:szCs w:val="21"/>
              </w:rPr>
              <w:t>密闭罩收集</w:t>
            </w:r>
            <w:r>
              <w:rPr>
                <w:sz w:val="21"/>
                <w:szCs w:val="21"/>
              </w:rPr>
              <w:t>+</w:t>
            </w:r>
            <w:r>
              <w:rPr>
                <w:rFonts w:ascii="宋体" w:hAnsi="宋体"/>
                <w:sz w:val="21"/>
                <w:szCs w:val="21"/>
              </w:rPr>
              <w:t>袋式除尘器</w:t>
            </w:r>
            <w:r>
              <w:rPr>
                <w:sz w:val="21"/>
                <w:szCs w:val="21"/>
              </w:rPr>
              <w:t>+15m</w:t>
            </w:r>
            <w:r>
              <w:rPr>
                <w:rFonts w:ascii="宋体" w:hAnsi="宋体"/>
                <w:sz w:val="21"/>
                <w:szCs w:val="21"/>
              </w:rPr>
              <w:t>高排气筒外排</w:t>
            </w:r>
          </w:p>
        </w:tc>
        <w:tc>
          <w:tcPr>
            <w:tcW w:w="2230" w:type="dxa"/>
            <w:vMerge/>
            <w:tcBorders>
              <w:left w:val="single" w:sz="4" w:space="0" w:color="auto"/>
            </w:tcBorders>
            <w:vAlign w:val="center"/>
          </w:tcPr>
          <w:p w14:paraId="30B308CB" w14:textId="77777777" w:rsidR="00E579B9" w:rsidRDefault="00E579B9">
            <w:pPr>
              <w:pStyle w:val="aa"/>
              <w:rPr>
                <w:szCs w:val="24"/>
              </w:rPr>
            </w:pPr>
          </w:p>
        </w:tc>
      </w:tr>
      <w:tr w:rsidR="00E579B9" w14:paraId="729C62DC" w14:textId="77777777">
        <w:trPr>
          <w:jc w:val="center"/>
        </w:trPr>
        <w:tc>
          <w:tcPr>
            <w:tcW w:w="694" w:type="dxa"/>
            <w:vMerge/>
            <w:vAlign w:val="center"/>
          </w:tcPr>
          <w:p w14:paraId="46875131" w14:textId="77777777" w:rsidR="00E579B9" w:rsidRDefault="00E579B9">
            <w:pPr>
              <w:pStyle w:val="aa"/>
            </w:pPr>
          </w:p>
        </w:tc>
        <w:tc>
          <w:tcPr>
            <w:tcW w:w="627" w:type="dxa"/>
            <w:vMerge/>
            <w:vAlign w:val="center"/>
          </w:tcPr>
          <w:p w14:paraId="50429DD1" w14:textId="77777777" w:rsidR="00E579B9" w:rsidRDefault="00E579B9">
            <w:pPr>
              <w:pStyle w:val="aa"/>
            </w:pPr>
          </w:p>
        </w:tc>
        <w:tc>
          <w:tcPr>
            <w:tcW w:w="1635" w:type="dxa"/>
            <w:tcBorders>
              <w:top w:val="single" w:sz="4" w:space="0" w:color="auto"/>
            </w:tcBorders>
            <w:vAlign w:val="center"/>
          </w:tcPr>
          <w:p w14:paraId="26AD2CAD" w14:textId="77777777" w:rsidR="00E579B9" w:rsidRDefault="006A1398">
            <w:pPr>
              <w:pStyle w:val="aa"/>
            </w:pPr>
            <w:r>
              <w:rPr>
                <w:rFonts w:hint="eastAsia"/>
              </w:rPr>
              <w:t>表土场粉尘</w:t>
            </w:r>
          </w:p>
        </w:tc>
        <w:tc>
          <w:tcPr>
            <w:tcW w:w="5273" w:type="dxa"/>
            <w:tcBorders>
              <w:top w:val="single" w:sz="4" w:space="0" w:color="auto"/>
            </w:tcBorders>
            <w:vAlign w:val="center"/>
          </w:tcPr>
          <w:p w14:paraId="5C97A2D7" w14:textId="77777777" w:rsidR="00E579B9" w:rsidRDefault="006A1398">
            <w:pPr>
              <w:pStyle w:val="aa"/>
              <w:rPr>
                <w:rFonts w:cs="Times New Roman"/>
              </w:rPr>
            </w:pPr>
            <w:r>
              <w:rPr>
                <w:rFonts w:hint="eastAsia"/>
              </w:rPr>
              <w:t>对堆场及时进行覆盖并设有水泵定期对堆场洒水降尘、设置防尘网等措施，配备喷淋、覆盖和围挡等防尘措施</w:t>
            </w:r>
          </w:p>
        </w:tc>
        <w:tc>
          <w:tcPr>
            <w:tcW w:w="2703" w:type="dxa"/>
            <w:tcBorders>
              <w:top w:val="single" w:sz="4" w:space="0" w:color="auto"/>
            </w:tcBorders>
            <w:vAlign w:val="center"/>
          </w:tcPr>
          <w:p w14:paraId="404F0293" w14:textId="77777777" w:rsidR="00E579B9" w:rsidRDefault="006A1398">
            <w:pPr>
              <w:pStyle w:val="aa"/>
            </w:pPr>
            <w:r>
              <w:rPr>
                <w:rFonts w:hint="eastAsia"/>
              </w:rPr>
              <w:t>洒水喷淋、覆盖、围挡、防尘网等设施，</w:t>
            </w:r>
          </w:p>
        </w:tc>
        <w:tc>
          <w:tcPr>
            <w:tcW w:w="2230" w:type="dxa"/>
            <w:vMerge w:val="restart"/>
            <w:vAlign w:val="center"/>
          </w:tcPr>
          <w:p w14:paraId="32228D88" w14:textId="77777777" w:rsidR="00E579B9" w:rsidRDefault="006A1398">
            <w:pPr>
              <w:pStyle w:val="aa"/>
            </w:pPr>
            <w:r>
              <w:t>将</w:t>
            </w:r>
            <w:r>
              <w:rPr>
                <w:rFonts w:hint="eastAsia"/>
              </w:rPr>
              <w:t>粉</w:t>
            </w:r>
            <w:r>
              <w:t>尘污染降低至最小程度</w:t>
            </w:r>
          </w:p>
        </w:tc>
      </w:tr>
      <w:tr w:rsidR="00E579B9" w14:paraId="505DCE98" w14:textId="77777777">
        <w:trPr>
          <w:jc w:val="center"/>
        </w:trPr>
        <w:tc>
          <w:tcPr>
            <w:tcW w:w="694" w:type="dxa"/>
            <w:vMerge/>
            <w:vAlign w:val="center"/>
          </w:tcPr>
          <w:p w14:paraId="7489848F" w14:textId="77777777" w:rsidR="00E579B9" w:rsidRDefault="00E579B9">
            <w:pPr>
              <w:pStyle w:val="aa"/>
            </w:pPr>
          </w:p>
        </w:tc>
        <w:tc>
          <w:tcPr>
            <w:tcW w:w="627" w:type="dxa"/>
            <w:vMerge/>
            <w:vAlign w:val="center"/>
          </w:tcPr>
          <w:p w14:paraId="5AAF5EDA" w14:textId="77777777" w:rsidR="00E579B9" w:rsidRDefault="00E579B9">
            <w:pPr>
              <w:pStyle w:val="aa"/>
            </w:pPr>
          </w:p>
        </w:tc>
        <w:tc>
          <w:tcPr>
            <w:tcW w:w="1635" w:type="dxa"/>
            <w:vAlign w:val="center"/>
          </w:tcPr>
          <w:p w14:paraId="14D6C99C" w14:textId="77777777" w:rsidR="00E579B9" w:rsidRDefault="006A1398">
            <w:pPr>
              <w:pStyle w:val="aa"/>
            </w:pPr>
            <w:r>
              <w:t>运输道路扬尘</w:t>
            </w:r>
          </w:p>
        </w:tc>
        <w:tc>
          <w:tcPr>
            <w:tcW w:w="5273" w:type="dxa"/>
            <w:vAlign w:val="center"/>
          </w:tcPr>
          <w:p w14:paraId="0F01152E" w14:textId="77777777" w:rsidR="00E579B9" w:rsidRDefault="006A1398">
            <w:pPr>
              <w:pStyle w:val="aa"/>
            </w:pPr>
            <w:r>
              <w:t>运输道路设置专人定期清扫路面、定时洒水、运输车辆加盖遮挡物、限载、限速等，</w:t>
            </w:r>
            <w:r>
              <w:rPr>
                <w:rFonts w:hint="eastAsia"/>
              </w:rPr>
              <w:t>出口处</w:t>
            </w:r>
            <w:r>
              <w:t>建车轮清洗池</w:t>
            </w:r>
          </w:p>
        </w:tc>
        <w:tc>
          <w:tcPr>
            <w:tcW w:w="2703" w:type="dxa"/>
            <w:vAlign w:val="center"/>
          </w:tcPr>
          <w:p w14:paraId="37963F55" w14:textId="77777777" w:rsidR="00E579B9" w:rsidRDefault="006A1398">
            <w:pPr>
              <w:pStyle w:val="aa"/>
            </w:pPr>
            <w:r>
              <w:t>配专人定时洒水、洒水车</w:t>
            </w:r>
            <w:r>
              <w:t>1</w:t>
            </w:r>
            <w:r>
              <w:t>辆（沿用建设期洒水设施）</w:t>
            </w:r>
          </w:p>
        </w:tc>
        <w:tc>
          <w:tcPr>
            <w:tcW w:w="2230" w:type="dxa"/>
            <w:vMerge/>
            <w:vAlign w:val="center"/>
          </w:tcPr>
          <w:p w14:paraId="1A086D82" w14:textId="77777777" w:rsidR="00E579B9" w:rsidRDefault="00E579B9">
            <w:pPr>
              <w:pStyle w:val="aa"/>
            </w:pPr>
          </w:p>
        </w:tc>
      </w:tr>
      <w:tr w:rsidR="00E579B9" w14:paraId="6D35334D" w14:textId="77777777">
        <w:trPr>
          <w:jc w:val="center"/>
        </w:trPr>
        <w:tc>
          <w:tcPr>
            <w:tcW w:w="694" w:type="dxa"/>
            <w:vMerge/>
            <w:vAlign w:val="center"/>
          </w:tcPr>
          <w:p w14:paraId="39CB8A2A" w14:textId="77777777" w:rsidR="00E579B9" w:rsidRDefault="00E579B9">
            <w:pPr>
              <w:pStyle w:val="aa"/>
            </w:pPr>
          </w:p>
        </w:tc>
        <w:tc>
          <w:tcPr>
            <w:tcW w:w="627" w:type="dxa"/>
            <w:vMerge w:val="restart"/>
            <w:vAlign w:val="center"/>
          </w:tcPr>
          <w:p w14:paraId="50804B24" w14:textId="77777777" w:rsidR="00E579B9" w:rsidRDefault="006A1398">
            <w:pPr>
              <w:pStyle w:val="aa"/>
            </w:pPr>
            <w:r>
              <w:rPr>
                <w:rFonts w:hint="eastAsia"/>
              </w:rPr>
              <w:t>噪声</w:t>
            </w:r>
          </w:p>
        </w:tc>
        <w:tc>
          <w:tcPr>
            <w:tcW w:w="1635" w:type="dxa"/>
            <w:vAlign w:val="center"/>
          </w:tcPr>
          <w:p w14:paraId="64CF94C5" w14:textId="77777777" w:rsidR="00E579B9" w:rsidRDefault="006A1398">
            <w:pPr>
              <w:pStyle w:val="aa"/>
            </w:pPr>
            <w:r>
              <w:rPr>
                <w:rFonts w:hint="eastAsia"/>
              </w:rPr>
              <w:t>爆破噪声</w:t>
            </w:r>
          </w:p>
        </w:tc>
        <w:tc>
          <w:tcPr>
            <w:tcW w:w="5273" w:type="dxa"/>
            <w:vAlign w:val="center"/>
          </w:tcPr>
          <w:p w14:paraId="0A8B2A9A" w14:textId="77777777" w:rsidR="00E579B9" w:rsidRDefault="006A1398">
            <w:pPr>
              <w:pStyle w:val="aa"/>
            </w:pPr>
            <w:r>
              <w:rPr>
                <w:rFonts w:hint="eastAsia"/>
              </w:rPr>
              <w:t>爆破控制每一段装药量，要求白天进行、提前告知、设置警戒标志牌</w:t>
            </w:r>
          </w:p>
        </w:tc>
        <w:tc>
          <w:tcPr>
            <w:tcW w:w="2703" w:type="dxa"/>
            <w:vAlign w:val="center"/>
          </w:tcPr>
          <w:p w14:paraId="17EE120A" w14:textId="77777777" w:rsidR="00E579B9" w:rsidRDefault="006A1398">
            <w:pPr>
              <w:pStyle w:val="aa"/>
            </w:pPr>
            <w:r>
              <w:rPr>
                <w:rFonts w:hint="eastAsia"/>
              </w:rPr>
              <w:t>合理安排爆破时间</w:t>
            </w:r>
          </w:p>
        </w:tc>
        <w:tc>
          <w:tcPr>
            <w:tcW w:w="2230" w:type="dxa"/>
            <w:vMerge w:val="restart"/>
            <w:vAlign w:val="center"/>
          </w:tcPr>
          <w:p w14:paraId="2336D709" w14:textId="77777777" w:rsidR="00E579B9" w:rsidRDefault="006A1398">
            <w:pPr>
              <w:pStyle w:val="aa"/>
            </w:pPr>
            <w:r>
              <w:t>厂界噪声达到（</w:t>
            </w:r>
            <w:r>
              <w:t>GB12348-2008</w:t>
            </w:r>
            <w:r>
              <w:t>）</w:t>
            </w:r>
          </w:p>
          <w:p w14:paraId="09E4401A" w14:textId="77777777" w:rsidR="00E579B9" w:rsidRDefault="006A1398">
            <w:pPr>
              <w:pStyle w:val="aa"/>
            </w:pPr>
            <w:r>
              <w:t>2</w:t>
            </w:r>
            <w:r>
              <w:t>类敏感点噪声达到</w:t>
            </w:r>
          </w:p>
          <w:p w14:paraId="147BD208" w14:textId="77777777" w:rsidR="00E579B9" w:rsidRDefault="006A1398">
            <w:pPr>
              <w:pStyle w:val="aa"/>
              <w:rPr>
                <w:rFonts w:cs="Times New Roman"/>
              </w:rPr>
            </w:pPr>
            <w:r>
              <w:t>（</w:t>
            </w:r>
            <w:r>
              <w:t>GB3096-2008</w:t>
            </w:r>
            <w:r>
              <w:t>）</w:t>
            </w:r>
            <w:r>
              <w:t>2</w:t>
            </w:r>
            <w:r>
              <w:t>类</w:t>
            </w:r>
          </w:p>
        </w:tc>
      </w:tr>
      <w:tr w:rsidR="00E579B9" w14:paraId="424B683E" w14:textId="77777777">
        <w:trPr>
          <w:jc w:val="center"/>
        </w:trPr>
        <w:tc>
          <w:tcPr>
            <w:tcW w:w="694" w:type="dxa"/>
            <w:vMerge/>
            <w:vAlign w:val="center"/>
          </w:tcPr>
          <w:p w14:paraId="2CFE0C3B" w14:textId="77777777" w:rsidR="00E579B9" w:rsidRDefault="00E579B9">
            <w:pPr>
              <w:pStyle w:val="aa"/>
            </w:pPr>
          </w:p>
        </w:tc>
        <w:tc>
          <w:tcPr>
            <w:tcW w:w="627" w:type="dxa"/>
            <w:vMerge/>
            <w:vAlign w:val="center"/>
          </w:tcPr>
          <w:p w14:paraId="292805A2" w14:textId="77777777" w:rsidR="00E579B9" w:rsidRDefault="00E579B9">
            <w:pPr>
              <w:pStyle w:val="aa"/>
            </w:pPr>
          </w:p>
        </w:tc>
        <w:tc>
          <w:tcPr>
            <w:tcW w:w="1635" w:type="dxa"/>
            <w:tcBorders>
              <w:bottom w:val="single" w:sz="4" w:space="0" w:color="auto"/>
            </w:tcBorders>
            <w:vAlign w:val="center"/>
          </w:tcPr>
          <w:p w14:paraId="7F6CD54A" w14:textId="77777777" w:rsidR="00E579B9" w:rsidRDefault="006A1398">
            <w:pPr>
              <w:pStyle w:val="aa"/>
            </w:pPr>
            <w:r>
              <w:rPr>
                <w:rFonts w:hint="eastAsia"/>
              </w:rPr>
              <w:t>设备噪声</w:t>
            </w:r>
          </w:p>
        </w:tc>
        <w:tc>
          <w:tcPr>
            <w:tcW w:w="5273" w:type="dxa"/>
            <w:tcBorders>
              <w:bottom w:val="single" w:sz="4" w:space="0" w:color="auto"/>
            </w:tcBorders>
            <w:vAlign w:val="center"/>
          </w:tcPr>
          <w:p w14:paraId="0D3F75FE" w14:textId="77777777" w:rsidR="00E579B9" w:rsidRDefault="006A1398">
            <w:pPr>
              <w:pStyle w:val="aa"/>
              <w:rPr>
                <w:rFonts w:cs="Times New Roman"/>
                <w:bCs/>
              </w:rPr>
            </w:pPr>
            <w:r>
              <w:rPr>
                <w:rFonts w:hint="eastAsia"/>
              </w:rPr>
              <w:t>选用低噪声设备，可采取关闭操作室门窗、工人戴护耳器等隔声、减振、加设消声设施措施</w:t>
            </w:r>
          </w:p>
        </w:tc>
        <w:tc>
          <w:tcPr>
            <w:tcW w:w="2703" w:type="dxa"/>
            <w:vMerge w:val="restart"/>
            <w:vAlign w:val="center"/>
          </w:tcPr>
          <w:p w14:paraId="569E395C" w14:textId="77777777" w:rsidR="00E579B9" w:rsidRDefault="006A1398">
            <w:pPr>
              <w:pStyle w:val="aa"/>
              <w:rPr>
                <w:rFonts w:cs="Times New Roman"/>
              </w:rPr>
            </w:pPr>
            <w:r>
              <w:t>消声、减振、隔声</w:t>
            </w:r>
            <w:r>
              <w:rPr>
                <w:rFonts w:hint="eastAsia"/>
              </w:rPr>
              <w:t>措施</w:t>
            </w:r>
          </w:p>
        </w:tc>
        <w:tc>
          <w:tcPr>
            <w:tcW w:w="2230" w:type="dxa"/>
            <w:vMerge/>
            <w:vAlign w:val="center"/>
          </w:tcPr>
          <w:p w14:paraId="0F0B5F15" w14:textId="77777777" w:rsidR="00E579B9" w:rsidRDefault="00E579B9">
            <w:pPr>
              <w:pStyle w:val="aa"/>
            </w:pPr>
          </w:p>
        </w:tc>
      </w:tr>
      <w:tr w:rsidR="00E579B9" w14:paraId="6BF67E29" w14:textId="77777777">
        <w:trPr>
          <w:jc w:val="center"/>
        </w:trPr>
        <w:tc>
          <w:tcPr>
            <w:tcW w:w="694" w:type="dxa"/>
            <w:vMerge/>
            <w:vAlign w:val="center"/>
          </w:tcPr>
          <w:p w14:paraId="61EAF487" w14:textId="77777777" w:rsidR="00E579B9" w:rsidRDefault="00E579B9">
            <w:pPr>
              <w:pStyle w:val="aa"/>
            </w:pPr>
          </w:p>
        </w:tc>
        <w:tc>
          <w:tcPr>
            <w:tcW w:w="627" w:type="dxa"/>
            <w:vMerge/>
            <w:tcBorders>
              <w:right w:val="single" w:sz="4" w:space="0" w:color="auto"/>
            </w:tcBorders>
            <w:vAlign w:val="center"/>
          </w:tcPr>
          <w:p w14:paraId="0DB3CF5D" w14:textId="77777777" w:rsidR="00E579B9" w:rsidRDefault="00E579B9">
            <w:pPr>
              <w:pStyle w:val="aa"/>
            </w:pPr>
          </w:p>
        </w:tc>
        <w:tc>
          <w:tcPr>
            <w:tcW w:w="1635" w:type="dxa"/>
            <w:tcBorders>
              <w:top w:val="single" w:sz="4" w:space="0" w:color="auto"/>
              <w:left w:val="single" w:sz="4" w:space="0" w:color="auto"/>
              <w:bottom w:val="single" w:sz="4" w:space="0" w:color="auto"/>
              <w:right w:val="single" w:sz="4" w:space="0" w:color="auto"/>
            </w:tcBorders>
            <w:vAlign w:val="center"/>
          </w:tcPr>
          <w:p w14:paraId="4626E0FA" w14:textId="77777777" w:rsidR="00E579B9" w:rsidRDefault="006A1398">
            <w:pPr>
              <w:spacing w:line="360" w:lineRule="exact"/>
              <w:ind w:firstLineChars="0" w:firstLine="0"/>
              <w:jc w:val="center"/>
              <w:rPr>
                <w:rFonts w:cs="Times New Roman"/>
                <w:sz w:val="21"/>
                <w:szCs w:val="21"/>
              </w:rPr>
            </w:pPr>
            <w:r>
              <w:rPr>
                <w:sz w:val="21"/>
                <w:szCs w:val="21"/>
              </w:rPr>
              <w:t>运输噪声</w:t>
            </w:r>
          </w:p>
        </w:tc>
        <w:tc>
          <w:tcPr>
            <w:tcW w:w="5273" w:type="dxa"/>
            <w:tcBorders>
              <w:top w:val="single" w:sz="4" w:space="0" w:color="auto"/>
              <w:left w:val="single" w:sz="4" w:space="0" w:color="auto"/>
              <w:bottom w:val="single" w:sz="4" w:space="0" w:color="auto"/>
            </w:tcBorders>
            <w:vAlign w:val="center"/>
          </w:tcPr>
          <w:p w14:paraId="5C91A784" w14:textId="77777777" w:rsidR="00E579B9" w:rsidRDefault="006A1398">
            <w:pPr>
              <w:spacing w:line="360" w:lineRule="exact"/>
              <w:ind w:firstLineChars="0" w:firstLine="0"/>
              <w:jc w:val="center"/>
              <w:rPr>
                <w:sz w:val="21"/>
                <w:szCs w:val="21"/>
              </w:rPr>
            </w:pPr>
            <w:r>
              <w:rPr>
                <w:sz w:val="21"/>
                <w:szCs w:val="21"/>
              </w:rPr>
              <w:t>运输车辆限速</w:t>
            </w:r>
            <w:r>
              <w:rPr>
                <w:sz w:val="21"/>
                <w:szCs w:val="21"/>
              </w:rPr>
              <w:t>(20km/h)</w:t>
            </w:r>
            <w:r>
              <w:rPr>
                <w:rFonts w:ascii="宋体" w:hAnsi="宋体"/>
                <w:sz w:val="21"/>
                <w:szCs w:val="21"/>
              </w:rPr>
              <w:t>行驶，禁止夜间运输</w:t>
            </w:r>
          </w:p>
        </w:tc>
        <w:tc>
          <w:tcPr>
            <w:tcW w:w="2703" w:type="dxa"/>
            <w:vMerge/>
            <w:vAlign w:val="center"/>
          </w:tcPr>
          <w:p w14:paraId="5AD464D8" w14:textId="77777777" w:rsidR="00E579B9" w:rsidRDefault="00E579B9">
            <w:pPr>
              <w:pStyle w:val="aa"/>
            </w:pPr>
          </w:p>
        </w:tc>
        <w:tc>
          <w:tcPr>
            <w:tcW w:w="2230" w:type="dxa"/>
            <w:vMerge/>
            <w:vAlign w:val="center"/>
          </w:tcPr>
          <w:p w14:paraId="212D8FE8" w14:textId="77777777" w:rsidR="00E579B9" w:rsidRDefault="00E579B9">
            <w:pPr>
              <w:pStyle w:val="aa"/>
            </w:pPr>
          </w:p>
        </w:tc>
      </w:tr>
      <w:tr w:rsidR="00E579B9" w14:paraId="6C60C30D" w14:textId="77777777">
        <w:trPr>
          <w:jc w:val="center"/>
        </w:trPr>
        <w:tc>
          <w:tcPr>
            <w:tcW w:w="694" w:type="dxa"/>
            <w:vMerge/>
            <w:vAlign w:val="center"/>
          </w:tcPr>
          <w:p w14:paraId="6A52E4A7" w14:textId="77777777" w:rsidR="00E579B9" w:rsidRDefault="00E579B9">
            <w:pPr>
              <w:pStyle w:val="aa"/>
            </w:pPr>
          </w:p>
        </w:tc>
        <w:tc>
          <w:tcPr>
            <w:tcW w:w="627" w:type="dxa"/>
            <w:vMerge w:val="restart"/>
            <w:vAlign w:val="center"/>
          </w:tcPr>
          <w:p w14:paraId="091ABAF4" w14:textId="77777777" w:rsidR="00E579B9" w:rsidRDefault="006A1398">
            <w:pPr>
              <w:pStyle w:val="aa"/>
            </w:pPr>
            <w:r>
              <w:t>废水</w:t>
            </w:r>
          </w:p>
        </w:tc>
        <w:tc>
          <w:tcPr>
            <w:tcW w:w="1635" w:type="dxa"/>
            <w:tcBorders>
              <w:top w:val="single" w:sz="4" w:space="0" w:color="auto"/>
            </w:tcBorders>
            <w:vAlign w:val="center"/>
          </w:tcPr>
          <w:p w14:paraId="6182E5C6" w14:textId="77777777" w:rsidR="00E579B9" w:rsidRDefault="006A1398">
            <w:pPr>
              <w:pStyle w:val="aa"/>
            </w:pPr>
            <w:r>
              <w:t>初期雨水</w:t>
            </w:r>
          </w:p>
        </w:tc>
        <w:tc>
          <w:tcPr>
            <w:tcW w:w="5273" w:type="dxa"/>
            <w:tcBorders>
              <w:top w:val="single" w:sz="4" w:space="0" w:color="auto"/>
            </w:tcBorders>
            <w:vAlign w:val="center"/>
          </w:tcPr>
          <w:p w14:paraId="75B5D38A" w14:textId="77777777" w:rsidR="00E579B9" w:rsidRDefault="006A1398">
            <w:pPr>
              <w:pStyle w:val="aa"/>
            </w:pPr>
            <w:r>
              <w:rPr>
                <w:rFonts w:hint="eastAsia"/>
              </w:rPr>
              <w:t>采区设截排水沟，在设置</w:t>
            </w:r>
            <w:r>
              <w:t>40</w:t>
            </w:r>
            <w:r>
              <w:rPr>
                <w:rFonts w:hint="eastAsia"/>
              </w:rPr>
              <w:t>0m</w:t>
            </w:r>
            <w:r>
              <w:rPr>
                <w:rFonts w:hint="eastAsia"/>
                <w:vertAlign w:val="superscript"/>
              </w:rPr>
              <w:t>3</w:t>
            </w:r>
            <w:r>
              <w:rPr>
                <w:rFonts w:hint="eastAsia"/>
              </w:rPr>
              <w:t>的沉淀池一座，必要时为保证采矿正常生产、需要安排一定量的水泵将采坑内积水及时抽至集水池内，收集的初期雨水经集水池沉淀后用于采区和矿区道路洒水降尘。车辆冲洗装置废水经</w:t>
            </w:r>
            <w:r>
              <w:rPr>
                <w:rFonts w:hint="eastAsia"/>
              </w:rPr>
              <w:t>5m</w:t>
            </w:r>
            <w:r>
              <w:rPr>
                <w:rFonts w:hint="eastAsia"/>
                <w:vertAlign w:val="superscript"/>
              </w:rPr>
              <w:t>3</w:t>
            </w:r>
            <w:r>
              <w:rPr>
                <w:rFonts w:hint="eastAsia"/>
              </w:rPr>
              <w:t>的沉淀池沉淀后循环利用；</w:t>
            </w:r>
          </w:p>
        </w:tc>
        <w:tc>
          <w:tcPr>
            <w:tcW w:w="2703" w:type="dxa"/>
            <w:vAlign w:val="center"/>
          </w:tcPr>
          <w:p w14:paraId="5B814393" w14:textId="77777777" w:rsidR="00E579B9" w:rsidRDefault="006A1398">
            <w:pPr>
              <w:pStyle w:val="aa"/>
            </w:pPr>
            <w:r>
              <w:t>采区设截排水沟，</w:t>
            </w:r>
            <w:r>
              <w:rPr>
                <w:rFonts w:hint="eastAsia"/>
              </w:rPr>
              <w:t>5m</w:t>
            </w:r>
            <w:r>
              <w:rPr>
                <w:rFonts w:hint="eastAsia"/>
                <w:vertAlign w:val="superscript"/>
              </w:rPr>
              <w:t>3</w:t>
            </w:r>
            <w:r>
              <w:rPr>
                <w:rFonts w:hint="eastAsia"/>
              </w:rPr>
              <w:t>的沉淀池；</w:t>
            </w:r>
            <w:r>
              <w:t>40</w:t>
            </w:r>
            <w:r>
              <w:rPr>
                <w:rFonts w:hint="eastAsia"/>
              </w:rPr>
              <w:t>0m</w:t>
            </w:r>
            <w:r>
              <w:rPr>
                <w:rFonts w:hint="eastAsia"/>
              </w:rPr>
              <w:t>沉淀池各一座</w:t>
            </w:r>
          </w:p>
        </w:tc>
        <w:tc>
          <w:tcPr>
            <w:tcW w:w="2230" w:type="dxa"/>
            <w:vAlign w:val="center"/>
          </w:tcPr>
          <w:p w14:paraId="090A54B8" w14:textId="77777777" w:rsidR="00E579B9" w:rsidRDefault="006A1398">
            <w:pPr>
              <w:pStyle w:val="aa"/>
            </w:pPr>
            <w:r>
              <w:t>初期雨水沉淀后用于厂区洒水，不外排，对地表水无影响</w:t>
            </w:r>
          </w:p>
        </w:tc>
      </w:tr>
      <w:tr w:rsidR="00E579B9" w14:paraId="2D0C3B64" w14:textId="77777777">
        <w:trPr>
          <w:jc w:val="center"/>
        </w:trPr>
        <w:tc>
          <w:tcPr>
            <w:tcW w:w="694" w:type="dxa"/>
            <w:vMerge/>
            <w:vAlign w:val="center"/>
          </w:tcPr>
          <w:p w14:paraId="5727AA01" w14:textId="77777777" w:rsidR="00E579B9" w:rsidRDefault="00E579B9">
            <w:pPr>
              <w:pStyle w:val="aa"/>
            </w:pPr>
          </w:p>
        </w:tc>
        <w:tc>
          <w:tcPr>
            <w:tcW w:w="627" w:type="dxa"/>
            <w:vMerge/>
            <w:vAlign w:val="center"/>
          </w:tcPr>
          <w:p w14:paraId="27B1D1F0" w14:textId="77777777" w:rsidR="00E579B9" w:rsidRDefault="00E579B9">
            <w:pPr>
              <w:pStyle w:val="aa"/>
            </w:pPr>
          </w:p>
        </w:tc>
        <w:tc>
          <w:tcPr>
            <w:tcW w:w="1635" w:type="dxa"/>
            <w:vAlign w:val="center"/>
          </w:tcPr>
          <w:p w14:paraId="6BCFBB67" w14:textId="77777777" w:rsidR="00E579B9" w:rsidRDefault="006A1398">
            <w:pPr>
              <w:pStyle w:val="aa"/>
            </w:pPr>
            <w:r>
              <w:rPr>
                <w:rFonts w:hint="eastAsia"/>
              </w:rPr>
              <w:t>生活污水</w:t>
            </w:r>
          </w:p>
        </w:tc>
        <w:tc>
          <w:tcPr>
            <w:tcW w:w="5273" w:type="dxa"/>
            <w:vAlign w:val="center"/>
          </w:tcPr>
          <w:p w14:paraId="1B5548BE" w14:textId="77777777" w:rsidR="00E579B9" w:rsidRDefault="006A1398">
            <w:pPr>
              <w:pStyle w:val="aa"/>
              <w:rPr>
                <w:rFonts w:cs="Times New Roman"/>
                <w:bCs/>
              </w:rPr>
            </w:pPr>
            <w:r>
              <w:rPr>
                <w:rFonts w:hint="eastAsia"/>
              </w:rPr>
              <w:t>生活污水经厂区内</w:t>
            </w:r>
            <w:r>
              <w:rPr>
                <w:rFonts w:hint="eastAsia"/>
              </w:rPr>
              <w:t>10m</w:t>
            </w:r>
            <w:r>
              <w:rPr>
                <w:rFonts w:hint="eastAsia"/>
                <w:vertAlign w:val="superscript"/>
              </w:rPr>
              <w:t>3</w:t>
            </w:r>
            <w:r>
              <w:rPr>
                <w:rFonts w:hint="eastAsia"/>
              </w:rPr>
              <w:t>一体化污水处理设施处理后用于厂区洒水降尘，不外排，旱厕粪污由附近村民拉走用于肥田。</w:t>
            </w:r>
          </w:p>
        </w:tc>
        <w:tc>
          <w:tcPr>
            <w:tcW w:w="2703" w:type="dxa"/>
            <w:vAlign w:val="center"/>
          </w:tcPr>
          <w:p w14:paraId="31D47146" w14:textId="77777777" w:rsidR="00E579B9" w:rsidRDefault="006A1398">
            <w:pPr>
              <w:pStyle w:val="aa"/>
              <w:rPr>
                <w:rFonts w:cs="Times New Roman"/>
              </w:rPr>
            </w:pPr>
            <w:r>
              <w:rPr>
                <w:rFonts w:hint="eastAsia"/>
              </w:rPr>
              <w:t>10</w:t>
            </w:r>
            <w:r>
              <w:t>m</w:t>
            </w:r>
            <w:r>
              <w:rPr>
                <w:vertAlign w:val="superscript"/>
              </w:rPr>
              <w:t>3</w:t>
            </w:r>
            <w:r>
              <w:rPr>
                <w:rFonts w:hint="eastAsia"/>
              </w:rPr>
              <w:t>/d</w:t>
            </w:r>
            <w:r>
              <w:rPr>
                <w:rFonts w:hint="eastAsia"/>
              </w:rPr>
              <w:t>一体化污水处理设施、旱厕</w:t>
            </w:r>
          </w:p>
        </w:tc>
        <w:tc>
          <w:tcPr>
            <w:tcW w:w="2230" w:type="dxa"/>
            <w:vAlign w:val="center"/>
          </w:tcPr>
          <w:p w14:paraId="3E0A5283" w14:textId="77777777" w:rsidR="00E579B9" w:rsidRDefault="006A1398">
            <w:pPr>
              <w:pStyle w:val="aa"/>
            </w:pPr>
            <w:r>
              <w:rPr>
                <w:rFonts w:hint="eastAsia"/>
              </w:rPr>
              <w:t>不外排</w:t>
            </w:r>
          </w:p>
        </w:tc>
      </w:tr>
      <w:tr w:rsidR="00E579B9" w14:paraId="55095807" w14:textId="77777777">
        <w:trPr>
          <w:trHeight w:val="477"/>
          <w:jc w:val="center"/>
        </w:trPr>
        <w:tc>
          <w:tcPr>
            <w:tcW w:w="694" w:type="dxa"/>
            <w:vMerge/>
            <w:vAlign w:val="center"/>
          </w:tcPr>
          <w:p w14:paraId="494F2FF6" w14:textId="77777777" w:rsidR="00E579B9" w:rsidRDefault="00E579B9">
            <w:pPr>
              <w:pStyle w:val="aa"/>
            </w:pPr>
          </w:p>
        </w:tc>
        <w:tc>
          <w:tcPr>
            <w:tcW w:w="627" w:type="dxa"/>
            <w:vMerge w:val="restart"/>
            <w:vAlign w:val="center"/>
          </w:tcPr>
          <w:p w14:paraId="7DEFD8E4" w14:textId="77777777" w:rsidR="00E579B9" w:rsidRDefault="006A1398">
            <w:pPr>
              <w:pStyle w:val="aa"/>
            </w:pPr>
            <w:r>
              <w:t>固废</w:t>
            </w:r>
          </w:p>
        </w:tc>
        <w:tc>
          <w:tcPr>
            <w:tcW w:w="1635" w:type="dxa"/>
            <w:vAlign w:val="center"/>
          </w:tcPr>
          <w:p w14:paraId="75608B93" w14:textId="77777777" w:rsidR="00E579B9" w:rsidRDefault="006A1398">
            <w:pPr>
              <w:pStyle w:val="aa"/>
            </w:pPr>
            <w:r>
              <w:rPr>
                <w:rFonts w:hint="eastAsia"/>
              </w:rPr>
              <w:t>废石</w:t>
            </w:r>
          </w:p>
        </w:tc>
        <w:tc>
          <w:tcPr>
            <w:tcW w:w="5273" w:type="dxa"/>
            <w:vAlign w:val="center"/>
          </w:tcPr>
          <w:p w14:paraId="13D78436" w14:textId="77777777" w:rsidR="00E579B9" w:rsidRDefault="006A1398">
            <w:pPr>
              <w:pStyle w:val="aa"/>
            </w:pPr>
            <w:r>
              <w:rPr>
                <w:rFonts w:hint="eastAsia"/>
              </w:rPr>
              <w:t>废石暂存表土场，固体残渣中的风华页岩外售给当地砖厂</w:t>
            </w:r>
          </w:p>
        </w:tc>
        <w:tc>
          <w:tcPr>
            <w:tcW w:w="2703" w:type="dxa"/>
            <w:vAlign w:val="center"/>
          </w:tcPr>
          <w:p w14:paraId="4DF7BE31" w14:textId="77777777" w:rsidR="00E579B9" w:rsidRDefault="006A1398">
            <w:pPr>
              <w:pStyle w:val="aa"/>
            </w:pPr>
            <w:r>
              <w:rPr>
                <w:rFonts w:hint="eastAsia"/>
              </w:rPr>
              <w:t>风华页岩出售，剩余用于后期采区生态修复</w:t>
            </w:r>
          </w:p>
        </w:tc>
        <w:tc>
          <w:tcPr>
            <w:tcW w:w="2230" w:type="dxa"/>
            <w:vMerge w:val="restart"/>
            <w:vAlign w:val="center"/>
          </w:tcPr>
          <w:p w14:paraId="34484EF2" w14:textId="77777777" w:rsidR="00E579B9" w:rsidRDefault="006A1398">
            <w:pPr>
              <w:pStyle w:val="aa"/>
            </w:pPr>
            <w:r>
              <w:t>合理处置</w:t>
            </w:r>
          </w:p>
        </w:tc>
      </w:tr>
      <w:tr w:rsidR="00E579B9" w14:paraId="0B474DB1" w14:textId="77777777">
        <w:trPr>
          <w:jc w:val="center"/>
        </w:trPr>
        <w:tc>
          <w:tcPr>
            <w:tcW w:w="694" w:type="dxa"/>
            <w:vMerge/>
            <w:tcBorders>
              <w:bottom w:val="single" w:sz="4" w:space="0" w:color="auto"/>
            </w:tcBorders>
            <w:vAlign w:val="center"/>
          </w:tcPr>
          <w:p w14:paraId="6282F4A2" w14:textId="77777777" w:rsidR="00E579B9" w:rsidRDefault="00E579B9">
            <w:pPr>
              <w:pStyle w:val="aa"/>
            </w:pPr>
          </w:p>
        </w:tc>
        <w:tc>
          <w:tcPr>
            <w:tcW w:w="627" w:type="dxa"/>
            <w:vMerge/>
            <w:tcBorders>
              <w:bottom w:val="single" w:sz="4" w:space="0" w:color="auto"/>
            </w:tcBorders>
            <w:vAlign w:val="center"/>
          </w:tcPr>
          <w:p w14:paraId="54EFE0DD" w14:textId="77777777" w:rsidR="00E579B9" w:rsidRDefault="00E579B9">
            <w:pPr>
              <w:pStyle w:val="aa"/>
            </w:pPr>
          </w:p>
        </w:tc>
        <w:tc>
          <w:tcPr>
            <w:tcW w:w="1635" w:type="dxa"/>
            <w:tcBorders>
              <w:bottom w:val="single" w:sz="4" w:space="0" w:color="auto"/>
            </w:tcBorders>
            <w:vAlign w:val="center"/>
          </w:tcPr>
          <w:p w14:paraId="11925B59" w14:textId="77777777" w:rsidR="00E579B9" w:rsidRDefault="006A1398">
            <w:pPr>
              <w:pStyle w:val="aa"/>
            </w:pPr>
            <w:r>
              <w:rPr>
                <w:rFonts w:hint="eastAsia"/>
              </w:rPr>
              <w:t>表土</w:t>
            </w:r>
          </w:p>
        </w:tc>
        <w:tc>
          <w:tcPr>
            <w:tcW w:w="5273" w:type="dxa"/>
            <w:tcBorders>
              <w:bottom w:val="single" w:sz="4" w:space="0" w:color="auto"/>
            </w:tcBorders>
            <w:vAlign w:val="center"/>
          </w:tcPr>
          <w:p w14:paraId="36C72FBD" w14:textId="77777777" w:rsidR="00E579B9" w:rsidRDefault="006A1398">
            <w:pPr>
              <w:pStyle w:val="aa"/>
              <w:rPr>
                <w:rFonts w:cs="Times New Roman"/>
              </w:rPr>
            </w:pPr>
            <w:r>
              <w:t>表土堆存于</w:t>
            </w:r>
            <w:r>
              <w:rPr>
                <w:rFonts w:hint="eastAsia"/>
              </w:rPr>
              <w:t>表土场</w:t>
            </w:r>
            <w:r>
              <w:t>，用于生态恢复</w:t>
            </w:r>
          </w:p>
        </w:tc>
        <w:tc>
          <w:tcPr>
            <w:tcW w:w="2703" w:type="dxa"/>
            <w:tcBorders>
              <w:bottom w:val="single" w:sz="4" w:space="0" w:color="auto"/>
            </w:tcBorders>
            <w:vAlign w:val="center"/>
          </w:tcPr>
          <w:p w14:paraId="127F274D" w14:textId="77777777" w:rsidR="00E579B9" w:rsidRDefault="006A1398">
            <w:pPr>
              <w:pStyle w:val="aa"/>
            </w:pPr>
            <w:r>
              <w:rPr>
                <w:rFonts w:hint="eastAsia"/>
              </w:rPr>
              <w:t>后期用于生态恢复覆土</w:t>
            </w:r>
          </w:p>
        </w:tc>
        <w:tc>
          <w:tcPr>
            <w:tcW w:w="2230" w:type="dxa"/>
            <w:vMerge/>
            <w:tcBorders>
              <w:bottom w:val="single" w:sz="4" w:space="0" w:color="auto"/>
            </w:tcBorders>
            <w:vAlign w:val="center"/>
          </w:tcPr>
          <w:p w14:paraId="33136CF2" w14:textId="77777777" w:rsidR="00E579B9" w:rsidRDefault="00E579B9">
            <w:pPr>
              <w:pStyle w:val="aa"/>
            </w:pPr>
          </w:p>
        </w:tc>
      </w:tr>
      <w:tr w:rsidR="00E579B9" w14:paraId="6021589E" w14:textId="77777777">
        <w:trPr>
          <w:trHeight w:val="296"/>
          <w:jc w:val="center"/>
        </w:trPr>
        <w:tc>
          <w:tcPr>
            <w:tcW w:w="694" w:type="dxa"/>
            <w:vMerge/>
            <w:vAlign w:val="center"/>
          </w:tcPr>
          <w:p w14:paraId="497C479B" w14:textId="77777777" w:rsidR="00E579B9" w:rsidRDefault="00E579B9">
            <w:pPr>
              <w:pStyle w:val="aa"/>
            </w:pPr>
          </w:p>
        </w:tc>
        <w:tc>
          <w:tcPr>
            <w:tcW w:w="627" w:type="dxa"/>
            <w:vMerge/>
            <w:vAlign w:val="center"/>
          </w:tcPr>
          <w:p w14:paraId="3FD3EA03" w14:textId="77777777" w:rsidR="00E579B9" w:rsidRDefault="00E579B9">
            <w:pPr>
              <w:pStyle w:val="aa"/>
            </w:pPr>
          </w:p>
        </w:tc>
        <w:tc>
          <w:tcPr>
            <w:tcW w:w="1635" w:type="dxa"/>
            <w:vAlign w:val="center"/>
          </w:tcPr>
          <w:p w14:paraId="3FC553BA" w14:textId="77777777" w:rsidR="00E579B9" w:rsidRDefault="006A1398">
            <w:pPr>
              <w:pStyle w:val="aa"/>
            </w:pPr>
            <w:r>
              <w:rPr>
                <w:rFonts w:hint="eastAsia"/>
              </w:rPr>
              <w:t>生活垃圾</w:t>
            </w:r>
          </w:p>
        </w:tc>
        <w:tc>
          <w:tcPr>
            <w:tcW w:w="5273" w:type="dxa"/>
            <w:vAlign w:val="center"/>
          </w:tcPr>
          <w:p w14:paraId="1029C9DC" w14:textId="77777777" w:rsidR="00E579B9" w:rsidRDefault="006A1398">
            <w:pPr>
              <w:pStyle w:val="aa"/>
              <w:rPr>
                <w:rFonts w:cs="Times New Roman"/>
              </w:rPr>
            </w:pPr>
            <w:r>
              <w:t>设置垃圾箱，</w:t>
            </w:r>
            <w:r>
              <w:rPr>
                <w:rFonts w:hint="eastAsia"/>
              </w:rPr>
              <w:t>集中收集后</w:t>
            </w:r>
            <w:r>
              <w:t>运至垃圾中转站统一处理</w:t>
            </w:r>
          </w:p>
        </w:tc>
        <w:tc>
          <w:tcPr>
            <w:tcW w:w="2703" w:type="dxa"/>
            <w:vAlign w:val="center"/>
          </w:tcPr>
          <w:p w14:paraId="2E31B4BF" w14:textId="77777777" w:rsidR="00E579B9" w:rsidRDefault="006A1398">
            <w:pPr>
              <w:pStyle w:val="aa"/>
            </w:pPr>
            <w:r>
              <w:rPr>
                <w:rFonts w:hint="eastAsia"/>
              </w:rPr>
              <w:t>垃圾箱</w:t>
            </w:r>
          </w:p>
        </w:tc>
        <w:tc>
          <w:tcPr>
            <w:tcW w:w="2230" w:type="dxa"/>
            <w:vMerge/>
            <w:vAlign w:val="center"/>
          </w:tcPr>
          <w:p w14:paraId="43EFC33A" w14:textId="77777777" w:rsidR="00E579B9" w:rsidRDefault="00E579B9">
            <w:pPr>
              <w:pStyle w:val="aa"/>
            </w:pPr>
          </w:p>
        </w:tc>
      </w:tr>
      <w:tr w:rsidR="00E579B9" w14:paraId="7A6D3192" w14:textId="77777777">
        <w:trPr>
          <w:trHeight w:val="296"/>
          <w:jc w:val="center"/>
        </w:trPr>
        <w:tc>
          <w:tcPr>
            <w:tcW w:w="694" w:type="dxa"/>
            <w:vMerge/>
            <w:tcBorders>
              <w:top w:val="single" w:sz="4" w:space="0" w:color="auto"/>
              <w:bottom w:val="single" w:sz="4" w:space="0" w:color="auto"/>
              <w:right w:val="single" w:sz="4" w:space="0" w:color="auto"/>
            </w:tcBorders>
            <w:vAlign w:val="center"/>
          </w:tcPr>
          <w:p w14:paraId="7A518959" w14:textId="77777777" w:rsidR="00E579B9" w:rsidRDefault="00E579B9">
            <w:pPr>
              <w:pStyle w:val="aa"/>
            </w:pPr>
          </w:p>
        </w:tc>
        <w:tc>
          <w:tcPr>
            <w:tcW w:w="627" w:type="dxa"/>
            <w:vMerge/>
            <w:tcBorders>
              <w:top w:val="single" w:sz="4" w:space="0" w:color="auto"/>
              <w:left w:val="single" w:sz="4" w:space="0" w:color="auto"/>
              <w:bottom w:val="single" w:sz="4" w:space="0" w:color="auto"/>
              <w:right w:val="single" w:sz="4" w:space="0" w:color="auto"/>
            </w:tcBorders>
            <w:vAlign w:val="center"/>
          </w:tcPr>
          <w:p w14:paraId="250F2760" w14:textId="77777777" w:rsidR="00E579B9" w:rsidRDefault="00E579B9">
            <w:pPr>
              <w:pStyle w:val="aa"/>
            </w:pPr>
          </w:p>
        </w:tc>
        <w:tc>
          <w:tcPr>
            <w:tcW w:w="1635" w:type="dxa"/>
            <w:tcBorders>
              <w:top w:val="single" w:sz="4" w:space="0" w:color="auto"/>
              <w:left w:val="single" w:sz="4" w:space="0" w:color="auto"/>
              <w:bottom w:val="single" w:sz="4" w:space="0" w:color="auto"/>
              <w:right w:val="single" w:sz="4" w:space="0" w:color="auto"/>
            </w:tcBorders>
            <w:vAlign w:val="center"/>
          </w:tcPr>
          <w:p w14:paraId="51665415" w14:textId="77777777" w:rsidR="00E579B9" w:rsidRDefault="006A1398">
            <w:pPr>
              <w:spacing w:line="360" w:lineRule="exact"/>
              <w:ind w:firstLineChars="0" w:firstLine="0"/>
              <w:jc w:val="center"/>
              <w:rPr>
                <w:rFonts w:cs="Times New Roman"/>
                <w:sz w:val="21"/>
                <w:szCs w:val="21"/>
              </w:rPr>
            </w:pPr>
            <w:r>
              <w:rPr>
                <w:sz w:val="21"/>
                <w:szCs w:val="21"/>
              </w:rPr>
              <w:t>袋式除尘器收集粉尘</w:t>
            </w:r>
          </w:p>
        </w:tc>
        <w:tc>
          <w:tcPr>
            <w:tcW w:w="5273" w:type="dxa"/>
            <w:tcBorders>
              <w:top w:val="single" w:sz="4" w:space="0" w:color="auto"/>
              <w:left w:val="single" w:sz="4" w:space="0" w:color="auto"/>
              <w:bottom w:val="single" w:sz="4" w:space="0" w:color="auto"/>
              <w:right w:val="single" w:sz="4" w:space="0" w:color="auto"/>
            </w:tcBorders>
            <w:vAlign w:val="center"/>
          </w:tcPr>
          <w:p w14:paraId="5DB48B09" w14:textId="77777777" w:rsidR="00E579B9" w:rsidRDefault="006A1398">
            <w:pPr>
              <w:spacing w:line="360" w:lineRule="exact"/>
              <w:ind w:firstLineChars="0" w:firstLine="0"/>
              <w:jc w:val="center"/>
              <w:rPr>
                <w:sz w:val="21"/>
                <w:szCs w:val="21"/>
              </w:rPr>
            </w:pPr>
            <w:r>
              <w:rPr>
                <w:rFonts w:hint="eastAsia"/>
                <w:sz w:val="21"/>
                <w:szCs w:val="21"/>
              </w:rPr>
              <w:t>掺入石粉中作为产品外售</w:t>
            </w:r>
          </w:p>
        </w:tc>
        <w:tc>
          <w:tcPr>
            <w:tcW w:w="2703" w:type="dxa"/>
            <w:tcBorders>
              <w:top w:val="single" w:sz="4" w:space="0" w:color="auto"/>
              <w:left w:val="single" w:sz="4" w:space="0" w:color="auto"/>
              <w:bottom w:val="single" w:sz="4" w:space="0" w:color="auto"/>
              <w:right w:val="single" w:sz="4" w:space="0" w:color="auto"/>
            </w:tcBorders>
            <w:vAlign w:val="center"/>
          </w:tcPr>
          <w:p w14:paraId="7246B733" w14:textId="77777777" w:rsidR="00E579B9" w:rsidRDefault="006A1398">
            <w:pPr>
              <w:spacing w:line="360" w:lineRule="exact"/>
              <w:ind w:firstLineChars="0" w:firstLine="0"/>
              <w:jc w:val="center"/>
              <w:rPr>
                <w:sz w:val="21"/>
                <w:szCs w:val="21"/>
              </w:rPr>
            </w:pPr>
            <w:r>
              <w:rPr>
                <w:sz w:val="21"/>
                <w:szCs w:val="21"/>
              </w:rPr>
              <w:t>掺入产品中外售</w:t>
            </w:r>
          </w:p>
        </w:tc>
        <w:tc>
          <w:tcPr>
            <w:tcW w:w="2230" w:type="dxa"/>
            <w:vMerge/>
            <w:tcBorders>
              <w:top w:val="single" w:sz="4" w:space="0" w:color="auto"/>
              <w:left w:val="single" w:sz="4" w:space="0" w:color="auto"/>
              <w:bottom w:val="single" w:sz="4" w:space="0" w:color="auto"/>
            </w:tcBorders>
            <w:vAlign w:val="center"/>
          </w:tcPr>
          <w:p w14:paraId="1DEF250D" w14:textId="77777777" w:rsidR="00E579B9" w:rsidRDefault="00E579B9">
            <w:pPr>
              <w:pStyle w:val="aa"/>
            </w:pPr>
          </w:p>
        </w:tc>
      </w:tr>
      <w:tr w:rsidR="00E579B9" w14:paraId="223688F5" w14:textId="77777777">
        <w:trPr>
          <w:jc w:val="center"/>
        </w:trPr>
        <w:tc>
          <w:tcPr>
            <w:tcW w:w="694" w:type="dxa"/>
            <w:vAlign w:val="center"/>
          </w:tcPr>
          <w:p w14:paraId="4A13A3AD" w14:textId="77777777" w:rsidR="00E579B9" w:rsidRDefault="006A1398">
            <w:pPr>
              <w:pStyle w:val="aa"/>
            </w:pPr>
            <w:r>
              <w:t>闭矿期</w:t>
            </w:r>
          </w:p>
        </w:tc>
        <w:tc>
          <w:tcPr>
            <w:tcW w:w="627" w:type="dxa"/>
            <w:vAlign w:val="center"/>
          </w:tcPr>
          <w:p w14:paraId="6E7B0494" w14:textId="77777777" w:rsidR="00E579B9" w:rsidRDefault="006A1398">
            <w:pPr>
              <w:pStyle w:val="aa"/>
            </w:pPr>
            <w:r>
              <w:t>生态环境</w:t>
            </w:r>
          </w:p>
        </w:tc>
        <w:tc>
          <w:tcPr>
            <w:tcW w:w="1635" w:type="dxa"/>
            <w:vAlign w:val="center"/>
          </w:tcPr>
          <w:p w14:paraId="006B8EB7" w14:textId="77777777" w:rsidR="00E579B9" w:rsidRDefault="006A1398">
            <w:pPr>
              <w:pStyle w:val="aa"/>
            </w:pPr>
            <w:r>
              <w:t>采区</w:t>
            </w:r>
            <w:r>
              <w:rPr>
                <w:rFonts w:hint="eastAsia"/>
              </w:rPr>
              <w:t>、运输道路、办公区、表土场</w:t>
            </w:r>
          </w:p>
        </w:tc>
        <w:tc>
          <w:tcPr>
            <w:tcW w:w="5273" w:type="dxa"/>
            <w:vAlign w:val="center"/>
          </w:tcPr>
          <w:p w14:paraId="394EBA27" w14:textId="77777777" w:rsidR="00E579B9" w:rsidRDefault="006A1398">
            <w:pPr>
              <w:pStyle w:val="aa"/>
            </w:pPr>
            <w:r>
              <w:rPr>
                <w:lang w:val="zh-CN"/>
              </w:rPr>
              <w:t>服</w:t>
            </w:r>
            <w:r>
              <w:t>工程期满后，对采区进行清理、覆土，进行生态恢复恢复。</w:t>
            </w:r>
          </w:p>
        </w:tc>
        <w:tc>
          <w:tcPr>
            <w:tcW w:w="2703" w:type="dxa"/>
            <w:vAlign w:val="center"/>
          </w:tcPr>
          <w:p w14:paraId="1C484270" w14:textId="77777777" w:rsidR="00E579B9" w:rsidRDefault="006A1398">
            <w:pPr>
              <w:pStyle w:val="aa"/>
            </w:pPr>
            <w:r>
              <w:rPr>
                <w:lang w:val="zh-CN"/>
              </w:rPr>
              <w:t>生态恢复面积</w:t>
            </w:r>
            <w:r>
              <w:t>35.3167hm</w:t>
            </w:r>
            <w:r>
              <w:rPr>
                <w:vertAlign w:val="superscript"/>
              </w:rPr>
              <w:t>2</w:t>
            </w:r>
          </w:p>
        </w:tc>
        <w:tc>
          <w:tcPr>
            <w:tcW w:w="2230" w:type="dxa"/>
            <w:vAlign w:val="center"/>
          </w:tcPr>
          <w:p w14:paraId="1B298095" w14:textId="77777777" w:rsidR="00E579B9" w:rsidRDefault="006A1398">
            <w:pPr>
              <w:pStyle w:val="aa"/>
            </w:pPr>
            <w:r>
              <w:t>重建生态系统，减少水土流失</w:t>
            </w:r>
          </w:p>
        </w:tc>
      </w:tr>
    </w:tbl>
    <w:p w14:paraId="2130D4A8" w14:textId="77777777" w:rsidR="00E579B9" w:rsidRDefault="00E579B9"/>
    <w:p w14:paraId="695AE69A" w14:textId="77777777" w:rsidR="00E579B9" w:rsidRDefault="00E579B9">
      <w:pPr>
        <w:sectPr w:rsidR="00E579B9">
          <w:pgSz w:w="16838" w:h="11906" w:orient="landscape"/>
          <w:pgMar w:top="1588" w:right="1701" w:bottom="1588" w:left="1985" w:header="1077" w:footer="680" w:gutter="0"/>
          <w:cols w:space="720"/>
          <w:docGrid w:type="lines" w:linePitch="326"/>
        </w:sectPr>
      </w:pPr>
    </w:p>
    <w:p w14:paraId="5F4D9D47" w14:textId="77777777" w:rsidR="00E579B9" w:rsidRDefault="006A1398">
      <w:pPr>
        <w:pStyle w:val="1"/>
      </w:pPr>
      <w:bookmarkStart w:id="453" w:name="_Toc535847583"/>
      <w:bookmarkStart w:id="454" w:name="_Toc33021821"/>
      <w:r>
        <w:rPr>
          <w:rFonts w:hint="eastAsia"/>
        </w:rPr>
        <w:lastRenderedPageBreak/>
        <w:t>第八章环境经济损益分析</w:t>
      </w:r>
      <w:bookmarkEnd w:id="453"/>
      <w:bookmarkEnd w:id="454"/>
    </w:p>
    <w:p w14:paraId="3F9785E2" w14:textId="77777777" w:rsidR="00E579B9" w:rsidRDefault="006A1398">
      <w:pPr>
        <w:pStyle w:val="2"/>
        <w:ind w:firstLine="560"/>
      </w:pPr>
      <w:bookmarkStart w:id="455" w:name="_Toc535847584"/>
      <w:bookmarkStart w:id="456" w:name="_Toc33021822"/>
      <w:r>
        <w:t>8</w:t>
      </w:r>
      <w:r>
        <w:rPr>
          <w:rFonts w:hint="eastAsia"/>
        </w:rPr>
        <w:t>.1</w:t>
      </w:r>
      <w:r>
        <w:rPr>
          <w:rFonts w:hint="eastAsia"/>
        </w:rPr>
        <w:t>环境经济损益分析的目的</w:t>
      </w:r>
      <w:bookmarkEnd w:id="455"/>
      <w:bookmarkEnd w:id="456"/>
    </w:p>
    <w:p w14:paraId="32F807D1" w14:textId="77777777" w:rsidR="00E579B9" w:rsidRDefault="006A1398">
      <w:r>
        <w:t>环境经济损益分析采用定量及定性分析相结合的方式，综合评价建设项目的社会效益、经济效益和环境效益，并重点对项目环境保护措施费用效益进行分析论证，从而评价整个项目实施后对环境的总体影响及环保措施方案的经济合理性，为项目建设提供可靠依据。</w:t>
      </w:r>
    </w:p>
    <w:p w14:paraId="7050B929" w14:textId="77777777" w:rsidR="00E579B9" w:rsidRDefault="006A1398">
      <w:pPr>
        <w:pStyle w:val="2"/>
        <w:ind w:firstLine="560"/>
      </w:pPr>
      <w:bookmarkStart w:id="457" w:name="_Toc535847585"/>
      <w:bookmarkStart w:id="458" w:name="_Toc33021823"/>
      <w:r>
        <w:rPr>
          <w:rFonts w:hint="eastAsia"/>
        </w:rPr>
        <w:t>8.2</w:t>
      </w:r>
      <w:r>
        <w:rPr>
          <w:rFonts w:hint="eastAsia"/>
        </w:rPr>
        <w:t>项目社会效益简要分析</w:t>
      </w:r>
      <w:bookmarkEnd w:id="457"/>
      <w:bookmarkEnd w:id="458"/>
    </w:p>
    <w:p w14:paraId="63DC4ABC" w14:textId="77777777" w:rsidR="00E579B9" w:rsidRDefault="006A1398">
      <w:r>
        <w:rPr>
          <w:rFonts w:hint="eastAsia"/>
        </w:rPr>
        <w:t>本项目建设必定会对矿区周围带来社会效益，简要分析如下：</w:t>
      </w:r>
    </w:p>
    <w:p w14:paraId="152BFD6B" w14:textId="77777777" w:rsidR="00E579B9" w:rsidRDefault="006A1398">
      <w:r>
        <w:rPr>
          <w:rFonts w:hint="eastAsia"/>
        </w:rPr>
        <w:t>（</w:t>
      </w:r>
      <w:r>
        <w:rPr>
          <w:rFonts w:hint="eastAsia"/>
        </w:rPr>
        <w:t>1</w:t>
      </w:r>
      <w:r>
        <w:rPr>
          <w:rFonts w:hint="eastAsia"/>
        </w:rPr>
        <w:t>）</w:t>
      </w:r>
      <w:r>
        <w:t>促进地区经济协调发展和保持社会稳定</w:t>
      </w:r>
    </w:p>
    <w:p w14:paraId="53A5B3A8" w14:textId="77777777" w:rsidR="00E579B9" w:rsidRDefault="006A1398">
      <w:r>
        <w:t>近几年来，</w:t>
      </w:r>
      <w:r>
        <w:rPr>
          <w:rFonts w:hint="eastAsia"/>
        </w:rPr>
        <w:t>驻马店市</w:t>
      </w:r>
      <w:r>
        <w:t>工农业生产得到了较快发展，产业结构有较大的调整，逐渐趋向合理，逐步由工业化初级阶段向工业化成熟阶段转变。本项目对进一步优化地区经济结构，推动地区经济发展有重要意义。</w:t>
      </w:r>
    </w:p>
    <w:p w14:paraId="16EA204E" w14:textId="77777777" w:rsidR="00E579B9" w:rsidRDefault="006A1398">
      <w:r>
        <w:rPr>
          <w:rFonts w:hint="eastAsia"/>
        </w:rPr>
        <w:t>（</w:t>
      </w:r>
      <w:r>
        <w:rPr>
          <w:rFonts w:hint="eastAsia"/>
        </w:rPr>
        <w:t>2</w:t>
      </w:r>
      <w:r>
        <w:rPr>
          <w:rFonts w:hint="eastAsia"/>
        </w:rPr>
        <w:t>）土地资源及农业生产结构</w:t>
      </w:r>
    </w:p>
    <w:p w14:paraId="2EE615DF" w14:textId="77777777" w:rsidR="00E579B9" w:rsidRDefault="006A1398">
      <w:r>
        <w:rPr>
          <w:rFonts w:hint="eastAsia"/>
        </w:rPr>
        <w:t>本项目建设用地主要占地为工矿用地，占用土地面积较小，对区域范围内土地利用格局及农业生产结构不会产生影响。</w:t>
      </w:r>
    </w:p>
    <w:p w14:paraId="4BE1D511" w14:textId="77777777" w:rsidR="00E579B9" w:rsidRDefault="006A1398">
      <w:r>
        <w:rPr>
          <w:rFonts w:hint="eastAsia"/>
        </w:rPr>
        <w:t>（</w:t>
      </w:r>
      <w:r>
        <w:rPr>
          <w:rFonts w:hint="eastAsia"/>
        </w:rPr>
        <w:t>3</w:t>
      </w:r>
      <w:r>
        <w:rPr>
          <w:rFonts w:hint="eastAsia"/>
        </w:rPr>
        <w:t>）就业收入</w:t>
      </w:r>
    </w:p>
    <w:p w14:paraId="31B7CAD6" w14:textId="77777777" w:rsidR="00E579B9" w:rsidRDefault="006A1398">
      <w:r>
        <w:rPr>
          <w:rFonts w:hint="eastAsia"/>
        </w:rPr>
        <w:t>本项目建设期和运营期的劳动力主要来自周边村民，劳动力充足。本项目的建设，将给当地提供部分的就业机会，增加劳动利用率。矿山建成投产后，对改变当地产业结构，带动当地加工业、交通运输业和第三产业等的发展起到积极的促进作用，有利于提高当地居民的生活水平。</w:t>
      </w:r>
    </w:p>
    <w:p w14:paraId="72ED4F87" w14:textId="77777777" w:rsidR="00E579B9" w:rsidRDefault="006A1398">
      <w:r>
        <w:rPr>
          <w:rFonts w:hint="eastAsia"/>
        </w:rPr>
        <w:t>（</w:t>
      </w:r>
      <w:r>
        <w:rPr>
          <w:rFonts w:hint="eastAsia"/>
        </w:rPr>
        <w:t>4</w:t>
      </w:r>
      <w:r>
        <w:rPr>
          <w:rFonts w:hint="eastAsia"/>
        </w:rPr>
        <w:t>）</w:t>
      </w:r>
      <w:r>
        <w:t>对地区经济发展具有深层次影响</w:t>
      </w:r>
    </w:p>
    <w:p w14:paraId="1510DB71" w14:textId="77777777" w:rsidR="00E579B9" w:rsidRDefault="006A1398">
      <w:r>
        <w:t>开发本项目将能使区域</w:t>
      </w:r>
      <w:r>
        <w:rPr>
          <w:rFonts w:hint="eastAsia"/>
        </w:rPr>
        <w:t>建筑石料用大理岩</w:t>
      </w:r>
      <w:r>
        <w:t>矿资源得到充分利用，带动地方其它行业的发展。加大生产运营期的环保生态保护投入，项目将建设成生态、绿色、环境友好</w:t>
      </w:r>
      <w:r>
        <w:rPr>
          <w:rFonts w:hint="eastAsia"/>
        </w:rPr>
        <w:t>型矿山开采加工示范工程，保护生态环境，造福地方百姓。</w:t>
      </w:r>
    </w:p>
    <w:p w14:paraId="42BF3905" w14:textId="77777777" w:rsidR="00E579B9" w:rsidRDefault="006A1398">
      <w:r>
        <w:t>综上所述，本项目建设具有较好的社会效益，是积极可行的。</w:t>
      </w:r>
    </w:p>
    <w:p w14:paraId="3CFB4CC8" w14:textId="77777777" w:rsidR="00E579B9" w:rsidRDefault="006A1398">
      <w:pPr>
        <w:pStyle w:val="2"/>
        <w:ind w:firstLine="560"/>
      </w:pPr>
      <w:bookmarkStart w:id="459" w:name="_Toc535847586"/>
      <w:bookmarkStart w:id="460" w:name="_Toc33021824"/>
      <w:r>
        <w:rPr>
          <w:rFonts w:hint="eastAsia"/>
        </w:rPr>
        <w:lastRenderedPageBreak/>
        <w:t>8.3</w:t>
      </w:r>
      <w:r>
        <w:rPr>
          <w:rFonts w:hint="eastAsia"/>
        </w:rPr>
        <w:t>项目经济效益简要分析</w:t>
      </w:r>
      <w:bookmarkEnd w:id="459"/>
      <w:bookmarkEnd w:id="460"/>
    </w:p>
    <w:p w14:paraId="0FBD77F1" w14:textId="77777777" w:rsidR="00E579B9" w:rsidRDefault="006A1398">
      <w:r>
        <w:rPr>
          <w:rFonts w:hint="eastAsia"/>
        </w:rPr>
        <w:t>本项目运营期年销售收入为</w:t>
      </w:r>
      <w:r>
        <w:rPr>
          <w:rFonts w:hint="eastAsia"/>
        </w:rPr>
        <w:t>11500</w:t>
      </w:r>
      <w:r>
        <w:rPr>
          <w:rFonts w:hint="eastAsia"/>
        </w:rPr>
        <w:t>万元，年总成本</w:t>
      </w:r>
      <w:r>
        <w:rPr>
          <w:rFonts w:hint="eastAsia"/>
        </w:rPr>
        <w:t>5867.3</w:t>
      </w:r>
      <w:r>
        <w:rPr>
          <w:rFonts w:hint="eastAsia"/>
        </w:rPr>
        <w:t>万元；年销售税金及附加估算为</w:t>
      </w:r>
      <w:r>
        <w:rPr>
          <w:rFonts w:hint="eastAsia"/>
        </w:rPr>
        <w:t>852.04</w:t>
      </w:r>
      <w:r>
        <w:rPr>
          <w:rFonts w:hint="eastAsia"/>
        </w:rPr>
        <w:t>万元；运营期年利润总额</w:t>
      </w:r>
      <w:r>
        <w:rPr>
          <w:rFonts w:hint="eastAsia"/>
        </w:rPr>
        <w:t>4780.66</w:t>
      </w:r>
      <w:r>
        <w:rPr>
          <w:rFonts w:hint="eastAsia"/>
        </w:rPr>
        <w:t>万元；企业年所得税额</w:t>
      </w:r>
      <w:r>
        <w:rPr>
          <w:rFonts w:hint="eastAsia"/>
        </w:rPr>
        <w:t>1195.17</w:t>
      </w:r>
      <w:r>
        <w:rPr>
          <w:rFonts w:hint="eastAsia"/>
        </w:rPr>
        <w:t>万元；运营期年净利润总额</w:t>
      </w:r>
      <w:r>
        <w:rPr>
          <w:rFonts w:hint="eastAsia"/>
        </w:rPr>
        <w:t>3585.49</w:t>
      </w:r>
      <w:r>
        <w:rPr>
          <w:rFonts w:hint="eastAsia"/>
        </w:rPr>
        <w:t>万元；静态投资回收期</w:t>
      </w:r>
      <w:r>
        <w:rPr>
          <w:rFonts w:hint="eastAsia"/>
        </w:rPr>
        <w:t>2.6</w:t>
      </w:r>
      <w:r>
        <w:rPr>
          <w:rFonts w:hint="eastAsia"/>
        </w:rPr>
        <w:t>年。以上指标说明，本项目投产后经济效益较好，在生产经营期间，有一定的盈利能力。因此，该项目是可行的。</w:t>
      </w:r>
    </w:p>
    <w:p w14:paraId="72AEFF83" w14:textId="77777777" w:rsidR="00E579B9" w:rsidRDefault="006A1398">
      <w:r>
        <w:t>本项目</w:t>
      </w:r>
      <w:r>
        <w:rPr>
          <w:rFonts w:hint="eastAsia"/>
        </w:rPr>
        <w:t>主要经济指标</w:t>
      </w:r>
      <w:r>
        <w:t>详见表</w:t>
      </w:r>
      <w:r>
        <w:t>8.</w:t>
      </w:r>
      <w:r>
        <w:rPr>
          <w:rFonts w:hint="eastAsia"/>
        </w:rPr>
        <w:t>3</w:t>
      </w:r>
      <w:r>
        <w:t>-1</w:t>
      </w:r>
      <w:r>
        <w:t>。</w:t>
      </w:r>
    </w:p>
    <w:p w14:paraId="3E8D2FD0" w14:textId="77777777" w:rsidR="00E579B9" w:rsidRDefault="006A1398">
      <w:pPr>
        <w:pStyle w:val="21"/>
      </w:pPr>
      <w:r>
        <w:t>表</w:t>
      </w:r>
      <w:r>
        <w:t>8.</w:t>
      </w:r>
      <w:r>
        <w:rPr>
          <w:rFonts w:hint="eastAsia"/>
        </w:rPr>
        <w:t>3</w:t>
      </w:r>
      <w:r>
        <w:t>-1</w:t>
      </w:r>
      <w:r>
        <w:t>主要经济指标一览表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75"/>
        <w:gridCol w:w="2835"/>
        <w:gridCol w:w="993"/>
        <w:gridCol w:w="2438"/>
        <w:gridCol w:w="2005"/>
      </w:tblGrid>
      <w:tr w:rsidR="00E579B9" w14:paraId="28F8117E" w14:textId="77777777">
        <w:trPr>
          <w:cantSplit/>
          <w:trHeight w:val="20"/>
          <w:jc w:val="center"/>
        </w:trPr>
        <w:tc>
          <w:tcPr>
            <w:tcW w:w="675" w:type="dxa"/>
            <w:shd w:val="clear" w:color="auto" w:fill="auto"/>
            <w:vAlign w:val="center"/>
          </w:tcPr>
          <w:p w14:paraId="497015B4" w14:textId="77777777" w:rsidR="00E579B9" w:rsidRDefault="006A1398">
            <w:pPr>
              <w:pStyle w:val="aa"/>
            </w:pPr>
            <w:r>
              <w:t>序号</w:t>
            </w:r>
          </w:p>
        </w:tc>
        <w:tc>
          <w:tcPr>
            <w:tcW w:w="2835" w:type="dxa"/>
            <w:shd w:val="clear" w:color="auto" w:fill="auto"/>
            <w:vAlign w:val="center"/>
          </w:tcPr>
          <w:p w14:paraId="6BFD7DBE" w14:textId="77777777" w:rsidR="00E579B9" w:rsidRDefault="006A1398">
            <w:pPr>
              <w:pStyle w:val="aa"/>
            </w:pPr>
            <w:r>
              <w:t>名称</w:t>
            </w:r>
          </w:p>
        </w:tc>
        <w:tc>
          <w:tcPr>
            <w:tcW w:w="993" w:type="dxa"/>
            <w:shd w:val="clear" w:color="auto" w:fill="auto"/>
            <w:vAlign w:val="center"/>
          </w:tcPr>
          <w:p w14:paraId="76CDDCAE" w14:textId="77777777" w:rsidR="00E579B9" w:rsidRDefault="006A1398">
            <w:pPr>
              <w:pStyle w:val="aa"/>
            </w:pPr>
            <w:r>
              <w:t>单位</w:t>
            </w:r>
          </w:p>
        </w:tc>
        <w:tc>
          <w:tcPr>
            <w:tcW w:w="2438" w:type="dxa"/>
            <w:shd w:val="clear" w:color="auto" w:fill="auto"/>
            <w:vAlign w:val="center"/>
          </w:tcPr>
          <w:p w14:paraId="5297E663" w14:textId="77777777" w:rsidR="00E579B9" w:rsidRDefault="006A1398">
            <w:pPr>
              <w:pStyle w:val="aa"/>
            </w:pPr>
            <w:r>
              <w:t>指标</w:t>
            </w:r>
          </w:p>
        </w:tc>
        <w:tc>
          <w:tcPr>
            <w:tcW w:w="2005" w:type="dxa"/>
            <w:shd w:val="clear" w:color="auto" w:fill="auto"/>
            <w:vAlign w:val="center"/>
          </w:tcPr>
          <w:p w14:paraId="286E4274" w14:textId="77777777" w:rsidR="00E579B9" w:rsidRDefault="006A1398">
            <w:pPr>
              <w:pStyle w:val="aa"/>
            </w:pPr>
            <w:r>
              <w:t>备注</w:t>
            </w:r>
          </w:p>
        </w:tc>
      </w:tr>
      <w:tr w:rsidR="00E579B9" w14:paraId="42D9B289" w14:textId="77777777">
        <w:trPr>
          <w:cantSplit/>
          <w:trHeight w:val="20"/>
          <w:jc w:val="center"/>
        </w:trPr>
        <w:tc>
          <w:tcPr>
            <w:tcW w:w="675" w:type="dxa"/>
            <w:shd w:val="clear" w:color="auto" w:fill="auto"/>
            <w:vAlign w:val="center"/>
          </w:tcPr>
          <w:p w14:paraId="4FC3CED6" w14:textId="77777777" w:rsidR="00E579B9" w:rsidRDefault="00E579B9">
            <w:pPr>
              <w:pStyle w:val="aa"/>
              <w:numPr>
                <w:ilvl w:val="0"/>
                <w:numId w:val="13"/>
              </w:numPr>
            </w:pPr>
          </w:p>
        </w:tc>
        <w:tc>
          <w:tcPr>
            <w:tcW w:w="2835" w:type="dxa"/>
            <w:shd w:val="clear" w:color="auto" w:fill="auto"/>
            <w:vAlign w:val="center"/>
          </w:tcPr>
          <w:p w14:paraId="25E2CD32" w14:textId="77777777" w:rsidR="00E579B9" w:rsidRDefault="006A1398">
            <w:pPr>
              <w:pStyle w:val="aa"/>
            </w:pPr>
            <w:r>
              <w:rPr>
                <w:rFonts w:hint="eastAsia"/>
              </w:rPr>
              <w:t>矿床类型</w:t>
            </w:r>
          </w:p>
        </w:tc>
        <w:tc>
          <w:tcPr>
            <w:tcW w:w="993" w:type="dxa"/>
            <w:shd w:val="clear" w:color="auto" w:fill="auto"/>
            <w:vAlign w:val="center"/>
          </w:tcPr>
          <w:p w14:paraId="08E6CEC2" w14:textId="77777777" w:rsidR="00E579B9" w:rsidRDefault="006A1398">
            <w:pPr>
              <w:pStyle w:val="aa"/>
            </w:pPr>
            <w:r>
              <w:rPr>
                <w:rFonts w:hint="eastAsia"/>
              </w:rPr>
              <w:t>/</w:t>
            </w:r>
          </w:p>
        </w:tc>
        <w:tc>
          <w:tcPr>
            <w:tcW w:w="2438" w:type="dxa"/>
            <w:shd w:val="clear" w:color="auto" w:fill="auto"/>
            <w:vAlign w:val="center"/>
          </w:tcPr>
          <w:p w14:paraId="1996A8EB" w14:textId="77777777" w:rsidR="00E579B9" w:rsidRDefault="006A1398">
            <w:pPr>
              <w:pStyle w:val="aa"/>
            </w:pPr>
            <w:r>
              <w:rPr>
                <w:rFonts w:hint="eastAsia"/>
              </w:rPr>
              <w:t>/</w:t>
            </w:r>
          </w:p>
        </w:tc>
        <w:tc>
          <w:tcPr>
            <w:tcW w:w="2005" w:type="dxa"/>
            <w:shd w:val="clear" w:color="auto" w:fill="auto"/>
            <w:vAlign w:val="center"/>
          </w:tcPr>
          <w:p w14:paraId="43DAFAF0" w14:textId="77777777" w:rsidR="00E579B9" w:rsidRDefault="006A1398">
            <w:pPr>
              <w:pStyle w:val="aa"/>
            </w:pPr>
            <w:r>
              <w:rPr>
                <w:rFonts w:hint="eastAsia"/>
              </w:rPr>
              <w:t>沉积—浅变质岩系</w:t>
            </w:r>
          </w:p>
        </w:tc>
      </w:tr>
      <w:tr w:rsidR="00E579B9" w14:paraId="423A6DCB" w14:textId="77777777">
        <w:trPr>
          <w:cantSplit/>
          <w:trHeight w:val="20"/>
          <w:jc w:val="center"/>
        </w:trPr>
        <w:tc>
          <w:tcPr>
            <w:tcW w:w="675" w:type="dxa"/>
            <w:shd w:val="clear" w:color="auto" w:fill="auto"/>
            <w:vAlign w:val="center"/>
          </w:tcPr>
          <w:p w14:paraId="34A31A72" w14:textId="77777777" w:rsidR="00E579B9" w:rsidRDefault="00E579B9">
            <w:pPr>
              <w:pStyle w:val="aa"/>
              <w:numPr>
                <w:ilvl w:val="0"/>
                <w:numId w:val="13"/>
              </w:numPr>
            </w:pPr>
          </w:p>
        </w:tc>
        <w:tc>
          <w:tcPr>
            <w:tcW w:w="2835" w:type="dxa"/>
            <w:shd w:val="clear" w:color="auto" w:fill="auto"/>
            <w:vAlign w:val="center"/>
          </w:tcPr>
          <w:p w14:paraId="703A57BC" w14:textId="77777777" w:rsidR="00E579B9" w:rsidRDefault="006A1398">
            <w:pPr>
              <w:pStyle w:val="aa"/>
            </w:pPr>
            <w:r>
              <w:t>保有资源储量</w:t>
            </w:r>
          </w:p>
        </w:tc>
        <w:tc>
          <w:tcPr>
            <w:tcW w:w="993" w:type="dxa"/>
            <w:shd w:val="clear" w:color="auto" w:fill="auto"/>
            <w:vAlign w:val="center"/>
          </w:tcPr>
          <w:p w14:paraId="0944BCB7" w14:textId="77777777" w:rsidR="00E579B9" w:rsidRDefault="006A1398">
            <w:pPr>
              <w:pStyle w:val="aa"/>
            </w:pPr>
            <w:r>
              <w:t>万</w:t>
            </w:r>
            <w:r>
              <w:t>t</w:t>
            </w:r>
          </w:p>
        </w:tc>
        <w:tc>
          <w:tcPr>
            <w:tcW w:w="2438" w:type="dxa"/>
            <w:shd w:val="clear" w:color="auto" w:fill="auto"/>
            <w:vAlign w:val="center"/>
          </w:tcPr>
          <w:p w14:paraId="2D085DDF" w14:textId="77777777" w:rsidR="00E579B9" w:rsidRDefault="006A1398">
            <w:pPr>
              <w:pStyle w:val="aa"/>
            </w:pPr>
            <w:r>
              <w:t>1979</w:t>
            </w:r>
          </w:p>
        </w:tc>
        <w:tc>
          <w:tcPr>
            <w:tcW w:w="2005" w:type="dxa"/>
            <w:shd w:val="clear" w:color="auto" w:fill="auto"/>
            <w:vAlign w:val="center"/>
          </w:tcPr>
          <w:p w14:paraId="3505FFFD" w14:textId="77777777" w:rsidR="00E579B9" w:rsidRDefault="00E579B9">
            <w:pPr>
              <w:pStyle w:val="aa"/>
            </w:pPr>
          </w:p>
        </w:tc>
      </w:tr>
      <w:tr w:rsidR="00E579B9" w14:paraId="2A619F84" w14:textId="77777777">
        <w:trPr>
          <w:cantSplit/>
          <w:trHeight w:val="20"/>
          <w:jc w:val="center"/>
        </w:trPr>
        <w:tc>
          <w:tcPr>
            <w:tcW w:w="675" w:type="dxa"/>
            <w:shd w:val="clear" w:color="auto" w:fill="auto"/>
            <w:vAlign w:val="center"/>
          </w:tcPr>
          <w:p w14:paraId="5692D944" w14:textId="77777777" w:rsidR="00E579B9" w:rsidRDefault="00E579B9">
            <w:pPr>
              <w:pStyle w:val="aa"/>
              <w:numPr>
                <w:ilvl w:val="0"/>
                <w:numId w:val="13"/>
              </w:numPr>
            </w:pPr>
          </w:p>
        </w:tc>
        <w:tc>
          <w:tcPr>
            <w:tcW w:w="2835" w:type="dxa"/>
            <w:shd w:val="clear" w:color="auto" w:fill="auto"/>
            <w:vAlign w:val="center"/>
          </w:tcPr>
          <w:p w14:paraId="5AA5DB58" w14:textId="77777777" w:rsidR="00E579B9" w:rsidRDefault="006A1398">
            <w:pPr>
              <w:pStyle w:val="aa"/>
            </w:pPr>
            <w:r>
              <w:t>设计利用储量</w:t>
            </w:r>
          </w:p>
        </w:tc>
        <w:tc>
          <w:tcPr>
            <w:tcW w:w="993" w:type="dxa"/>
            <w:shd w:val="clear" w:color="auto" w:fill="auto"/>
            <w:vAlign w:val="center"/>
          </w:tcPr>
          <w:p w14:paraId="27DCB069" w14:textId="77777777" w:rsidR="00E579B9" w:rsidRDefault="006A1398">
            <w:pPr>
              <w:pStyle w:val="aa"/>
            </w:pPr>
            <w:r>
              <w:t>万</w:t>
            </w:r>
            <w:r>
              <w:t>t</w:t>
            </w:r>
          </w:p>
        </w:tc>
        <w:tc>
          <w:tcPr>
            <w:tcW w:w="2438" w:type="dxa"/>
            <w:shd w:val="clear" w:color="auto" w:fill="auto"/>
            <w:vAlign w:val="center"/>
          </w:tcPr>
          <w:p w14:paraId="58688622" w14:textId="77777777" w:rsidR="00E579B9" w:rsidRDefault="006A1398">
            <w:pPr>
              <w:pStyle w:val="aa"/>
            </w:pPr>
            <w:r>
              <w:t>2178.83</w:t>
            </w:r>
          </w:p>
        </w:tc>
        <w:tc>
          <w:tcPr>
            <w:tcW w:w="2005" w:type="dxa"/>
            <w:shd w:val="clear" w:color="auto" w:fill="auto"/>
            <w:vAlign w:val="center"/>
          </w:tcPr>
          <w:p w14:paraId="3CEEA5F6" w14:textId="77777777" w:rsidR="00E579B9" w:rsidRDefault="006A1398">
            <w:pPr>
              <w:pStyle w:val="aa"/>
            </w:pPr>
            <w:r>
              <w:rPr>
                <w:rFonts w:hint="eastAsia"/>
              </w:rPr>
              <w:t>/</w:t>
            </w:r>
          </w:p>
        </w:tc>
      </w:tr>
      <w:tr w:rsidR="00E579B9" w14:paraId="0575C3B6" w14:textId="77777777">
        <w:trPr>
          <w:cantSplit/>
          <w:trHeight w:val="20"/>
          <w:jc w:val="center"/>
        </w:trPr>
        <w:tc>
          <w:tcPr>
            <w:tcW w:w="675" w:type="dxa"/>
            <w:shd w:val="clear" w:color="auto" w:fill="auto"/>
            <w:vAlign w:val="center"/>
          </w:tcPr>
          <w:p w14:paraId="7E3159ED" w14:textId="77777777" w:rsidR="00E579B9" w:rsidRDefault="00E579B9">
            <w:pPr>
              <w:pStyle w:val="aa"/>
              <w:numPr>
                <w:ilvl w:val="0"/>
                <w:numId w:val="13"/>
              </w:numPr>
            </w:pPr>
          </w:p>
        </w:tc>
        <w:tc>
          <w:tcPr>
            <w:tcW w:w="2835" w:type="dxa"/>
            <w:shd w:val="clear" w:color="auto" w:fill="auto"/>
            <w:vAlign w:val="center"/>
          </w:tcPr>
          <w:p w14:paraId="4653C42C" w14:textId="77777777" w:rsidR="00E579B9" w:rsidRDefault="006A1398">
            <w:pPr>
              <w:pStyle w:val="aa"/>
            </w:pPr>
            <w:r>
              <w:t>矿山设计规模</w:t>
            </w:r>
          </w:p>
        </w:tc>
        <w:tc>
          <w:tcPr>
            <w:tcW w:w="993" w:type="dxa"/>
            <w:shd w:val="clear" w:color="auto" w:fill="auto"/>
            <w:vAlign w:val="center"/>
          </w:tcPr>
          <w:p w14:paraId="16999531" w14:textId="77777777" w:rsidR="00E579B9" w:rsidRDefault="006A1398">
            <w:pPr>
              <w:pStyle w:val="aa"/>
            </w:pPr>
            <w:r>
              <w:t>万</w:t>
            </w:r>
            <w:r>
              <w:t>t/a</w:t>
            </w:r>
          </w:p>
        </w:tc>
        <w:tc>
          <w:tcPr>
            <w:tcW w:w="2438" w:type="dxa"/>
            <w:shd w:val="clear" w:color="auto" w:fill="auto"/>
            <w:vAlign w:val="center"/>
          </w:tcPr>
          <w:p w14:paraId="1CFD3E09" w14:textId="77777777" w:rsidR="00E579B9" w:rsidRDefault="006A1398">
            <w:pPr>
              <w:pStyle w:val="aa"/>
            </w:pPr>
            <w:r>
              <w:t>230</w:t>
            </w:r>
          </w:p>
        </w:tc>
        <w:tc>
          <w:tcPr>
            <w:tcW w:w="2005" w:type="dxa"/>
            <w:shd w:val="clear" w:color="auto" w:fill="auto"/>
            <w:vAlign w:val="center"/>
          </w:tcPr>
          <w:p w14:paraId="3A41B2D1" w14:textId="77777777" w:rsidR="00E579B9" w:rsidRDefault="006A1398">
            <w:pPr>
              <w:pStyle w:val="aa"/>
            </w:pPr>
            <w:r>
              <w:rPr>
                <w:rFonts w:hint="eastAsia"/>
              </w:rPr>
              <w:t>/</w:t>
            </w:r>
          </w:p>
        </w:tc>
      </w:tr>
      <w:tr w:rsidR="00E579B9" w14:paraId="524F4329" w14:textId="77777777">
        <w:trPr>
          <w:cantSplit/>
          <w:trHeight w:val="20"/>
          <w:jc w:val="center"/>
        </w:trPr>
        <w:tc>
          <w:tcPr>
            <w:tcW w:w="675" w:type="dxa"/>
            <w:shd w:val="clear" w:color="auto" w:fill="auto"/>
            <w:vAlign w:val="center"/>
          </w:tcPr>
          <w:p w14:paraId="11E1D10C" w14:textId="77777777" w:rsidR="00E579B9" w:rsidRDefault="00E579B9">
            <w:pPr>
              <w:pStyle w:val="aa"/>
              <w:numPr>
                <w:ilvl w:val="0"/>
                <w:numId w:val="13"/>
              </w:numPr>
            </w:pPr>
          </w:p>
        </w:tc>
        <w:tc>
          <w:tcPr>
            <w:tcW w:w="2835" w:type="dxa"/>
            <w:shd w:val="clear" w:color="auto" w:fill="auto"/>
            <w:vAlign w:val="center"/>
          </w:tcPr>
          <w:p w14:paraId="1F1D681E" w14:textId="77777777" w:rsidR="00E579B9" w:rsidRDefault="006A1398">
            <w:pPr>
              <w:pStyle w:val="aa"/>
            </w:pPr>
            <w:r>
              <w:t>矿山服务年限</w:t>
            </w:r>
          </w:p>
        </w:tc>
        <w:tc>
          <w:tcPr>
            <w:tcW w:w="993" w:type="dxa"/>
            <w:shd w:val="clear" w:color="auto" w:fill="auto"/>
            <w:vAlign w:val="center"/>
          </w:tcPr>
          <w:p w14:paraId="46300790" w14:textId="77777777" w:rsidR="00E579B9" w:rsidRDefault="006A1398">
            <w:pPr>
              <w:pStyle w:val="aa"/>
            </w:pPr>
            <w:r>
              <w:t>年</w:t>
            </w:r>
          </w:p>
        </w:tc>
        <w:tc>
          <w:tcPr>
            <w:tcW w:w="2438" w:type="dxa"/>
            <w:shd w:val="clear" w:color="auto" w:fill="auto"/>
            <w:vAlign w:val="center"/>
          </w:tcPr>
          <w:p w14:paraId="3B9EEFC9" w14:textId="77777777" w:rsidR="00E579B9" w:rsidRDefault="006A1398">
            <w:pPr>
              <w:pStyle w:val="aa"/>
            </w:pPr>
            <w:r>
              <w:t>9.5</w:t>
            </w:r>
          </w:p>
        </w:tc>
        <w:tc>
          <w:tcPr>
            <w:tcW w:w="2005" w:type="dxa"/>
            <w:shd w:val="clear" w:color="auto" w:fill="auto"/>
            <w:vAlign w:val="center"/>
          </w:tcPr>
          <w:p w14:paraId="5B61CF01" w14:textId="77777777" w:rsidR="00E579B9" w:rsidRDefault="006A1398">
            <w:pPr>
              <w:pStyle w:val="aa"/>
            </w:pPr>
            <w:r>
              <w:rPr>
                <w:rFonts w:hint="eastAsia"/>
              </w:rPr>
              <w:t>/</w:t>
            </w:r>
          </w:p>
        </w:tc>
      </w:tr>
      <w:tr w:rsidR="00E579B9" w14:paraId="0171293A" w14:textId="77777777">
        <w:trPr>
          <w:cantSplit/>
          <w:trHeight w:val="20"/>
          <w:jc w:val="center"/>
        </w:trPr>
        <w:tc>
          <w:tcPr>
            <w:tcW w:w="675" w:type="dxa"/>
            <w:shd w:val="clear" w:color="auto" w:fill="auto"/>
            <w:vAlign w:val="center"/>
          </w:tcPr>
          <w:p w14:paraId="45D06804" w14:textId="77777777" w:rsidR="00E579B9" w:rsidRDefault="00E579B9">
            <w:pPr>
              <w:pStyle w:val="aa"/>
              <w:numPr>
                <w:ilvl w:val="0"/>
                <w:numId w:val="13"/>
              </w:numPr>
            </w:pPr>
          </w:p>
        </w:tc>
        <w:tc>
          <w:tcPr>
            <w:tcW w:w="2835" w:type="dxa"/>
            <w:shd w:val="clear" w:color="auto" w:fill="auto"/>
            <w:vAlign w:val="center"/>
          </w:tcPr>
          <w:p w14:paraId="67333F69" w14:textId="77777777" w:rsidR="00E579B9" w:rsidRDefault="006A1398">
            <w:pPr>
              <w:pStyle w:val="aa"/>
            </w:pPr>
            <w:r>
              <w:t>采矿工作制度</w:t>
            </w:r>
          </w:p>
        </w:tc>
        <w:tc>
          <w:tcPr>
            <w:tcW w:w="993" w:type="dxa"/>
            <w:shd w:val="clear" w:color="auto" w:fill="auto"/>
            <w:vAlign w:val="center"/>
          </w:tcPr>
          <w:p w14:paraId="341496CE" w14:textId="77777777" w:rsidR="00E579B9" w:rsidRDefault="006A1398">
            <w:pPr>
              <w:pStyle w:val="aa"/>
            </w:pPr>
            <w:r>
              <w:rPr>
                <w:rFonts w:hint="eastAsia"/>
              </w:rPr>
              <w:t>/</w:t>
            </w:r>
          </w:p>
        </w:tc>
        <w:tc>
          <w:tcPr>
            <w:tcW w:w="2438" w:type="dxa"/>
            <w:shd w:val="clear" w:color="auto" w:fill="auto"/>
            <w:vAlign w:val="center"/>
          </w:tcPr>
          <w:p w14:paraId="14EA39C0" w14:textId="77777777" w:rsidR="00E579B9" w:rsidRDefault="006A1398">
            <w:pPr>
              <w:pStyle w:val="aa"/>
            </w:pPr>
            <w:r>
              <w:t>年</w:t>
            </w:r>
            <w:r>
              <w:t>280</w:t>
            </w:r>
            <w:r>
              <w:t>天，每天</w:t>
            </w:r>
            <w:r>
              <w:t>2</w:t>
            </w:r>
            <w:r>
              <w:t>班，每班</w:t>
            </w:r>
            <w:r>
              <w:t>8</w:t>
            </w:r>
            <w:r>
              <w:t>小时</w:t>
            </w:r>
          </w:p>
        </w:tc>
        <w:tc>
          <w:tcPr>
            <w:tcW w:w="2005" w:type="dxa"/>
            <w:shd w:val="clear" w:color="auto" w:fill="auto"/>
            <w:vAlign w:val="center"/>
          </w:tcPr>
          <w:p w14:paraId="78B63737" w14:textId="77777777" w:rsidR="00E579B9" w:rsidRDefault="006A1398">
            <w:pPr>
              <w:pStyle w:val="aa"/>
            </w:pPr>
            <w:r>
              <w:rPr>
                <w:rFonts w:hint="eastAsia"/>
              </w:rPr>
              <w:t>/</w:t>
            </w:r>
          </w:p>
        </w:tc>
      </w:tr>
      <w:tr w:rsidR="00E579B9" w14:paraId="1C33B1FA" w14:textId="77777777">
        <w:trPr>
          <w:cantSplit/>
          <w:trHeight w:val="20"/>
          <w:jc w:val="center"/>
        </w:trPr>
        <w:tc>
          <w:tcPr>
            <w:tcW w:w="675" w:type="dxa"/>
            <w:shd w:val="clear" w:color="auto" w:fill="auto"/>
            <w:vAlign w:val="center"/>
          </w:tcPr>
          <w:p w14:paraId="6D474D71" w14:textId="77777777" w:rsidR="00E579B9" w:rsidRDefault="00E579B9">
            <w:pPr>
              <w:pStyle w:val="aa"/>
              <w:numPr>
                <w:ilvl w:val="0"/>
                <w:numId w:val="13"/>
              </w:numPr>
            </w:pPr>
          </w:p>
        </w:tc>
        <w:tc>
          <w:tcPr>
            <w:tcW w:w="2835" w:type="dxa"/>
            <w:shd w:val="clear" w:color="auto" w:fill="auto"/>
            <w:vAlign w:val="center"/>
          </w:tcPr>
          <w:p w14:paraId="6372CACE" w14:textId="77777777" w:rsidR="00E579B9" w:rsidRDefault="006A1398">
            <w:pPr>
              <w:pStyle w:val="aa"/>
            </w:pPr>
            <w:r>
              <w:t>开拓运输方案</w:t>
            </w:r>
          </w:p>
        </w:tc>
        <w:tc>
          <w:tcPr>
            <w:tcW w:w="993" w:type="dxa"/>
            <w:shd w:val="clear" w:color="auto" w:fill="auto"/>
            <w:vAlign w:val="center"/>
          </w:tcPr>
          <w:p w14:paraId="45DB35A6" w14:textId="77777777" w:rsidR="00E579B9" w:rsidRDefault="006A1398">
            <w:pPr>
              <w:pStyle w:val="aa"/>
            </w:pPr>
            <w:r>
              <w:rPr>
                <w:rFonts w:hint="eastAsia"/>
              </w:rPr>
              <w:t>/</w:t>
            </w:r>
          </w:p>
        </w:tc>
        <w:tc>
          <w:tcPr>
            <w:tcW w:w="2438" w:type="dxa"/>
            <w:shd w:val="clear" w:color="auto" w:fill="auto"/>
            <w:vAlign w:val="center"/>
          </w:tcPr>
          <w:p w14:paraId="05A601F7" w14:textId="77777777" w:rsidR="00E579B9" w:rsidRDefault="006A1398">
            <w:pPr>
              <w:pStyle w:val="aa"/>
            </w:pPr>
            <w:r>
              <w:t>公路开拓，汽车运输</w:t>
            </w:r>
          </w:p>
        </w:tc>
        <w:tc>
          <w:tcPr>
            <w:tcW w:w="2005" w:type="dxa"/>
            <w:shd w:val="clear" w:color="auto" w:fill="auto"/>
            <w:vAlign w:val="center"/>
          </w:tcPr>
          <w:p w14:paraId="4CA62058" w14:textId="77777777" w:rsidR="00E579B9" w:rsidRDefault="006A1398">
            <w:pPr>
              <w:pStyle w:val="aa"/>
            </w:pPr>
            <w:r>
              <w:rPr>
                <w:rFonts w:hint="eastAsia"/>
              </w:rPr>
              <w:t>/</w:t>
            </w:r>
          </w:p>
        </w:tc>
      </w:tr>
      <w:tr w:rsidR="00E579B9" w14:paraId="7B379E4B" w14:textId="77777777">
        <w:trPr>
          <w:cantSplit/>
          <w:trHeight w:val="20"/>
          <w:jc w:val="center"/>
        </w:trPr>
        <w:tc>
          <w:tcPr>
            <w:tcW w:w="675" w:type="dxa"/>
            <w:shd w:val="clear" w:color="auto" w:fill="auto"/>
            <w:vAlign w:val="center"/>
          </w:tcPr>
          <w:p w14:paraId="063F8DC7" w14:textId="77777777" w:rsidR="00E579B9" w:rsidRDefault="00E579B9">
            <w:pPr>
              <w:pStyle w:val="aa"/>
              <w:numPr>
                <w:ilvl w:val="0"/>
                <w:numId w:val="13"/>
              </w:numPr>
            </w:pPr>
          </w:p>
        </w:tc>
        <w:tc>
          <w:tcPr>
            <w:tcW w:w="2835" w:type="dxa"/>
            <w:shd w:val="clear" w:color="auto" w:fill="auto"/>
            <w:vAlign w:val="center"/>
          </w:tcPr>
          <w:p w14:paraId="4F2EC97C" w14:textId="77777777" w:rsidR="00E579B9" w:rsidRDefault="006A1398">
            <w:pPr>
              <w:pStyle w:val="aa"/>
            </w:pPr>
            <w:r>
              <w:t>采矿方法</w:t>
            </w:r>
          </w:p>
        </w:tc>
        <w:tc>
          <w:tcPr>
            <w:tcW w:w="993" w:type="dxa"/>
            <w:shd w:val="clear" w:color="auto" w:fill="auto"/>
            <w:vAlign w:val="center"/>
          </w:tcPr>
          <w:p w14:paraId="50F46ABE" w14:textId="77777777" w:rsidR="00E579B9" w:rsidRDefault="006A1398">
            <w:pPr>
              <w:pStyle w:val="aa"/>
            </w:pPr>
            <w:r>
              <w:rPr>
                <w:rFonts w:hint="eastAsia"/>
              </w:rPr>
              <w:t>/</w:t>
            </w:r>
          </w:p>
        </w:tc>
        <w:tc>
          <w:tcPr>
            <w:tcW w:w="2438" w:type="dxa"/>
            <w:shd w:val="clear" w:color="auto" w:fill="auto"/>
            <w:vAlign w:val="center"/>
          </w:tcPr>
          <w:p w14:paraId="4BAFECEA" w14:textId="77777777" w:rsidR="00E579B9" w:rsidRDefault="006A1398">
            <w:pPr>
              <w:pStyle w:val="aa"/>
            </w:pPr>
            <w:r>
              <w:t>自上而下分台阶</w:t>
            </w:r>
          </w:p>
        </w:tc>
        <w:tc>
          <w:tcPr>
            <w:tcW w:w="2005" w:type="dxa"/>
            <w:shd w:val="clear" w:color="auto" w:fill="auto"/>
            <w:vAlign w:val="center"/>
          </w:tcPr>
          <w:p w14:paraId="3720AA72" w14:textId="77777777" w:rsidR="00E579B9" w:rsidRDefault="006A1398">
            <w:pPr>
              <w:pStyle w:val="aa"/>
            </w:pPr>
            <w:r>
              <w:rPr>
                <w:rFonts w:hint="eastAsia"/>
              </w:rPr>
              <w:t>/</w:t>
            </w:r>
          </w:p>
        </w:tc>
      </w:tr>
      <w:tr w:rsidR="00E579B9" w14:paraId="3A2C17E3" w14:textId="77777777">
        <w:trPr>
          <w:cantSplit/>
          <w:trHeight w:val="20"/>
          <w:jc w:val="center"/>
        </w:trPr>
        <w:tc>
          <w:tcPr>
            <w:tcW w:w="675" w:type="dxa"/>
            <w:shd w:val="clear" w:color="auto" w:fill="auto"/>
            <w:vAlign w:val="center"/>
          </w:tcPr>
          <w:p w14:paraId="1FC09D02" w14:textId="77777777" w:rsidR="00E579B9" w:rsidRDefault="00E579B9">
            <w:pPr>
              <w:pStyle w:val="aa"/>
              <w:numPr>
                <w:ilvl w:val="0"/>
                <w:numId w:val="13"/>
              </w:numPr>
            </w:pPr>
          </w:p>
        </w:tc>
        <w:tc>
          <w:tcPr>
            <w:tcW w:w="2835" w:type="dxa"/>
            <w:shd w:val="clear" w:color="auto" w:fill="auto"/>
            <w:vAlign w:val="center"/>
          </w:tcPr>
          <w:p w14:paraId="3B540FA6" w14:textId="77777777" w:rsidR="00E579B9" w:rsidRDefault="006A1398">
            <w:pPr>
              <w:pStyle w:val="aa"/>
            </w:pPr>
            <w:r>
              <w:t>采矿损失率</w:t>
            </w:r>
          </w:p>
        </w:tc>
        <w:tc>
          <w:tcPr>
            <w:tcW w:w="993" w:type="dxa"/>
            <w:shd w:val="clear" w:color="auto" w:fill="auto"/>
            <w:vAlign w:val="center"/>
          </w:tcPr>
          <w:p w14:paraId="22E91671" w14:textId="77777777" w:rsidR="00E579B9" w:rsidRDefault="006A1398">
            <w:pPr>
              <w:pStyle w:val="aa"/>
            </w:pPr>
            <w:r>
              <w:t>%</w:t>
            </w:r>
          </w:p>
        </w:tc>
        <w:tc>
          <w:tcPr>
            <w:tcW w:w="2438" w:type="dxa"/>
            <w:shd w:val="clear" w:color="auto" w:fill="auto"/>
            <w:vAlign w:val="center"/>
          </w:tcPr>
          <w:p w14:paraId="630EBD4C" w14:textId="77777777" w:rsidR="00E579B9" w:rsidRDefault="006A1398">
            <w:pPr>
              <w:pStyle w:val="aa"/>
            </w:pPr>
            <w:r>
              <w:t>5</w:t>
            </w:r>
          </w:p>
        </w:tc>
        <w:tc>
          <w:tcPr>
            <w:tcW w:w="2005" w:type="dxa"/>
            <w:shd w:val="clear" w:color="auto" w:fill="auto"/>
            <w:vAlign w:val="center"/>
          </w:tcPr>
          <w:p w14:paraId="4780FB0E" w14:textId="77777777" w:rsidR="00E579B9" w:rsidRDefault="006A1398">
            <w:pPr>
              <w:pStyle w:val="aa"/>
            </w:pPr>
            <w:r>
              <w:rPr>
                <w:rFonts w:hint="eastAsia"/>
              </w:rPr>
              <w:t>/</w:t>
            </w:r>
          </w:p>
        </w:tc>
      </w:tr>
      <w:tr w:rsidR="00E579B9" w14:paraId="44F753B1" w14:textId="77777777">
        <w:trPr>
          <w:cantSplit/>
          <w:trHeight w:val="20"/>
          <w:jc w:val="center"/>
        </w:trPr>
        <w:tc>
          <w:tcPr>
            <w:tcW w:w="675" w:type="dxa"/>
            <w:shd w:val="clear" w:color="auto" w:fill="auto"/>
            <w:vAlign w:val="center"/>
          </w:tcPr>
          <w:p w14:paraId="489D2419" w14:textId="77777777" w:rsidR="00E579B9" w:rsidRDefault="00E579B9">
            <w:pPr>
              <w:pStyle w:val="aa"/>
              <w:numPr>
                <w:ilvl w:val="0"/>
                <w:numId w:val="13"/>
              </w:numPr>
            </w:pPr>
          </w:p>
        </w:tc>
        <w:tc>
          <w:tcPr>
            <w:tcW w:w="2835" w:type="dxa"/>
            <w:shd w:val="clear" w:color="auto" w:fill="auto"/>
            <w:vAlign w:val="center"/>
          </w:tcPr>
          <w:p w14:paraId="4F7EBB9B" w14:textId="77777777" w:rsidR="00E579B9" w:rsidRDefault="006A1398">
            <w:pPr>
              <w:pStyle w:val="aa"/>
            </w:pPr>
            <w:r>
              <w:t>估算投资</w:t>
            </w:r>
          </w:p>
        </w:tc>
        <w:tc>
          <w:tcPr>
            <w:tcW w:w="993" w:type="dxa"/>
            <w:shd w:val="clear" w:color="auto" w:fill="auto"/>
            <w:vAlign w:val="center"/>
          </w:tcPr>
          <w:p w14:paraId="4BF0120F" w14:textId="77777777" w:rsidR="00E579B9" w:rsidRDefault="006A1398">
            <w:pPr>
              <w:pStyle w:val="aa"/>
            </w:pPr>
            <w:r>
              <w:t>万元</w:t>
            </w:r>
          </w:p>
        </w:tc>
        <w:tc>
          <w:tcPr>
            <w:tcW w:w="2438" w:type="dxa"/>
            <w:shd w:val="clear" w:color="auto" w:fill="auto"/>
            <w:vAlign w:val="center"/>
          </w:tcPr>
          <w:p w14:paraId="53F1A0BD" w14:textId="77777777" w:rsidR="00E579B9" w:rsidRDefault="006A1398">
            <w:pPr>
              <w:pStyle w:val="aa"/>
            </w:pPr>
            <w:r>
              <w:t>5000</w:t>
            </w:r>
          </w:p>
        </w:tc>
        <w:tc>
          <w:tcPr>
            <w:tcW w:w="2005" w:type="dxa"/>
            <w:shd w:val="clear" w:color="auto" w:fill="auto"/>
            <w:vAlign w:val="center"/>
          </w:tcPr>
          <w:p w14:paraId="77B063F3" w14:textId="77777777" w:rsidR="00E579B9" w:rsidRDefault="006A1398">
            <w:pPr>
              <w:pStyle w:val="aa"/>
            </w:pPr>
            <w:r>
              <w:rPr>
                <w:rFonts w:hint="eastAsia"/>
              </w:rPr>
              <w:t>/</w:t>
            </w:r>
          </w:p>
        </w:tc>
      </w:tr>
      <w:tr w:rsidR="00E579B9" w14:paraId="4FD90DA2" w14:textId="77777777">
        <w:trPr>
          <w:cantSplit/>
          <w:trHeight w:val="20"/>
          <w:jc w:val="center"/>
        </w:trPr>
        <w:tc>
          <w:tcPr>
            <w:tcW w:w="675" w:type="dxa"/>
            <w:shd w:val="clear" w:color="auto" w:fill="auto"/>
            <w:vAlign w:val="center"/>
          </w:tcPr>
          <w:p w14:paraId="5F52953A" w14:textId="77777777" w:rsidR="00E579B9" w:rsidRDefault="00E579B9">
            <w:pPr>
              <w:pStyle w:val="aa"/>
              <w:numPr>
                <w:ilvl w:val="0"/>
                <w:numId w:val="13"/>
              </w:numPr>
            </w:pPr>
          </w:p>
        </w:tc>
        <w:tc>
          <w:tcPr>
            <w:tcW w:w="2835" w:type="dxa"/>
            <w:shd w:val="clear" w:color="auto" w:fill="auto"/>
            <w:vAlign w:val="center"/>
          </w:tcPr>
          <w:p w14:paraId="7E33A96F" w14:textId="77777777" w:rsidR="00E579B9" w:rsidRDefault="006A1398">
            <w:pPr>
              <w:pStyle w:val="aa"/>
            </w:pPr>
            <w:r>
              <w:t>年销售收入</w:t>
            </w:r>
          </w:p>
        </w:tc>
        <w:tc>
          <w:tcPr>
            <w:tcW w:w="993" w:type="dxa"/>
            <w:shd w:val="clear" w:color="auto" w:fill="auto"/>
            <w:vAlign w:val="center"/>
          </w:tcPr>
          <w:p w14:paraId="1EF7FF96" w14:textId="77777777" w:rsidR="00E579B9" w:rsidRDefault="006A1398">
            <w:pPr>
              <w:pStyle w:val="aa"/>
            </w:pPr>
            <w:r>
              <w:t>万元</w:t>
            </w:r>
          </w:p>
        </w:tc>
        <w:tc>
          <w:tcPr>
            <w:tcW w:w="2438" w:type="dxa"/>
            <w:shd w:val="clear" w:color="auto" w:fill="auto"/>
            <w:vAlign w:val="center"/>
          </w:tcPr>
          <w:p w14:paraId="2B14E580" w14:textId="77777777" w:rsidR="00E579B9" w:rsidRDefault="006A1398">
            <w:pPr>
              <w:pStyle w:val="aa"/>
            </w:pPr>
            <w:r>
              <w:t>11500</w:t>
            </w:r>
          </w:p>
        </w:tc>
        <w:tc>
          <w:tcPr>
            <w:tcW w:w="2005" w:type="dxa"/>
            <w:shd w:val="clear" w:color="auto" w:fill="auto"/>
            <w:vAlign w:val="center"/>
          </w:tcPr>
          <w:p w14:paraId="5BB52854" w14:textId="77777777" w:rsidR="00E579B9" w:rsidRDefault="006A1398">
            <w:pPr>
              <w:pStyle w:val="aa"/>
            </w:pPr>
            <w:r>
              <w:t>50</w:t>
            </w:r>
            <w:r>
              <w:t>元</w:t>
            </w:r>
            <w:r>
              <w:t>/</w:t>
            </w:r>
            <w:r>
              <w:t>吨</w:t>
            </w:r>
          </w:p>
        </w:tc>
      </w:tr>
      <w:tr w:rsidR="00E579B9" w14:paraId="581964FF" w14:textId="77777777">
        <w:trPr>
          <w:cantSplit/>
          <w:trHeight w:val="20"/>
          <w:jc w:val="center"/>
        </w:trPr>
        <w:tc>
          <w:tcPr>
            <w:tcW w:w="675" w:type="dxa"/>
            <w:shd w:val="clear" w:color="auto" w:fill="auto"/>
            <w:vAlign w:val="center"/>
          </w:tcPr>
          <w:p w14:paraId="54ECE800" w14:textId="77777777" w:rsidR="00E579B9" w:rsidRDefault="00E579B9">
            <w:pPr>
              <w:pStyle w:val="aa"/>
              <w:numPr>
                <w:ilvl w:val="0"/>
                <w:numId w:val="13"/>
              </w:numPr>
            </w:pPr>
          </w:p>
        </w:tc>
        <w:tc>
          <w:tcPr>
            <w:tcW w:w="2835" w:type="dxa"/>
            <w:shd w:val="clear" w:color="auto" w:fill="auto"/>
            <w:vAlign w:val="center"/>
          </w:tcPr>
          <w:p w14:paraId="1F8D3446" w14:textId="77777777" w:rsidR="00E579B9" w:rsidRDefault="006A1398">
            <w:pPr>
              <w:pStyle w:val="aa"/>
            </w:pPr>
            <w:r>
              <w:t>年总成本</w:t>
            </w:r>
          </w:p>
        </w:tc>
        <w:tc>
          <w:tcPr>
            <w:tcW w:w="993" w:type="dxa"/>
            <w:shd w:val="clear" w:color="auto" w:fill="auto"/>
            <w:vAlign w:val="center"/>
          </w:tcPr>
          <w:p w14:paraId="071B26F8" w14:textId="77777777" w:rsidR="00E579B9" w:rsidRDefault="006A1398">
            <w:pPr>
              <w:pStyle w:val="aa"/>
            </w:pPr>
            <w:r>
              <w:t>万元</w:t>
            </w:r>
          </w:p>
        </w:tc>
        <w:tc>
          <w:tcPr>
            <w:tcW w:w="2438" w:type="dxa"/>
            <w:shd w:val="clear" w:color="auto" w:fill="auto"/>
            <w:vAlign w:val="center"/>
          </w:tcPr>
          <w:p w14:paraId="37B29AC9" w14:textId="77777777" w:rsidR="00E579B9" w:rsidRDefault="006A1398">
            <w:pPr>
              <w:pStyle w:val="aa"/>
            </w:pPr>
            <w:r>
              <w:t>5867.3</w:t>
            </w:r>
          </w:p>
        </w:tc>
        <w:tc>
          <w:tcPr>
            <w:tcW w:w="2005" w:type="dxa"/>
            <w:shd w:val="clear" w:color="auto" w:fill="auto"/>
            <w:vAlign w:val="center"/>
          </w:tcPr>
          <w:p w14:paraId="59E8EEAE" w14:textId="77777777" w:rsidR="00E579B9" w:rsidRDefault="006A1398">
            <w:pPr>
              <w:pStyle w:val="aa"/>
            </w:pPr>
            <w:r>
              <w:rPr>
                <w:rFonts w:hint="eastAsia"/>
              </w:rPr>
              <w:t>/</w:t>
            </w:r>
          </w:p>
        </w:tc>
      </w:tr>
      <w:tr w:rsidR="00E579B9" w14:paraId="38A7A867" w14:textId="77777777">
        <w:trPr>
          <w:cantSplit/>
          <w:trHeight w:val="20"/>
          <w:jc w:val="center"/>
        </w:trPr>
        <w:tc>
          <w:tcPr>
            <w:tcW w:w="675" w:type="dxa"/>
            <w:shd w:val="clear" w:color="auto" w:fill="auto"/>
            <w:vAlign w:val="center"/>
          </w:tcPr>
          <w:p w14:paraId="61447808" w14:textId="77777777" w:rsidR="00E579B9" w:rsidRDefault="00E579B9">
            <w:pPr>
              <w:pStyle w:val="aa"/>
              <w:numPr>
                <w:ilvl w:val="0"/>
                <w:numId w:val="13"/>
              </w:numPr>
            </w:pPr>
          </w:p>
        </w:tc>
        <w:tc>
          <w:tcPr>
            <w:tcW w:w="2835" w:type="dxa"/>
            <w:shd w:val="clear" w:color="auto" w:fill="auto"/>
            <w:vAlign w:val="center"/>
          </w:tcPr>
          <w:p w14:paraId="1ABDAC3E" w14:textId="77777777" w:rsidR="00E579B9" w:rsidRDefault="006A1398">
            <w:pPr>
              <w:pStyle w:val="aa"/>
            </w:pPr>
            <w:r>
              <w:t>年销售税金及附加</w:t>
            </w:r>
          </w:p>
        </w:tc>
        <w:tc>
          <w:tcPr>
            <w:tcW w:w="993" w:type="dxa"/>
            <w:shd w:val="clear" w:color="auto" w:fill="auto"/>
            <w:vAlign w:val="center"/>
          </w:tcPr>
          <w:p w14:paraId="7985781F" w14:textId="77777777" w:rsidR="00E579B9" w:rsidRDefault="006A1398">
            <w:pPr>
              <w:pStyle w:val="aa"/>
            </w:pPr>
            <w:r>
              <w:t>万元</w:t>
            </w:r>
          </w:p>
        </w:tc>
        <w:tc>
          <w:tcPr>
            <w:tcW w:w="2438" w:type="dxa"/>
            <w:shd w:val="clear" w:color="auto" w:fill="auto"/>
            <w:vAlign w:val="center"/>
          </w:tcPr>
          <w:p w14:paraId="105E46E9" w14:textId="77777777" w:rsidR="00E579B9" w:rsidRDefault="006A1398">
            <w:pPr>
              <w:pStyle w:val="aa"/>
            </w:pPr>
            <w:r>
              <w:t>852.04</w:t>
            </w:r>
          </w:p>
        </w:tc>
        <w:tc>
          <w:tcPr>
            <w:tcW w:w="2005" w:type="dxa"/>
            <w:shd w:val="clear" w:color="auto" w:fill="auto"/>
            <w:vAlign w:val="center"/>
          </w:tcPr>
          <w:p w14:paraId="0BD2FFB0" w14:textId="77777777" w:rsidR="00E579B9" w:rsidRDefault="006A1398">
            <w:pPr>
              <w:pStyle w:val="aa"/>
            </w:pPr>
            <w:r>
              <w:rPr>
                <w:rFonts w:hint="eastAsia"/>
              </w:rPr>
              <w:t>/</w:t>
            </w:r>
          </w:p>
        </w:tc>
      </w:tr>
      <w:tr w:rsidR="00E579B9" w14:paraId="4D539BCA" w14:textId="77777777">
        <w:trPr>
          <w:cantSplit/>
          <w:trHeight w:val="20"/>
          <w:jc w:val="center"/>
        </w:trPr>
        <w:tc>
          <w:tcPr>
            <w:tcW w:w="675" w:type="dxa"/>
            <w:shd w:val="clear" w:color="auto" w:fill="auto"/>
            <w:vAlign w:val="center"/>
          </w:tcPr>
          <w:p w14:paraId="12F44A5E" w14:textId="77777777" w:rsidR="00E579B9" w:rsidRDefault="00E579B9">
            <w:pPr>
              <w:pStyle w:val="aa"/>
              <w:numPr>
                <w:ilvl w:val="0"/>
                <w:numId w:val="13"/>
              </w:numPr>
            </w:pPr>
          </w:p>
        </w:tc>
        <w:tc>
          <w:tcPr>
            <w:tcW w:w="2835" w:type="dxa"/>
            <w:shd w:val="clear" w:color="auto" w:fill="auto"/>
            <w:vAlign w:val="center"/>
          </w:tcPr>
          <w:p w14:paraId="40D5AE8C" w14:textId="77777777" w:rsidR="00E579B9" w:rsidRDefault="006A1398">
            <w:pPr>
              <w:pStyle w:val="aa"/>
            </w:pPr>
            <w:r>
              <w:t>运营期年利润总额</w:t>
            </w:r>
          </w:p>
        </w:tc>
        <w:tc>
          <w:tcPr>
            <w:tcW w:w="993" w:type="dxa"/>
            <w:shd w:val="clear" w:color="auto" w:fill="auto"/>
            <w:vAlign w:val="center"/>
          </w:tcPr>
          <w:p w14:paraId="609605C0" w14:textId="77777777" w:rsidR="00E579B9" w:rsidRDefault="006A1398">
            <w:pPr>
              <w:pStyle w:val="aa"/>
            </w:pPr>
            <w:r>
              <w:t>万元</w:t>
            </w:r>
          </w:p>
        </w:tc>
        <w:tc>
          <w:tcPr>
            <w:tcW w:w="2438" w:type="dxa"/>
            <w:shd w:val="clear" w:color="auto" w:fill="auto"/>
            <w:vAlign w:val="center"/>
          </w:tcPr>
          <w:p w14:paraId="76678F3B" w14:textId="77777777" w:rsidR="00E579B9" w:rsidRDefault="006A1398">
            <w:pPr>
              <w:pStyle w:val="aa"/>
            </w:pPr>
            <w:r>
              <w:t>4780.66</w:t>
            </w:r>
          </w:p>
        </w:tc>
        <w:tc>
          <w:tcPr>
            <w:tcW w:w="2005" w:type="dxa"/>
            <w:shd w:val="clear" w:color="auto" w:fill="auto"/>
            <w:vAlign w:val="center"/>
          </w:tcPr>
          <w:p w14:paraId="7DEECDA1" w14:textId="77777777" w:rsidR="00E579B9" w:rsidRDefault="006A1398">
            <w:pPr>
              <w:pStyle w:val="aa"/>
            </w:pPr>
            <w:r>
              <w:rPr>
                <w:rFonts w:hint="eastAsia"/>
              </w:rPr>
              <w:t>/</w:t>
            </w:r>
          </w:p>
        </w:tc>
      </w:tr>
      <w:tr w:rsidR="00E579B9" w14:paraId="37C66B86" w14:textId="77777777">
        <w:trPr>
          <w:cantSplit/>
          <w:trHeight w:val="20"/>
          <w:jc w:val="center"/>
        </w:trPr>
        <w:tc>
          <w:tcPr>
            <w:tcW w:w="675" w:type="dxa"/>
            <w:shd w:val="clear" w:color="auto" w:fill="auto"/>
            <w:vAlign w:val="center"/>
          </w:tcPr>
          <w:p w14:paraId="1B8C696E" w14:textId="77777777" w:rsidR="00E579B9" w:rsidRDefault="00E579B9">
            <w:pPr>
              <w:pStyle w:val="aa"/>
              <w:numPr>
                <w:ilvl w:val="0"/>
                <w:numId w:val="13"/>
              </w:numPr>
            </w:pPr>
          </w:p>
        </w:tc>
        <w:tc>
          <w:tcPr>
            <w:tcW w:w="2835" w:type="dxa"/>
            <w:shd w:val="clear" w:color="auto" w:fill="auto"/>
            <w:vAlign w:val="center"/>
          </w:tcPr>
          <w:p w14:paraId="74B55AA7" w14:textId="77777777" w:rsidR="00E579B9" w:rsidRDefault="006A1398">
            <w:pPr>
              <w:pStyle w:val="aa"/>
            </w:pPr>
            <w:r>
              <w:t>年所得税</w:t>
            </w:r>
          </w:p>
        </w:tc>
        <w:tc>
          <w:tcPr>
            <w:tcW w:w="993" w:type="dxa"/>
            <w:shd w:val="clear" w:color="auto" w:fill="auto"/>
            <w:vAlign w:val="center"/>
          </w:tcPr>
          <w:p w14:paraId="6C63B39F" w14:textId="77777777" w:rsidR="00E579B9" w:rsidRDefault="006A1398">
            <w:pPr>
              <w:pStyle w:val="aa"/>
            </w:pPr>
            <w:r>
              <w:t>万元</w:t>
            </w:r>
          </w:p>
        </w:tc>
        <w:tc>
          <w:tcPr>
            <w:tcW w:w="2438" w:type="dxa"/>
            <w:shd w:val="clear" w:color="auto" w:fill="auto"/>
            <w:vAlign w:val="center"/>
          </w:tcPr>
          <w:p w14:paraId="47EEDDD0" w14:textId="77777777" w:rsidR="00E579B9" w:rsidRDefault="006A1398">
            <w:pPr>
              <w:pStyle w:val="aa"/>
            </w:pPr>
            <w:r>
              <w:t>1195.17</w:t>
            </w:r>
          </w:p>
        </w:tc>
        <w:tc>
          <w:tcPr>
            <w:tcW w:w="2005" w:type="dxa"/>
            <w:shd w:val="clear" w:color="auto" w:fill="auto"/>
            <w:vAlign w:val="center"/>
          </w:tcPr>
          <w:p w14:paraId="31C04290" w14:textId="77777777" w:rsidR="00E579B9" w:rsidRDefault="006A1398">
            <w:pPr>
              <w:pStyle w:val="aa"/>
            </w:pPr>
            <w:r>
              <w:rPr>
                <w:rFonts w:hint="eastAsia"/>
              </w:rPr>
              <w:t>/</w:t>
            </w:r>
          </w:p>
        </w:tc>
      </w:tr>
      <w:tr w:rsidR="00E579B9" w14:paraId="140214E6" w14:textId="77777777">
        <w:trPr>
          <w:cantSplit/>
          <w:trHeight w:val="20"/>
          <w:jc w:val="center"/>
        </w:trPr>
        <w:tc>
          <w:tcPr>
            <w:tcW w:w="675" w:type="dxa"/>
            <w:shd w:val="clear" w:color="auto" w:fill="auto"/>
            <w:vAlign w:val="center"/>
          </w:tcPr>
          <w:p w14:paraId="5217CC05" w14:textId="77777777" w:rsidR="00E579B9" w:rsidRDefault="00E579B9">
            <w:pPr>
              <w:pStyle w:val="aa"/>
              <w:numPr>
                <w:ilvl w:val="0"/>
                <w:numId w:val="13"/>
              </w:numPr>
            </w:pPr>
          </w:p>
        </w:tc>
        <w:tc>
          <w:tcPr>
            <w:tcW w:w="2835" w:type="dxa"/>
            <w:shd w:val="clear" w:color="auto" w:fill="auto"/>
            <w:vAlign w:val="center"/>
          </w:tcPr>
          <w:p w14:paraId="75FABB92" w14:textId="77777777" w:rsidR="00E579B9" w:rsidRDefault="006A1398">
            <w:pPr>
              <w:pStyle w:val="aa"/>
            </w:pPr>
            <w:r>
              <w:t>年净利润</w:t>
            </w:r>
          </w:p>
        </w:tc>
        <w:tc>
          <w:tcPr>
            <w:tcW w:w="993" w:type="dxa"/>
            <w:shd w:val="clear" w:color="auto" w:fill="auto"/>
            <w:vAlign w:val="center"/>
          </w:tcPr>
          <w:p w14:paraId="2EFAD57D" w14:textId="77777777" w:rsidR="00E579B9" w:rsidRDefault="006A1398">
            <w:pPr>
              <w:pStyle w:val="aa"/>
            </w:pPr>
            <w:r>
              <w:t>万元</w:t>
            </w:r>
          </w:p>
        </w:tc>
        <w:tc>
          <w:tcPr>
            <w:tcW w:w="2438" w:type="dxa"/>
            <w:shd w:val="clear" w:color="auto" w:fill="auto"/>
            <w:vAlign w:val="center"/>
          </w:tcPr>
          <w:p w14:paraId="67DCE337" w14:textId="77777777" w:rsidR="00E579B9" w:rsidRDefault="006A1398">
            <w:pPr>
              <w:pStyle w:val="aa"/>
            </w:pPr>
            <w:r>
              <w:t>3585.49</w:t>
            </w:r>
          </w:p>
        </w:tc>
        <w:tc>
          <w:tcPr>
            <w:tcW w:w="2005" w:type="dxa"/>
            <w:shd w:val="clear" w:color="auto" w:fill="auto"/>
            <w:vAlign w:val="center"/>
          </w:tcPr>
          <w:p w14:paraId="2005A7C6" w14:textId="77777777" w:rsidR="00E579B9" w:rsidRDefault="006A1398">
            <w:pPr>
              <w:pStyle w:val="aa"/>
            </w:pPr>
            <w:r>
              <w:rPr>
                <w:rFonts w:hint="eastAsia"/>
              </w:rPr>
              <w:t>/</w:t>
            </w:r>
          </w:p>
        </w:tc>
      </w:tr>
      <w:tr w:rsidR="00E579B9" w14:paraId="5FDBA206" w14:textId="77777777">
        <w:trPr>
          <w:cantSplit/>
          <w:trHeight w:val="20"/>
          <w:jc w:val="center"/>
        </w:trPr>
        <w:tc>
          <w:tcPr>
            <w:tcW w:w="675" w:type="dxa"/>
            <w:shd w:val="clear" w:color="auto" w:fill="auto"/>
            <w:vAlign w:val="center"/>
          </w:tcPr>
          <w:p w14:paraId="2EE87759" w14:textId="77777777" w:rsidR="00E579B9" w:rsidRDefault="00E579B9">
            <w:pPr>
              <w:pStyle w:val="aa"/>
              <w:numPr>
                <w:ilvl w:val="0"/>
                <w:numId w:val="13"/>
              </w:numPr>
            </w:pPr>
          </w:p>
        </w:tc>
        <w:tc>
          <w:tcPr>
            <w:tcW w:w="2835" w:type="dxa"/>
            <w:shd w:val="clear" w:color="auto" w:fill="auto"/>
            <w:vAlign w:val="center"/>
          </w:tcPr>
          <w:p w14:paraId="2737693A" w14:textId="77777777" w:rsidR="00E579B9" w:rsidRDefault="006A1398">
            <w:pPr>
              <w:pStyle w:val="aa"/>
            </w:pPr>
            <w:r>
              <w:rPr>
                <w:bCs/>
              </w:rPr>
              <w:t>静态</w:t>
            </w:r>
            <w:r>
              <w:t>投资回收期</w:t>
            </w:r>
          </w:p>
        </w:tc>
        <w:tc>
          <w:tcPr>
            <w:tcW w:w="993" w:type="dxa"/>
            <w:shd w:val="clear" w:color="auto" w:fill="auto"/>
            <w:vAlign w:val="center"/>
          </w:tcPr>
          <w:p w14:paraId="13CC8C06" w14:textId="77777777" w:rsidR="00E579B9" w:rsidRDefault="006A1398">
            <w:pPr>
              <w:pStyle w:val="aa"/>
            </w:pPr>
            <w:r>
              <w:t>年</w:t>
            </w:r>
          </w:p>
        </w:tc>
        <w:tc>
          <w:tcPr>
            <w:tcW w:w="2438" w:type="dxa"/>
            <w:shd w:val="clear" w:color="auto" w:fill="auto"/>
            <w:vAlign w:val="center"/>
          </w:tcPr>
          <w:p w14:paraId="29246D44" w14:textId="77777777" w:rsidR="00E579B9" w:rsidRDefault="006A1398">
            <w:pPr>
              <w:pStyle w:val="aa"/>
            </w:pPr>
            <w:r>
              <w:t>2.6</w:t>
            </w:r>
          </w:p>
        </w:tc>
        <w:tc>
          <w:tcPr>
            <w:tcW w:w="2005" w:type="dxa"/>
            <w:shd w:val="clear" w:color="auto" w:fill="auto"/>
            <w:vAlign w:val="center"/>
          </w:tcPr>
          <w:p w14:paraId="75808E2F" w14:textId="77777777" w:rsidR="00E579B9" w:rsidRDefault="006A1398">
            <w:pPr>
              <w:pStyle w:val="aa"/>
            </w:pPr>
            <w:r>
              <w:rPr>
                <w:rFonts w:hint="eastAsia"/>
              </w:rPr>
              <w:t>/</w:t>
            </w:r>
          </w:p>
        </w:tc>
      </w:tr>
      <w:tr w:rsidR="00E579B9" w14:paraId="70683CB4" w14:textId="77777777">
        <w:trPr>
          <w:cantSplit/>
          <w:trHeight w:val="20"/>
          <w:jc w:val="center"/>
        </w:trPr>
        <w:tc>
          <w:tcPr>
            <w:tcW w:w="675" w:type="dxa"/>
            <w:shd w:val="clear" w:color="auto" w:fill="auto"/>
            <w:vAlign w:val="center"/>
          </w:tcPr>
          <w:p w14:paraId="07E3B140" w14:textId="77777777" w:rsidR="00E579B9" w:rsidRDefault="00E579B9">
            <w:pPr>
              <w:pStyle w:val="aa"/>
              <w:numPr>
                <w:ilvl w:val="0"/>
                <w:numId w:val="13"/>
              </w:numPr>
            </w:pPr>
          </w:p>
        </w:tc>
        <w:tc>
          <w:tcPr>
            <w:tcW w:w="2835" w:type="dxa"/>
            <w:shd w:val="clear" w:color="auto" w:fill="auto"/>
            <w:vAlign w:val="center"/>
          </w:tcPr>
          <w:p w14:paraId="45139B66" w14:textId="77777777" w:rsidR="00E579B9" w:rsidRDefault="006A1398">
            <w:pPr>
              <w:pStyle w:val="aa"/>
            </w:pPr>
            <w:r>
              <w:t>劳动定员</w:t>
            </w:r>
          </w:p>
        </w:tc>
        <w:tc>
          <w:tcPr>
            <w:tcW w:w="993" w:type="dxa"/>
            <w:shd w:val="clear" w:color="auto" w:fill="auto"/>
            <w:vAlign w:val="center"/>
          </w:tcPr>
          <w:p w14:paraId="1C3D65E8" w14:textId="77777777" w:rsidR="00E579B9" w:rsidRDefault="006A1398">
            <w:pPr>
              <w:pStyle w:val="aa"/>
            </w:pPr>
            <w:r>
              <w:t>人</w:t>
            </w:r>
          </w:p>
        </w:tc>
        <w:tc>
          <w:tcPr>
            <w:tcW w:w="2438" w:type="dxa"/>
            <w:shd w:val="clear" w:color="auto" w:fill="auto"/>
            <w:vAlign w:val="center"/>
          </w:tcPr>
          <w:p w14:paraId="7A7B448D" w14:textId="77777777" w:rsidR="00E579B9" w:rsidRDefault="006A1398">
            <w:pPr>
              <w:pStyle w:val="aa"/>
              <w:rPr>
                <w:highlight w:val="yellow"/>
              </w:rPr>
            </w:pPr>
            <w:r>
              <w:t>159</w:t>
            </w:r>
          </w:p>
        </w:tc>
        <w:tc>
          <w:tcPr>
            <w:tcW w:w="2005" w:type="dxa"/>
            <w:shd w:val="clear" w:color="auto" w:fill="auto"/>
            <w:vAlign w:val="center"/>
          </w:tcPr>
          <w:p w14:paraId="6601DC2B" w14:textId="77777777" w:rsidR="00E579B9" w:rsidRDefault="006A1398">
            <w:pPr>
              <w:pStyle w:val="aa"/>
            </w:pPr>
            <w:r>
              <w:rPr>
                <w:rFonts w:hint="eastAsia"/>
              </w:rPr>
              <w:t>/</w:t>
            </w:r>
          </w:p>
        </w:tc>
      </w:tr>
      <w:tr w:rsidR="00E579B9" w14:paraId="530ADD95" w14:textId="77777777">
        <w:trPr>
          <w:cantSplit/>
          <w:trHeight w:val="20"/>
          <w:jc w:val="center"/>
        </w:trPr>
        <w:tc>
          <w:tcPr>
            <w:tcW w:w="675" w:type="dxa"/>
            <w:shd w:val="clear" w:color="auto" w:fill="auto"/>
            <w:vAlign w:val="center"/>
          </w:tcPr>
          <w:p w14:paraId="69EDB27C" w14:textId="77777777" w:rsidR="00E579B9" w:rsidRDefault="00E579B9">
            <w:pPr>
              <w:pStyle w:val="aa"/>
              <w:numPr>
                <w:ilvl w:val="0"/>
                <w:numId w:val="13"/>
              </w:numPr>
            </w:pPr>
          </w:p>
        </w:tc>
        <w:tc>
          <w:tcPr>
            <w:tcW w:w="2835" w:type="dxa"/>
            <w:shd w:val="clear" w:color="auto" w:fill="auto"/>
            <w:vAlign w:val="center"/>
          </w:tcPr>
          <w:p w14:paraId="5EE52ADE" w14:textId="77777777" w:rsidR="00E579B9" w:rsidRDefault="006A1398">
            <w:pPr>
              <w:pStyle w:val="aa"/>
            </w:pPr>
            <w:r>
              <w:t>全员劳动生产率</w:t>
            </w:r>
          </w:p>
        </w:tc>
        <w:tc>
          <w:tcPr>
            <w:tcW w:w="993" w:type="dxa"/>
            <w:shd w:val="clear" w:color="auto" w:fill="auto"/>
            <w:vAlign w:val="center"/>
          </w:tcPr>
          <w:p w14:paraId="18AA6F1A" w14:textId="77777777" w:rsidR="00E579B9" w:rsidRDefault="006A1398">
            <w:pPr>
              <w:pStyle w:val="aa"/>
            </w:pPr>
            <w:r>
              <w:t>万</w:t>
            </w:r>
            <w:r>
              <w:t>t/</w:t>
            </w:r>
            <w:r>
              <w:t>人</w:t>
            </w:r>
            <w:r>
              <w:t>a</w:t>
            </w:r>
          </w:p>
        </w:tc>
        <w:tc>
          <w:tcPr>
            <w:tcW w:w="2438" w:type="dxa"/>
            <w:shd w:val="clear" w:color="auto" w:fill="auto"/>
            <w:vAlign w:val="center"/>
          </w:tcPr>
          <w:p w14:paraId="5D74F3DD" w14:textId="77777777" w:rsidR="00E579B9" w:rsidRDefault="006A1398">
            <w:pPr>
              <w:pStyle w:val="aa"/>
              <w:rPr>
                <w:highlight w:val="yellow"/>
              </w:rPr>
            </w:pPr>
            <w:r>
              <w:t>4.4</w:t>
            </w:r>
          </w:p>
        </w:tc>
        <w:tc>
          <w:tcPr>
            <w:tcW w:w="2005" w:type="dxa"/>
            <w:shd w:val="clear" w:color="auto" w:fill="auto"/>
            <w:vAlign w:val="center"/>
          </w:tcPr>
          <w:p w14:paraId="6ABC40B2" w14:textId="77777777" w:rsidR="00E579B9" w:rsidRDefault="006A1398">
            <w:pPr>
              <w:pStyle w:val="aa"/>
            </w:pPr>
            <w:r>
              <w:rPr>
                <w:rFonts w:hint="eastAsia"/>
              </w:rPr>
              <w:t>/</w:t>
            </w:r>
          </w:p>
        </w:tc>
      </w:tr>
      <w:tr w:rsidR="00E579B9" w14:paraId="0B2575E2" w14:textId="77777777">
        <w:trPr>
          <w:cantSplit/>
          <w:trHeight w:val="20"/>
          <w:jc w:val="center"/>
        </w:trPr>
        <w:tc>
          <w:tcPr>
            <w:tcW w:w="675" w:type="dxa"/>
            <w:shd w:val="clear" w:color="auto" w:fill="auto"/>
            <w:vAlign w:val="center"/>
          </w:tcPr>
          <w:p w14:paraId="62E36CB3" w14:textId="77777777" w:rsidR="00E579B9" w:rsidRDefault="00E579B9">
            <w:pPr>
              <w:pStyle w:val="aa"/>
              <w:numPr>
                <w:ilvl w:val="0"/>
                <w:numId w:val="13"/>
              </w:numPr>
            </w:pPr>
          </w:p>
        </w:tc>
        <w:tc>
          <w:tcPr>
            <w:tcW w:w="2835" w:type="dxa"/>
            <w:shd w:val="clear" w:color="auto" w:fill="auto"/>
            <w:vAlign w:val="center"/>
          </w:tcPr>
          <w:p w14:paraId="49CE0B7C" w14:textId="77777777" w:rsidR="00E579B9" w:rsidRDefault="006A1398">
            <w:pPr>
              <w:pStyle w:val="aa"/>
            </w:pPr>
            <w:r>
              <w:rPr>
                <w:rFonts w:hint="eastAsia"/>
              </w:rPr>
              <w:t>固废综合利用率</w:t>
            </w:r>
          </w:p>
        </w:tc>
        <w:tc>
          <w:tcPr>
            <w:tcW w:w="993" w:type="dxa"/>
            <w:shd w:val="clear" w:color="auto" w:fill="auto"/>
            <w:vAlign w:val="center"/>
          </w:tcPr>
          <w:p w14:paraId="009B6293" w14:textId="77777777" w:rsidR="00E579B9" w:rsidRDefault="006A1398">
            <w:pPr>
              <w:pStyle w:val="aa"/>
            </w:pPr>
            <w:r>
              <w:rPr>
                <w:rFonts w:hint="eastAsia"/>
              </w:rPr>
              <w:t>%</w:t>
            </w:r>
          </w:p>
        </w:tc>
        <w:tc>
          <w:tcPr>
            <w:tcW w:w="2438" w:type="dxa"/>
            <w:shd w:val="clear" w:color="auto" w:fill="auto"/>
            <w:vAlign w:val="center"/>
          </w:tcPr>
          <w:p w14:paraId="642162AA" w14:textId="77777777" w:rsidR="00E579B9" w:rsidRDefault="006A1398">
            <w:pPr>
              <w:pStyle w:val="aa"/>
            </w:pPr>
            <w:r>
              <w:rPr>
                <w:rFonts w:hint="eastAsia"/>
              </w:rPr>
              <w:t>1</w:t>
            </w:r>
            <w:r>
              <w:t>00</w:t>
            </w:r>
          </w:p>
        </w:tc>
        <w:tc>
          <w:tcPr>
            <w:tcW w:w="2005" w:type="dxa"/>
            <w:shd w:val="clear" w:color="auto" w:fill="auto"/>
            <w:vAlign w:val="center"/>
          </w:tcPr>
          <w:p w14:paraId="6FD2F59D" w14:textId="77777777" w:rsidR="00E579B9" w:rsidRDefault="006A1398">
            <w:pPr>
              <w:pStyle w:val="aa"/>
            </w:pPr>
            <w:r>
              <w:rPr>
                <w:rFonts w:hint="eastAsia"/>
              </w:rPr>
              <w:t>/</w:t>
            </w:r>
          </w:p>
        </w:tc>
      </w:tr>
    </w:tbl>
    <w:p w14:paraId="37281DAB" w14:textId="77777777" w:rsidR="00E579B9" w:rsidRDefault="006A1398">
      <w:pPr>
        <w:pStyle w:val="2"/>
        <w:ind w:firstLine="560"/>
      </w:pPr>
      <w:bookmarkStart w:id="461" w:name="_Toc535847587"/>
      <w:bookmarkStart w:id="462" w:name="_Toc33021825"/>
      <w:r>
        <w:rPr>
          <w:rFonts w:hint="eastAsia"/>
        </w:rPr>
        <w:t>8.4</w:t>
      </w:r>
      <w:r>
        <w:rPr>
          <w:rFonts w:hint="eastAsia"/>
        </w:rPr>
        <w:t>环境经济损益分析</w:t>
      </w:r>
      <w:bookmarkEnd w:id="461"/>
      <w:bookmarkEnd w:id="462"/>
    </w:p>
    <w:p w14:paraId="1906F64D" w14:textId="77777777" w:rsidR="00E579B9" w:rsidRDefault="006A1398">
      <w:pPr>
        <w:pStyle w:val="3"/>
        <w:ind w:firstLine="560"/>
      </w:pPr>
      <w:bookmarkStart w:id="463" w:name="_Toc535847588"/>
      <w:r>
        <w:rPr>
          <w:rFonts w:hint="eastAsia"/>
        </w:rPr>
        <w:t>8.4.1</w:t>
      </w:r>
      <w:r>
        <w:rPr>
          <w:rFonts w:hint="eastAsia"/>
        </w:rPr>
        <w:t>环保投资</w:t>
      </w:r>
      <w:bookmarkEnd w:id="463"/>
    </w:p>
    <w:p w14:paraId="3B239EE5" w14:textId="77777777" w:rsidR="00E579B9" w:rsidRDefault="006A1398">
      <w:r>
        <w:rPr>
          <w:rFonts w:hint="eastAsia"/>
        </w:rPr>
        <w:t>根据《建设项目环境保护设计规定》</w:t>
      </w:r>
      <w:r>
        <w:rPr>
          <w:rFonts w:hint="eastAsia"/>
        </w:rPr>
        <w:t>(87)</w:t>
      </w:r>
      <w:r>
        <w:rPr>
          <w:rFonts w:hint="eastAsia"/>
        </w:rPr>
        <w:t>国环字第</w:t>
      </w:r>
      <w:r>
        <w:rPr>
          <w:rFonts w:hint="eastAsia"/>
        </w:rPr>
        <w:t>002</w:t>
      </w:r>
      <w:r>
        <w:rPr>
          <w:rFonts w:hint="eastAsia"/>
        </w:rPr>
        <w:t>号文件相关规定及项目环</w:t>
      </w:r>
      <w:r>
        <w:t>境治理特点，其环境保护投资主要包括施工期及营运期用于保护环境、设置水土保持功能所需投资，闭矿期生态恢复投资。项目环境保护投资</w:t>
      </w:r>
      <w:r>
        <w:rPr>
          <w:rFonts w:hint="eastAsia"/>
        </w:rPr>
        <w:t>509</w:t>
      </w:r>
      <w:r>
        <w:t>万元，项目总投资</w:t>
      </w:r>
      <w:r>
        <w:t>5000</w:t>
      </w:r>
      <w:r>
        <w:t>万元，环保措施投资占总投资额的</w:t>
      </w:r>
      <w:r>
        <w:t>10.18%</w:t>
      </w:r>
      <w:r>
        <w:rPr>
          <w:rFonts w:hint="eastAsia"/>
        </w:rPr>
        <w:t>，</w:t>
      </w:r>
      <w:r>
        <w:t>环保投资中生态恢复投资约</w:t>
      </w:r>
      <w:r>
        <w:t>296</w:t>
      </w:r>
      <w:r>
        <w:t>万元。</w:t>
      </w:r>
    </w:p>
    <w:p w14:paraId="60939680" w14:textId="77777777" w:rsidR="00E579B9" w:rsidRDefault="006A1398">
      <w:pPr>
        <w:pStyle w:val="3"/>
        <w:ind w:firstLine="560"/>
      </w:pPr>
      <w:bookmarkStart w:id="464" w:name="_Toc535847589"/>
      <w:r>
        <w:rPr>
          <w:rFonts w:hint="eastAsia"/>
        </w:rPr>
        <w:t>8.4.2</w:t>
      </w:r>
      <w:r>
        <w:rPr>
          <w:rFonts w:hint="eastAsia"/>
        </w:rPr>
        <w:t>环境费用</w:t>
      </w:r>
      <w:bookmarkEnd w:id="464"/>
    </w:p>
    <w:p w14:paraId="19018824" w14:textId="77777777" w:rsidR="00E579B9" w:rsidRDefault="006A1398">
      <w:r>
        <w:rPr>
          <w:rFonts w:hint="eastAsia"/>
        </w:rPr>
        <w:t>环境费用主要包括环境代价和环境成本二部分。</w:t>
      </w:r>
    </w:p>
    <w:p w14:paraId="6AD0862C" w14:textId="77777777" w:rsidR="00E579B9" w:rsidRDefault="006A1398">
      <w:r>
        <w:t>（</w:t>
      </w:r>
      <w:r>
        <w:t>1</w:t>
      </w:r>
      <w:r>
        <w:t>）环境代价</w:t>
      </w:r>
    </w:p>
    <w:p w14:paraId="5CB82F8F" w14:textId="77777777" w:rsidR="00E579B9" w:rsidRDefault="006A1398">
      <w:r>
        <w:t>本项目建设在给当地带来经济、社会效益的同时，也带来环境污染问题，其投产后产生的污染对环境的经济代价按下式估算：</w:t>
      </w:r>
    </w:p>
    <w:p w14:paraId="2105583E" w14:textId="77777777" w:rsidR="00E579B9" w:rsidRDefault="006A1398">
      <w:r>
        <w:t>环境代价</w:t>
      </w:r>
      <w:r>
        <w:t>=A+B</w:t>
      </w:r>
    </w:p>
    <w:p w14:paraId="65170D73" w14:textId="77777777" w:rsidR="00E579B9" w:rsidRDefault="006A1398">
      <w:r>
        <w:t>式中：</w:t>
      </w:r>
      <w:r>
        <w:t>A—</w:t>
      </w:r>
      <w:r>
        <w:t>排污费；</w:t>
      </w:r>
    </w:p>
    <w:p w14:paraId="406BE731" w14:textId="77777777" w:rsidR="00E579B9" w:rsidRDefault="006A1398">
      <w:r>
        <w:t>B—</w:t>
      </w:r>
      <w:r>
        <w:t>人群健康损失代价。</w:t>
      </w:r>
    </w:p>
    <w:p w14:paraId="06912AA8" w14:textId="77777777" w:rsidR="00E579B9" w:rsidRDefault="006A1398">
      <w:r>
        <w:rPr>
          <w:rFonts w:hint="eastAsia"/>
        </w:rPr>
        <w:t>①</w:t>
      </w:r>
      <w:r>
        <w:t>排污费（</w:t>
      </w:r>
      <w:r>
        <w:t>A</w:t>
      </w:r>
      <w:r>
        <w:t>）</w:t>
      </w:r>
    </w:p>
    <w:p w14:paraId="0A1E1912" w14:textId="77777777" w:rsidR="00E579B9" w:rsidRDefault="006A1398">
      <w:r>
        <w:t>本项目污废水零排放，噪声达标排放，</w:t>
      </w:r>
      <w:r>
        <w:rPr>
          <w:rFonts w:hint="eastAsia"/>
        </w:rPr>
        <w:t>表土场</w:t>
      </w:r>
      <w:r>
        <w:t>符合一般工业固体废物贮存、处置场污染控制标准，大气污染物主要是粉尘排放。因此本项目无排污费。</w:t>
      </w:r>
    </w:p>
    <w:p w14:paraId="3FB47732" w14:textId="77777777" w:rsidR="00E579B9" w:rsidRDefault="006A1398">
      <w:r>
        <w:rPr>
          <w:rFonts w:hint="eastAsia"/>
        </w:rPr>
        <w:t>②</w:t>
      </w:r>
      <w:r>
        <w:t>人群健康损失代价（</w:t>
      </w:r>
      <w:r>
        <w:t>B</w:t>
      </w:r>
      <w:r>
        <w:t>）</w:t>
      </w:r>
    </w:p>
    <w:p w14:paraId="094D80B9" w14:textId="77777777" w:rsidR="00E579B9" w:rsidRDefault="006A1398">
      <w:r>
        <w:t>本项目大气污染物主要来源于露天开采、矿石破碎、废石加工、运输等过程中产生的粉尘污染。会引起工作人员呼吸系统、消化系统的疾病。根据一般情况估计，职工的医疗检查、保健和药物使用的需要，以每年每人</w:t>
      </w:r>
      <w:r>
        <w:t>200</w:t>
      </w:r>
      <w:r>
        <w:t>元计，项目</w:t>
      </w:r>
      <w:r>
        <w:rPr>
          <w:rFonts w:hint="eastAsia"/>
        </w:rPr>
        <w:t>劳动</w:t>
      </w:r>
      <w:r>
        <w:t>定员</w:t>
      </w:r>
      <w:r>
        <w:rPr>
          <w:rFonts w:hint="eastAsia"/>
        </w:rPr>
        <w:t>按最大劳动定员计取，</w:t>
      </w:r>
      <w:r>
        <w:t>总人数</w:t>
      </w:r>
      <w:r>
        <w:rPr>
          <w:rFonts w:hint="eastAsia"/>
        </w:rPr>
        <w:t>为</w:t>
      </w:r>
      <w:r>
        <w:t>159</w:t>
      </w:r>
      <w:r>
        <w:t>人，则人群健康损失代价为</w:t>
      </w:r>
      <w:r>
        <w:t>3.18</w:t>
      </w:r>
      <w:r>
        <w:t>万元</w:t>
      </w:r>
      <w:r>
        <w:t>/</w:t>
      </w:r>
      <w:r>
        <w:t>年。</w:t>
      </w:r>
    </w:p>
    <w:p w14:paraId="7D4FFE96" w14:textId="77777777" w:rsidR="00E579B9" w:rsidRDefault="006A1398">
      <w:r>
        <w:t>（</w:t>
      </w:r>
      <w:r>
        <w:t>2</w:t>
      </w:r>
      <w:r>
        <w:t>）环境成本</w:t>
      </w:r>
    </w:p>
    <w:p w14:paraId="00E6C857" w14:textId="77777777" w:rsidR="00E579B9" w:rsidRDefault="006A1398">
      <w:r>
        <w:lastRenderedPageBreak/>
        <w:t>环境成本主要指环境保护工程折旧费和环保工程运行管理费用两项内容。</w:t>
      </w:r>
    </w:p>
    <w:p w14:paraId="30A07139" w14:textId="77777777" w:rsidR="00E579B9" w:rsidRDefault="006A1398">
      <w:pPr>
        <w:pStyle w:val="af3"/>
        <w:numPr>
          <w:ilvl w:val="0"/>
          <w:numId w:val="14"/>
        </w:numPr>
        <w:ind w:firstLineChars="0"/>
      </w:pPr>
      <w:r>
        <w:t>环境保护设施折旧费和贷款利率</w:t>
      </w:r>
    </w:p>
    <w:p w14:paraId="1624535B" w14:textId="77777777" w:rsidR="00E579B9" w:rsidRDefault="006A1398">
      <w:r>
        <w:rPr>
          <w:noProof/>
        </w:rPr>
        <w:drawing>
          <wp:anchor distT="0" distB="0" distL="114300" distR="114300" simplePos="0" relativeHeight="251742208" behindDoc="0" locked="0" layoutInCell="1" allowOverlap="1" wp14:anchorId="79007D7D" wp14:editId="22DB0F09">
            <wp:simplePos x="0" y="0"/>
            <wp:positionH relativeFrom="margin">
              <wp:posOffset>2127250</wp:posOffset>
            </wp:positionH>
            <wp:positionV relativeFrom="paragraph">
              <wp:posOffset>297815</wp:posOffset>
            </wp:positionV>
            <wp:extent cx="1256665" cy="546100"/>
            <wp:effectExtent l="0" t="0" r="635" b="6350"/>
            <wp:wrapNone/>
            <wp:docPr id="7" name="图片 7" descr="Y]V~EX__R2OHEHH[2[`L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V~EX__R2OHEHH[2[`L4E7"/>
                    <pic:cNvPicPr>
                      <a:picLocks noChangeAspect="1"/>
                    </pic:cNvPicPr>
                  </pic:nvPicPr>
                  <pic:blipFill>
                    <a:blip r:embed="rId84" cstate="print"/>
                    <a:stretch>
                      <a:fillRect/>
                    </a:stretch>
                  </pic:blipFill>
                  <pic:spPr>
                    <a:xfrm>
                      <a:off x="0" y="0"/>
                      <a:ext cx="1256665" cy="546100"/>
                    </a:xfrm>
                    <a:prstGeom prst="rect">
                      <a:avLst/>
                    </a:prstGeom>
                    <a:noFill/>
                    <a:ln w="9525">
                      <a:noFill/>
                    </a:ln>
                  </pic:spPr>
                </pic:pic>
              </a:graphicData>
            </a:graphic>
          </wp:anchor>
        </w:drawing>
      </w:r>
      <w:r>
        <w:t>本环保设备设计年限为</w:t>
      </w:r>
      <w:r>
        <w:t>9.5</w:t>
      </w:r>
      <w:r>
        <w:t>年，残值率按</w:t>
      </w:r>
      <w:r>
        <w:t>5%</w:t>
      </w:r>
      <w:r>
        <w:t>计，按等值折旧计算，其折旧费为：</w:t>
      </w:r>
    </w:p>
    <w:p w14:paraId="0A9E7928" w14:textId="77777777" w:rsidR="00E579B9" w:rsidRDefault="00E579B9"/>
    <w:p w14:paraId="7C9A9A01" w14:textId="77777777" w:rsidR="00E579B9" w:rsidRDefault="006A1398">
      <w:r>
        <w:t>其中：</w:t>
      </w:r>
      <w:r>
        <w:t>a–</w:t>
      </w:r>
      <w:r>
        <w:t>环保工程投资费用；</w:t>
      </w:r>
    </w:p>
    <w:p w14:paraId="52130FD6" w14:textId="77777777" w:rsidR="00E579B9" w:rsidRDefault="006A1398">
      <w:r>
        <w:t>n–</w:t>
      </w:r>
      <w:r>
        <w:t>设备折旧年限；</w:t>
      </w:r>
    </w:p>
    <w:p w14:paraId="40536387" w14:textId="77777777" w:rsidR="00E579B9" w:rsidRDefault="006A1398">
      <w:r>
        <w:t>β–</w:t>
      </w:r>
      <w:r>
        <w:t>残值率。</w:t>
      </w:r>
    </w:p>
    <w:p w14:paraId="5A1E0344" w14:textId="77777777" w:rsidR="00E579B9" w:rsidRDefault="006A1398">
      <w:r>
        <w:t>由上式计算出环保设备折旧费为</w:t>
      </w:r>
      <w:r>
        <w:t>21.3</w:t>
      </w:r>
      <w:r>
        <w:t>万元</w:t>
      </w:r>
      <w:r>
        <w:t>/</w:t>
      </w:r>
      <w:r>
        <w:t>年。</w:t>
      </w:r>
    </w:p>
    <w:p w14:paraId="4C701DA5" w14:textId="77777777" w:rsidR="00E579B9" w:rsidRDefault="006A1398">
      <w:r>
        <w:rPr>
          <w:rFonts w:hint="eastAsia"/>
        </w:rPr>
        <w:t>②</w:t>
      </w:r>
      <w:r>
        <w:t>环保工程运行管理费用</w:t>
      </w:r>
    </w:p>
    <w:p w14:paraId="042E29E6" w14:textId="77777777" w:rsidR="00E579B9" w:rsidRDefault="006A1398">
      <w:r>
        <w:rPr>
          <w:rFonts w:hint="eastAsia"/>
        </w:rPr>
        <w:t>环保工程运行管理费用主要包括设备维修费、材料消耗费、管理费等。</w:t>
      </w:r>
    </w:p>
    <w:p w14:paraId="7A09FFB1" w14:textId="77777777" w:rsidR="00E579B9" w:rsidRDefault="006A1398">
      <w:r>
        <w:rPr>
          <w:rFonts w:hint="eastAsia"/>
        </w:rPr>
        <w:t>a</w:t>
      </w:r>
      <w:r>
        <w:rPr>
          <w:rFonts w:hint="eastAsia"/>
        </w:rPr>
        <w:t>．设备维修费取环保工程投资的</w:t>
      </w:r>
      <w:r>
        <w:rPr>
          <w:rFonts w:hint="eastAsia"/>
        </w:rPr>
        <w:t>1.5%</w:t>
      </w:r>
      <w:r>
        <w:rPr>
          <w:rFonts w:hint="eastAsia"/>
        </w:rPr>
        <w:t>，即</w:t>
      </w:r>
      <w:r>
        <w:t>7.64</w:t>
      </w:r>
      <w:r>
        <w:rPr>
          <w:rFonts w:hint="eastAsia"/>
        </w:rPr>
        <w:t>万元</w:t>
      </w:r>
      <w:r>
        <w:rPr>
          <w:rFonts w:hint="eastAsia"/>
        </w:rPr>
        <w:t>/</w:t>
      </w:r>
      <w:r>
        <w:rPr>
          <w:rFonts w:hint="eastAsia"/>
        </w:rPr>
        <w:t>年。</w:t>
      </w:r>
    </w:p>
    <w:p w14:paraId="6CA330C5" w14:textId="77777777" w:rsidR="00E579B9" w:rsidRDefault="006A1398">
      <w:r>
        <w:rPr>
          <w:rFonts w:hint="eastAsia"/>
        </w:rPr>
        <w:t>b</w:t>
      </w:r>
      <w:r>
        <w:rPr>
          <w:rFonts w:hint="eastAsia"/>
        </w:rPr>
        <w:t>．</w:t>
      </w:r>
      <w:r>
        <w:t>能源材料消耗：主要为水、电、汽等消耗，类比估算为</w:t>
      </w:r>
      <w:r>
        <w:t>5</w:t>
      </w:r>
      <w:r>
        <w:t>万元</w:t>
      </w:r>
      <w:r>
        <w:t>/</w:t>
      </w:r>
      <w:r>
        <w:t>年。</w:t>
      </w:r>
    </w:p>
    <w:p w14:paraId="4B92DEFD" w14:textId="77777777" w:rsidR="00E579B9" w:rsidRDefault="006A1398">
      <w:r>
        <w:t>c</w:t>
      </w:r>
      <w:r>
        <w:t>．管理监测费：科研咨询费及环保设备管理费取</w:t>
      </w:r>
      <w:r>
        <w:t>5</w:t>
      </w:r>
      <w:r>
        <w:t>万元</w:t>
      </w:r>
      <w:r>
        <w:t>/</w:t>
      </w:r>
      <w:r>
        <w:t>年。</w:t>
      </w:r>
    </w:p>
    <w:p w14:paraId="5C817FA0" w14:textId="77777777" w:rsidR="00E579B9" w:rsidRDefault="006A1398">
      <w:r>
        <w:t>环保工程运行管理费用总额</w:t>
      </w:r>
      <w:r>
        <w:rPr>
          <w:rFonts w:hint="eastAsia"/>
        </w:rPr>
        <w:t>17.64</w:t>
      </w:r>
      <w:r>
        <w:t>万元</w:t>
      </w:r>
      <w:r>
        <w:t>/</w:t>
      </w:r>
      <w:r>
        <w:t>年。</w:t>
      </w:r>
    </w:p>
    <w:p w14:paraId="6F0A16A8" w14:textId="77777777" w:rsidR="00E579B9" w:rsidRDefault="006A1398">
      <w:pPr>
        <w:pStyle w:val="af3"/>
        <w:numPr>
          <w:ilvl w:val="0"/>
          <w:numId w:val="14"/>
        </w:numPr>
        <w:ind w:firstLineChars="0"/>
      </w:pPr>
      <w:r>
        <w:t>环境成本</w:t>
      </w:r>
    </w:p>
    <w:p w14:paraId="71141CB2" w14:textId="77777777" w:rsidR="00E579B9" w:rsidRDefault="006A1398">
      <w:r>
        <w:rPr>
          <w:rFonts w:hint="eastAsia"/>
        </w:rPr>
        <w:t>经合计，环境成本为</w:t>
      </w:r>
      <w:r>
        <w:t>38.94</w:t>
      </w:r>
      <w:r>
        <w:rPr>
          <w:rFonts w:hint="eastAsia"/>
        </w:rPr>
        <w:t>万元</w:t>
      </w:r>
      <w:r>
        <w:rPr>
          <w:rFonts w:hint="eastAsia"/>
        </w:rPr>
        <w:t>/</w:t>
      </w:r>
      <w:r>
        <w:rPr>
          <w:rFonts w:hint="eastAsia"/>
        </w:rPr>
        <w:t>年。</w:t>
      </w:r>
    </w:p>
    <w:p w14:paraId="2B9DC7A2" w14:textId="77777777" w:rsidR="00E579B9" w:rsidRDefault="006A1398">
      <w:r>
        <w:rPr>
          <w:rFonts w:cs="Times New Roman"/>
        </w:rPr>
        <w:t>（</w:t>
      </w:r>
      <w:r>
        <w:rPr>
          <w:rFonts w:cs="Times New Roman"/>
        </w:rPr>
        <w:t>3</w:t>
      </w:r>
      <w:r>
        <w:rPr>
          <w:rFonts w:hint="eastAsia"/>
        </w:rPr>
        <w:t>）环境费用</w:t>
      </w:r>
    </w:p>
    <w:p w14:paraId="5F006C23" w14:textId="77777777" w:rsidR="00E579B9" w:rsidRDefault="006A1398">
      <w:r>
        <w:rPr>
          <w:rFonts w:hint="eastAsia"/>
        </w:rPr>
        <w:t>经计算，环境代价为</w:t>
      </w:r>
      <w:r>
        <w:t>3.18</w:t>
      </w:r>
      <w:r>
        <w:rPr>
          <w:rFonts w:hint="eastAsia"/>
        </w:rPr>
        <w:t>万元</w:t>
      </w:r>
      <w:r>
        <w:rPr>
          <w:rFonts w:hint="eastAsia"/>
        </w:rPr>
        <w:t>/</w:t>
      </w:r>
      <w:r>
        <w:rPr>
          <w:rFonts w:hint="eastAsia"/>
        </w:rPr>
        <w:t>年，环境成本为</w:t>
      </w:r>
      <w:r>
        <w:t>38.94</w:t>
      </w:r>
      <w:r>
        <w:rPr>
          <w:rFonts w:hint="eastAsia"/>
        </w:rPr>
        <w:t>万元</w:t>
      </w:r>
      <w:r>
        <w:rPr>
          <w:rFonts w:hint="eastAsia"/>
        </w:rPr>
        <w:t>/</w:t>
      </w:r>
      <w:r>
        <w:rPr>
          <w:rFonts w:hint="eastAsia"/>
        </w:rPr>
        <w:t>年，则环境费用为</w:t>
      </w:r>
      <w:r>
        <w:t>42.12</w:t>
      </w:r>
      <w:r>
        <w:rPr>
          <w:rFonts w:hint="eastAsia"/>
        </w:rPr>
        <w:t>万元</w:t>
      </w:r>
      <w:r>
        <w:rPr>
          <w:rFonts w:hint="eastAsia"/>
        </w:rPr>
        <w:t>/</w:t>
      </w:r>
      <w:r>
        <w:rPr>
          <w:rFonts w:hint="eastAsia"/>
        </w:rPr>
        <w:t>年。</w:t>
      </w:r>
    </w:p>
    <w:p w14:paraId="2E417633" w14:textId="77777777" w:rsidR="00E579B9" w:rsidRDefault="006A1398">
      <w:pPr>
        <w:pStyle w:val="3"/>
        <w:ind w:firstLine="560"/>
      </w:pPr>
      <w:r>
        <w:rPr>
          <w:rFonts w:hint="eastAsia"/>
        </w:rPr>
        <w:t>8.4.3</w:t>
      </w:r>
      <w:r>
        <w:rPr>
          <w:rFonts w:hint="eastAsia"/>
        </w:rPr>
        <w:t>环境效益</w:t>
      </w:r>
    </w:p>
    <w:p w14:paraId="20604331" w14:textId="426B242D" w:rsidR="00E579B9" w:rsidRDefault="006A1398">
      <w:r>
        <w:t>环境工程和环保设施的资金投入是建设项目控制污染、保护环境的重要组成部</w:t>
      </w:r>
      <w:r>
        <w:rPr>
          <w:spacing w:val="-3"/>
        </w:rPr>
        <w:t>分。虽投入一定的治理资金增加了单位产品的成本，但所产生的环境效益确实不容忽</w:t>
      </w:r>
      <w:r>
        <w:t>视的。拟建项目建成运行后主要环保设施的环境效益分析如下：</w:t>
      </w:r>
    </w:p>
    <w:p w14:paraId="27FE7F47" w14:textId="23579D0E" w:rsidR="00E579B9" w:rsidRDefault="006A1398">
      <w:pPr>
        <w:pStyle w:val="af3"/>
        <w:numPr>
          <w:ilvl w:val="0"/>
          <w:numId w:val="15"/>
        </w:numPr>
        <w:ind w:firstLineChars="0"/>
      </w:pPr>
      <w:r>
        <w:t>废气排放</w:t>
      </w:r>
    </w:p>
    <w:p w14:paraId="69657D6A" w14:textId="77777777" w:rsidR="00E579B9" w:rsidRDefault="006A1398">
      <w:pPr>
        <w:ind w:firstLineChars="0"/>
      </w:pPr>
      <w:r>
        <w:rPr>
          <w:spacing w:val="-3"/>
        </w:rPr>
        <w:t>本项目建成投产后，采用清洁生产工艺，本项目在生产过程中废气污染物均经有</w:t>
      </w:r>
      <w:r>
        <w:t>效处理后排放，对当地环境空气及生态系统影响较小。</w:t>
      </w:r>
    </w:p>
    <w:p w14:paraId="7589354E" w14:textId="7330D93B" w:rsidR="00E579B9" w:rsidRDefault="006A1398">
      <w:pPr>
        <w:pStyle w:val="af3"/>
        <w:numPr>
          <w:ilvl w:val="0"/>
          <w:numId w:val="15"/>
        </w:numPr>
        <w:ind w:firstLineChars="0"/>
      </w:pPr>
      <w:r>
        <w:t>废水排放</w:t>
      </w:r>
    </w:p>
    <w:p w14:paraId="2BCEDD76" w14:textId="77777777" w:rsidR="00E579B9" w:rsidRDefault="006A1398">
      <w:r>
        <w:lastRenderedPageBreak/>
        <w:t>项目产生的生活、生产废水污水经厂区处理后全部回用，不会对所在地地表水环境造成影响。</w:t>
      </w:r>
    </w:p>
    <w:p w14:paraId="3A12AF8A" w14:textId="340AA0A6" w:rsidR="00E579B9" w:rsidRDefault="006A1398">
      <w:pPr>
        <w:pStyle w:val="af3"/>
        <w:numPr>
          <w:ilvl w:val="0"/>
          <w:numId w:val="15"/>
        </w:numPr>
        <w:ind w:firstLineChars="0"/>
      </w:pPr>
      <w:r>
        <w:t>固废处置</w:t>
      </w:r>
    </w:p>
    <w:p w14:paraId="79E51965" w14:textId="16C1CFA8" w:rsidR="00E579B9" w:rsidRDefault="006A1398">
      <w:r>
        <w:t>项目生产过程中产生的固废均进行分类安全处置，生活垃圾由环卫部门定期清理。各项处置措施既可减少废物对外的排放量，又最大限度的减轻了对环境的污染。</w:t>
      </w:r>
    </w:p>
    <w:p w14:paraId="650C36D8" w14:textId="24482139" w:rsidR="00E579B9" w:rsidRDefault="006A1398">
      <w:pPr>
        <w:pStyle w:val="af3"/>
        <w:numPr>
          <w:ilvl w:val="0"/>
          <w:numId w:val="15"/>
        </w:numPr>
        <w:ind w:firstLineChars="0"/>
      </w:pPr>
      <w:r>
        <w:t>噪声控制</w:t>
      </w:r>
    </w:p>
    <w:p w14:paraId="20A0DFC0" w14:textId="7E2F3C3A" w:rsidR="00E579B9" w:rsidRDefault="006A1398">
      <w:r>
        <w:t>项目产生噪声采用隔声、减振等措施后，减轻对厂区周围环境的影响，周围声环境可以维持现状。</w:t>
      </w:r>
    </w:p>
    <w:p w14:paraId="56B49613" w14:textId="5D3F7E6E" w:rsidR="00E579B9" w:rsidRDefault="006A1398">
      <w:r>
        <w:t>本项目通过清洁生产和污染治理，使废水达标排放。清污分流以及废水达标处理</w:t>
      </w:r>
      <w:r>
        <w:rPr>
          <w:spacing w:val="-3"/>
        </w:rPr>
        <w:t>既防止了对内河的污染，保护了区域地表水水质和水生生态环境，也保护了群众的身体健康和经济效益。本项目通过清洁生产工艺达到污染物排放最小化，对区域内人体健康和农业生态的影响很小。固体废物的综合利用和安全处置减轻了对周围水体、环</w:t>
      </w:r>
      <w:r>
        <w:t>境空气、土壤等环境的影响。</w:t>
      </w:r>
    </w:p>
    <w:p w14:paraId="68EE421F" w14:textId="77777777" w:rsidR="00E579B9" w:rsidRDefault="006A1398">
      <w:pPr>
        <w:pStyle w:val="3"/>
        <w:ind w:firstLine="560"/>
      </w:pPr>
      <w:bookmarkStart w:id="465" w:name="_Toc535847590"/>
      <w:r>
        <w:rPr>
          <w:rFonts w:hint="eastAsia"/>
        </w:rPr>
        <w:t>8.</w:t>
      </w:r>
      <w:r>
        <w:t>4.</w:t>
      </w:r>
      <w:r>
        <w:rPr>
          <w:rFonts w:hint="eastAsia"/>
        </w:rPr>
        <w:t>4</w:t>
      </w:r>
      <w:r>
        <w:rPr>
          <w:rFonts w:hint="eastAsia"/>
        </w:rPr>
        <w:t>环境损益分析</w:t>
      </w:r>
      <w:bookmarkEnd w:id="465"/>
    </w:p>
    <w:p w14:paraId="176B9CB2" w14:textId="77777777" w:rsidR="00E579B9" w:rsidRDefault="006A1398">
      <w:r>
        <w:rPr>
          <w:rFonts w:hint="eastAsia"/>
        </w:rPr>
        <w:t>本项目的环境污染控制、生态保护措施在经济上可行。环境经济各项参数指标汇总见表</w:t>
      </w:r>
      <w:r>
        <w:t>8.4-1</w:t>
      </w:r>
      <w:r>
        <w:rPr>
          <w:rFonts w:hint="eastAsia"/>
        </w:rPr>
        <w:t>。</w:t>
      </w:r>
    </w:p>
    <w:p w14:paraId="16670EB1" w14:textId="77777777" w:rsidR="00E579B9" w:rsidRDefault="006A1398">
      <w:pPr>
        <w:pStyle w:val="21"/>
      </w:pPr>
      <w:r>
        <w:rPr>
          <w:rFonts w:hint="eastAsia"/>
        </w:rPr>
        <w:t>表</w:t>
      </w:r>
      <w:r>
        <w:t>8.4-1</w:t>
      </w:r>
      <w:r>
        <w:rPr>
          <w:rFonts w:hint="eastAsia"/>
        </w:rPr>
        <w:t>环境经济各项参数指标汇总</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3"/>
        <w:gridCol w:w="4473"/>
      </w:tblGrid>
      <w:tr w:rsidR="00E579B9" w14:paraId="697B3F32" w14:textId="77777777">
        <w:tc>
          <w:tcPr>
            <w:tcW w:w="4473" w:type="dxa"/>
            <w:vAlign w:val="center"/>
          </w:tcPr>
          <w:p w14:paraId="0AAB4E5B" w14:textId="77777777" w:rsidR="00E579B9" w:rsidRDefault="006A1398">
            <w:pPr>
              <w:pStyle w:val="aa"/>
            </w:pPr>
            <w:r>
              <w:rPr>
                <w:rFonts w:hint="eastAsia"/>
              </w:rPr>
              <w:t>参数</w:t>
            </w:r>
          </w:p>
        </w:tc>
        <w:tc>
          <w:tcPr>
            <w:tcW w:w="4473" w:type="dxa"/>
            <w:vAlign w:val="center"/>
          </w:tcPr>
          <w:p w14:paraId="68E9B96B" w14:textId="77777777" w:rsidR="00E579B9" w:rsidRDefault="006A1398">
            <w:pPr>
              <w:pStyle w:val="aa"/>
            </w:pPr>
            <w:r>
              <w:rPr>
                <w:rFonts w:hint="eastAsia"/>
              </w:rPr>
              <w:t>金额（万元）</w:t>
            </w:r>
          </w:p>
        </w:tc>
      </w:tr>
      <w:tr w:rsidR="00E579B9" w14:paraId="6D35FD03" w14:textId="77777777">
        <w:trPr>
          <w:trHeight w:val="296"/>
        </w:trPr>
        <w:tc>
          <w:tcPr>
            <w:tcW w:w="4473" w:type="dxa"/>
            <w:vAlign w:val="center"/>
          </w:tcPr>
          <w:p w14:paraId="38344EA3" w14:textId="77777777" w:rsidR="00E579B9" w:rsidRDefault="006A1398">
            <w:pPr>
              <w:pStyle w:val="aa"/>
            </w:pPr>
            <w:r>
              <w:rPr>
                <w:rFonts w:hint="eastAsia"/>
              </w:rPr>
              <w:t>工程总投资</w:t>
            </w:r>
          </w:p>
        </w:tc>
        <w:tc>
          <w:tcPr>
            <w:tcW w:w="4473" w:type="dxa"/>
            <w:vAlign w:val="center"/>
          </w:tcPr>
          <w:p w14:paraId="49B98527" w14:textId="77777777" w:rsidR="00E579B9" w:rsidRDefault="006A1398">
            <w:pPr>
              <w:pStyle w:val="aa"/>
            </w:pPr>
            <w:r>
              <w:rPr>
                <w:rFonts w:hint="eastAsia"/>
              </w:rPr>
              <w:t>5000</w:t>
            </w:r>
          </w:p>
        </w:tc>
      </w:tr>
      <w:tr w:rsidR="00E579B9" w14:paraId="35678A29" w14:textId="77777777">
        <w:tc>
          <w:tcPr>
            <w:tcW w:w="4473" w:type="dxa"/>
            <w:vAlign w:val="center"/>
          </w:tcPr>
          <w:p w14:paraId="4B383FBE" w14:textId="77777777" w:rsidR="00E579B9" w:rsidRDefault="006A1398">
            <w:pPr>
              <w:pStyle w:val="aa"/>
            </w:pPr>
            <w:r>
              <w:rPr>
                <w:rFonts w:hint="eastAsia"/>
              </w:rPr>
              <w:t>环保投资</w:t>
            </w:r>
          </w:p>
        </w:tc>
        <w:tc>
          <w:tcPr>
            <w:tcW w:w="4473" w:type="dxa"/>
            <w:vAlign w:val="center"/>
          </w:tcPr>
          <w:p w14:paraId="47F24C57" w14:textId="77777777" w:rsidR="00E579B9" w:rsidRDefault="006A1398">
            <w:pPr>
              <w:pStyle w:val="aa"/>
            </w:pPr>
            <w:r>
              <w:rPr>
                <w:rFonts w:hint="eastAsia"/>
              </w:rPr>
              <w:t>509</w:t>
            </w:r>
          </w:p>
        </w:tc>
      </w:tr>
      <w:tr w:rsidR="00E579B9" w14:paraId="775A95D2" w14:textId="77777777">
        <w:tc>
          <w:tcPr>
            <w:tcW w:w="4473" w:type="dxa"/>
            <w:vAlign w:val="center"/>
          </w:tcPr>
          <w:p w14:paraId="602C1797" w14:textId="77777777" w:rsidR="00E579B9" w:rsidRDefault="006A1398">
            <w:pPr>
              <w:pStyle w:val="aa"/>
            </w:pPr>
            <w:r>
              <w:rPr>
                <w:rFonts w:hint="eastAsia"/>
              </w:rPr>
              <w:t>环境代价</w:t>
            </w:r>
          </w:p>
        </w:tc>
        <w:tc>
          <w:tcPr>
            <w:tcW w:w="4473" w:type="dxa"/>
            <w:vAlign w:val="center"/>
          </w:tcPr>
          <w:p w14:paraId="1691EDC0" w14:textId="77777777" w:rsidR="00E579B9" w:rsidRDefault="006A1398">
            <w:pPr>
              <w:pStyle w:val="aa"/>
            </w:pPr>
            <w:r>
              <w:rPr>
                <w:rFonts w:hint="eastAsia"/>
              </w:rPr>
              <w:t>3.18</w:t>
            </w:r>
          </w:p>
        </w:tc>
      </w:tr>
      <w:tr w:rsidR="00E579B9" w14:paraId="49523035" w14:textId="77777777">
        <w:tc>
          <w:tcPr>
            <w:tcW w:w="4473" w:type="dxa"/>
            <w:vAlign w:val="center"/>
          </w:tcPr>
          <w:p w14:paraId="69328688" w14:textId="77777777" w:rsidR="00E579B9" w:rsidRDefault="006A1398">
            <w:pPr>
              <w:pStyle w:val="aa"/>
            </w:pPr>
            <w:r>
              <w:rPr>
                <w:rFonts w:hint="eastAsia"/>
              </w:rPr>
              <w:t>环境成本</w:t>
            </w:r>
          </w:p>
        </w:tc>
        <w:tc>
          <w:tcPr>
            <w:tcW w:w="4473" w:type="dxa"/>
            <w:vAlign w:val="center"/>
          </w:tcPr>
          <w:p w14:paraId="52600950" w14:textId="77777777" w:rsidR="00E579B9" w:rsidRDefault="006A1398">
            <w:pPr>
              <w:pStyle w:val="aa"/>
            </w:pPr>
            <w:r>
              <w:rPr>
                <w:rFonts w:hint="eastAsia"/>
              </w:rPr>
              <w:t>38.94</w:t>
            </w:r>
          </w:p>
        </w:tc>
      </w:tr>
      <w:tr w:rsidR="00E579B9" w14:paraId="3BC22610" w14:textId="77777777">
        <w:tc>
          <w:tcPr>
            <w:tcW w:w="4473" w:type="dxa"/>
            <w:vAlign w:val="center"/>
          </w:tcPr>
          <w:p w14:paraId="71103B8A" w14:textId="77777777" w:rsidR="00E579B9" w:rsidRDefault="006A1398">
            <w:pPr>
              <w:pStyle w:val="aa"/>
            </w:pPr>
            <w:r>
              <w:rPr>
                <w:rFonts w:hint="eastAsia"/>
              </w:rPr>
              <w:t>环保费用</w:t>
            </w:r>
          </w:p>
        </w:tc>
        <w:tc>
          <w:tcPr>
            <w:tcW w:w="4473" w:type="dxa"/>
            <w:vAlign w:val="center"/>
          </w:tcPr>
          <w:p w14:paraId="16C9189E" w14:textId="77777777" w:rsidR="00E579B9" w:rsidRDefault="006A1398">
            <w:pPr>
              <w:pStyle w:val="aa"/>
            </w:pPr>
            <w:r>
              <w:rPr>
                <w:rFonts w:hint="eastAsia"/>
              </w:rPr>
              <w:t>42.12</w:t>
            </w:r>
          </w:p>
        </w:tc>
      </w:tr>
      <w:tr w:rsidR="00E579B9" w14:paraId="697DDBA9" w14:textId="77777777">
        <w:tc>
          <w:tcPr>
            <w:tcW w:w="4473" w:type="dxa"/>
            <w:vAlign w:val="center"/>
          </w:tcPr>
          <w:p w14:paraId="223B044A" w14:textId="77777777" w:rsidR="00E579B9" w:rsidRDefault="006A1398">
            <w:pPr>
              <w:pStyle w:val="aa"/>
            </w:pPr>
            <w:r>
              <w:rPr>
                <w:rFonts w:hint="eastAsia"/>
              </w:rPr>
              <w:t>环保投资占工程总投资（</w:t>
            </w:r>
            <w:r>
              <w:rPr>
                <w:rFonts w:hint="eastAsia"/>
              </w:rPr>
              <w:t>%</w:t>
            </w:r>
            <w:r>
              <w:rPr>
                <w:rFonts w:hint="eastAsia"/>
              </w:rPr>
              <w:t>）</w:t>
            </w:r>
          </w:p>
        </w:tc>
        <w:tc>
          <w:tcPr>
            <w:tcW w:w="4473" w:type="dxa"/>
            <w:vAlign w:val="center"/>
          </w:tcPr>
          <w:p w14:paraId="4D204181" w14:textId="77777777" w:rsidR="00E579B9" w:rsidRDefault="006A1398">
            <w:pPr>
              <w:pStyle w:val="aa"/>
              <w:rPr>
                <w:highlight w:val="yellow"/>
              </w:rPr>
            </w:pPr>
            <w:r>
              <w:rPr>
                <w:rFonts w:hint="eastAsia"/>
              </w:rPr>
              <w:t>10.18</w:t>
            </w:r>
          </w:p>
        </w:tc>
      </w:tr>
    </w:tbl>
    <w:p w14:paraId="1B7E99DD" w14:textId="77777777" w:rsidR="00E579B9" w:rsidRDefault="006A1398">
      <w:pPr>
        <w:sectPr w:rsidR="00E579B9">
          <w:headerReference w:type="even" r:id="rId85"/>
          <w:headerReference w:type="default" r:id="rId86"/>
          <w:footerReference w:type="even" r:id="rId87"/>
          <w:footerReference w:type="default" r:id="rId88"/>
          <w:headerReference w:type="first" r:id="rId89"/>
          <w:footerReference w:type="first" r:id="rId90"/>
          <w:pgSz w:w="11906" w:h="16838"/>
          <w:pgMar w:top="1701" w:right="1588" w:bottom="1985" w:left="1588" w:header="1077" w:footer="680" w:gutter="0"/>
          <w:cols w:space="720"/>
          <w:docGrid w:type="lines" w:linePitch="312"/>
        </w:sectPr>
      </w:pPr>
      <w:r>
        <w:rPr>
          <w:rFonts w:hint="eastAsia"/>
        </w:rPr>
        <w:t>综合以上社会、经济及环境效益分析，结果表明该项目具有经济合理性，项目在经济角度上可行；项目社会效益显著，项目具有较好的环境效益，环保设施的运行将污染物排放量控制在允许的限度，同时废物综合利用水平较高，项目在环境经济角度上是可行的。</w:t>
      </w:r>
    </w:p>
    <w:p w14:paraId="62E1864E" w14:textId="77777777" w:rsidR="00E579B9" w:rsidRDefault="006A1398">
      <w:pPr>
        <w:pStyle w:val="1"/>
      </w:pPr>
      <w:bookmarkStart w:id="466" w:name="_Toc535847591"/>
      <w:bookmarkStart w:id="467" w:name="_Toc33021826"/>
      <w:r>
        <w:rPr>
          <w:rFonts w:hint="eastAsia"/>
        </w:rPr>
        <w:lastRenderedPageBreak/>
        <w:t>第九章环境管理与监测计划</w:t>
      </w:r>
      <w:bookmarkEnd w:id="466"/>
      <w:bookmarkEnd w:id="467"/>
    </w:p>
    <w:p w14:paraId="00EA4212" w14:textId="77777777" w:rsidR="00E579B9" w:rsidRDefault="006A1398">
      <w:pPr>
        <w:pStyle w:val="2"/>
        <w:ind w:firstLine="560"/>
      </w:pPr>
      <w:bookmarkStart w:id="468" w:name="_Toc535847592"/>
      <w:bookmarkStart w:id="469" w:name="_Toc33021827"/>
      <w:r>
        <w:t>9</w:t>
      </w:r>
      <w:r>
        <w:rPr>
          <w:rFonts w:hint="eastAsia"/>
        </w:rPr>
        <w:t>.1</w:t>
      </w:r>
      <w:r>
        <w:rPr>
          <w:rFonts w:hint="eastAsia"/>
        </w:rPr>
        <w:t>环境管理的重要性</w:t>
      </w:r>
      <w:bookmarkEnd w:id="468"/>
      <w:bookmarkEnd w:id="469"/>
    </w:p>
    <w:p w14:paraId="35F556F3" w14:textId="77777777" w:rsidR="00E579B9" w:rsidRDefault="006A1398">
      <w:r>
        <w:t>环境管理是企业管理的重要内容之一，在企业环境保护工作中起着举足轻重的作用，加大环境监督、管理力度是实现企业环境效益、经济效益、社会效益协调发展和走可持续发展道路的重要措施，是企业生存和发展的重要保障之一。环境监测是工业污染防治的依据和环境管理的基础，加强污染监控工作是了解和掌握企业排污特征，研究污染发展趋势，开展环保技术研究和综合利用能源的有效途径，是监督企业环保设施正常运行、确保污染物达标排放的可靠保证。</w:t>
      </w:r>
    </w:p>
    <w:p w14:paraId="20157AC7" w14:textId="77777777" w:rsidR="00E579B9" w:rsidRDefault="006A1398">
      <w:r>
        <w:t>加强环境管理，除了建设配套的末端污染治理措施并维持其正常运行外，还必须将清洁生产的指导思想贯穿生产全过程之中，注意各个生产环节的环境管理，减轻末端治理的压力，为此，本项目建成后必须建立健全各项管理和监测制度，确保各种污染物治理和清洁生产措施发挥应有的作用。</w:t>
      </w:r>
    </w:p>
    <w:p w14:paraId="7313E2B5" w14:textId="77777777" w:rsidR="00E579B9" w:rsidRDefault="006A1398">
      <w:r>
        <w:t>因此，制订严格的环境管理制度和合理的监测计划，并确保其认真落实，是日常生产管理工作的重要一环，也是企业生存和发展的关键因素之一。</w:t>
      </w:r>
    </w:p>
    <w:p w14:paraId="5CED1F5B" w14:textId="77777777" w:rsidR="00E579B9" w:rsidRDefault="006A1398">
      <w:pPr>
        <w:pStyle w:val="2"/>
        <w:ind w:firstLine="560"/>
      </w:pPr>
      <w:bookmarkStart w:id="470" w:name="_Toc535847593"/>
      <w:bookmarkStart w:id="471" w:name="_Toc33021828"/>
      <w:r>
        <w:rPr>
          <w:rFonts w:hint="eastAsia"/>
        </w:rPr>
        <w:t>9.2</w:t>
      </w:r>
      <w:r>
        <w:rPr>
          <w:rFonts w:hint="eastAsia"/>
        </w:rPr>
        <w:t>环境管理</w:t>
      </w:r>
      <w:bookmarkEnd w:id="470"/>
      <w:bookmarkEnd w:id="471"/>
    </w:p>
    <w:p w14:paraId="0FD8CB97" w14:textId="77777777" w:rsidR="00E579B9" w:rsidRDefault="006A1398">
      <w:pPr>
        <w:pStyle w:val="3"/>
        <w:ind w:firstLine="560"/>
      </w:pPr>
      <w:bookmarkStart w:id="472" w:name="_Toc535847594"/>
      <w:r>
        <w:rPr>
          <w:rFonts w:hint="eastAsia"/>
        </w:rPr>
        <w:t>9.</w:t>
      </w:r>
      <w:r>
        <w:t>2.1</w:t>
      </w:r>
      <w:r>
        <w:t>环境管理机构的设置</w:t>
      </w:r>
      <w:bookmarkEnd w:id="472"/>
    </w:p>
    <w:p w14:paraId="0B07180E" w14:textId="77777777" w:rsidR="00E579B9" w:rsidRDefault="006A1398">
      <w:r>
        <w:t>根据《建设项目环境保护设计规定》第五章第五十七条规定，新建、扩建企业设置环境保护管理机构，此外根据当前国内外健康、安全、环境管理发展趋势，建议在本矿设立环境管理机构</w:t>
      </w:r>
      <w:r>
        <w:rPr>
          <w:rFonts w:hint="eastAsia"/>
        </w:rPr>
        <w:t>，建立日常环境管理制度和环境管理台账。</w:t>
      </w:r>
    </w:p>
    <w:p w14:paraId="2A328D68" w14:textId="77777777" w:rsidR="00E579B9" w:rsidRDefault="006A1398">
      <w:r>
        <w:t>环境管理机构应由企业副总经理主管，主要负责组织、落实、监督本企业的环境保护工作。环境管理机构人员编制中，应设立</w:t>
      </w:r>
      <w:r>
        <w:t>1</w:t>
      </w:r>
      <w:r>
        <w:t>～</w:t>
      </w:r>
      <w:r>
        <w:t>2</w:t>
      </w:r>
      <w:r>
        <w:t>名专职人员负责项目废气、废水、噪声、固体废物的管理及生态恢复工作，以及其它环境管理工作；该人员必须是专业环保工作人员，有较强的环保知识和管理水平。</w:t>
      </w:r>
    </w:p>
    <w:p w14:paraId="70678AB9" w14:textId="77777777" w:rsidR="00E579B9" w:rsidRDefault="006A1398">
      <w:pPr>
        <w:pStyle w:val="3"/>
        <w:ind w:firstLine="560"/>
      </w:pPr>
      <w:bookmarkStart w:id="473" w:name="_Toc535847595"/>
      <w:r>
        <w:rPr>
          <w:rFonts w:hint="eastAsia"/>
        </w:rPr>
        <w:t>9.</w:t>
      </w:r>
      <w:r>
        <w:t>2.2</w:t>
      </w:r>
      <w:r>
        <w:t>环境管理机构职责</w:t>
      </w:r>
      <w:bookmarkEnd w:id="473"/>
    </w:p>
    <w:p w14:paraId="4F41C109" w14:textId="77777777" w:rsidR="00E579B9" w:rsidRDefault="006A1398">
      <w:r>
        <w:lastRenderedPageBreak/>
        <w:t>环境保护管理机构的任务是负责组织、落实、监督本企业的环境保护工作，其工作职责主要有：</w:t>
      </w:r>
    </w:p>
    <w:p w14:paraId="28974A6A" w14:textId="77777777" w:rsidR="00E579B9" w:rsidRDefault="006A1398">
      <w:r>
        <w:t>（</w:t>
      </w:r>
      <w:r>
        <w:t>1</w:t>
      </w:r>
      <w:r>
        <w:t>）贯彻执行国家有关环境保护法规、政策、标准和各项环保法规，组织制定、修改并监督执行本企业的环境保护规章制度，制定并组织实施环境保护规划和计划。</w:t>
      </w:r>
    </w:p>
    <w:p w14:paraId="4F0E9DAC" w14:textId="77777777" w:rsidR="00E579B9" w:rsidRDefault="006A1398">
      <w:r>
        <w:t>（</w:t>
      </w:r>
      <w:r>
        <w:t>2</w:t>
      </w:r>
      <w:r>
        <w:t>）认真核实环评报告书环保对策中各项措施的落实情况，本项目建成竣工后，提请环境保护行政主管部门进行建设项目竣工环境保护验收，验收合格后方可进行正常的生产营运；在项目投入正常生产营运后，定期检查企业环境保护设施的运行情况。</w:t>
      </w:r>
    </w:p>
    <w:p w14:paraId="7EC3AF2A" w14:textId="77777777" w:rsidR="00E579B9" w:rsidRDefault="006A1398">
      <w:r>
        <w:t>（</w:t>
      </w:r>
      <w:r>
        <w:t>3</w:t>
      </w:r>
      <w:r>
        <w:t>）负责对项目各污染源环境监测的领导和组织工作，对环保设施的运行情况及治理效果进行监控，建立污染源档案，及时了解存在的问题并给予解决，确保污染防治设施的正常运行并达到设计指标要求，为环境保护数据资料统计、各污染源治理提供基础数据。</w:t>
      </w:r>
    </w:p>
    <w:p w14:paraId="3423DCBD" w14:textId="77777777" w:rsidR="00E579B9" w:rsidRDefault="006A1398">
      <w:r>
        <w:t>（</w:t>
      </w:r>
      <w:r>
        <w:t>4</w:t>
      </w:r>
      <w:r>
        <w:t>）制定企业环境风险防范措施及应急预案，并指导进行操作演练。配合专业技术人员进行事故隐患检查，杜绝环境污染事故发生。指导并参与污染事故的调查及处理工作，负责将事故发生及处理结果上报当地环保等有关部门。</w:t>
      </w:r>
    </w:p>
    <w:p w14:paraId="5ED80983" w14:textId="77777777" w:rsidR="00E579B9" w:rsidRDefault="006A1398">
      <w:r>
        <w:t>（</w:t>
      </w:r>
      <w:r>
        <w:t>5</w:t>
      </w:r>
      <w:r>
        <w:t>）加强企业领导到职工的安全及环保专业技术培训</w:t>
      </w:r>
      <w:r>
        <w:rPr>
          <w:rFonts w:hint="eastAsia"/>
        </w:rPr>
        <w:t>和</w:t>
      </w:r>
      <w:r>
        <w:t>考核，提高企业全体员工的环保素质的自觉意识。</w:t>
      </w:r>
    </w:p>
    <w:p w14:paraId="20F1D20A" w14:textId="77777777" w:rsidR="00E579B9" w:rsidRDefault="006A1398">
      <w:pPr>
        <w:pStyle w:val="3"/>
        <w:ind w:firstLine="560"/>
      </w:pPr>
      <w:bookmarkStart w:id="474" w:name="_Toc535847596"/>
      <w:r>
        <w:rPr>
          <w:rFonts w:hint="eastAsia"/>
        </w:rPr>
        <w:t>9.2.3</w:t>
      </w:r>
      <w:r>
        <w:rPr>
          <w:rFonts w:hint="eastAsia"/>
        </w:rPr>
        <w:t>环境管理要求</w:t>
      </w:r>
      <w:bookmarkEnd w:id="474"/>
    </w:p>
    <w:p w14:paraId="78138F3D" w14:textId="77777777" w:rsidR="00E579B9" w:rsidRDefault="006A1398">
      <w:r>
        <w:rPr>
          <w:rFonts w:hint="eastAsia"/>
        </w:rPr>
        <w:t>环境管理工作重点要以加强采矿工业场地污染源监控与管理，提高水资源、能源和一般工业固废综合利用率；坚持</w:t>
      </w:r>
      <w:r>
        <w:t>“</w:t>
      </w:r>
      <w:r>
        <w:t>预防为主、防治结合、综合治理</w:t>
      </w:r>
      <w:r>
        <w:t>”</w:t>
      </w:r>
      <w:r>
        <w:rPr>
          <w:rFonts w:hint="eastAsia"/>
        </w:rPr>
        <w:t>原则，强化企业污染防治设施管理力度；严格控制生产全过程</w:t>
      </w:r>
      <w:r>
        <w:t>“</w:t>
      </w:r>
      <w:r>
        <w:t>三废</w:t>
      </w:r>
      <w:r>
        <w:t>”</w:t>
      </w:r>
      <w:r>
        <w:t>排</w:t>
      </w:r>
      <w:r>
        <w:rPr>
          <w:rFonts w:hint="eastAsia"/>
        </w:rPr>
        <w:t>放及固废处置工作，保护评价区生态环境；制定项目生态恢复规划实施细则，并组织实施、落实为主。</w:t>
      </w:r>
    </w:p>
    <w:p w14:paraId="216B0D8D" w14:textId="77777777" w:rsidR="00E579B9" w:rsidRDefault="006A1398">
      <w:r>
        <w:rPr>
          <w:rFonts w:hint="eastAsia"/>
        </w:rPr>
        <w:t>本项目各阶段环境管理工作主要任务及要求见表</w:t>
      </w:r>
      <w:r>
        <w:rPr>
          <w:rFonts w:hint="eastAsia"/>
        </w:rPr>
        <w:t>9.2</w:t>
      </w:r>
      <w:r>
        <w:t>-1</w:t>
      </w:r>
      <w:r>
        <w:rPr>
          <w:rFonts w:hint="eastAsia"/>
        </w:rPr>
        <w:t>。</w:t>
      </w:r>
    </w:p>
    <w:p w14:paraId="22F38D67" w14:textId="77777777" w:rsidR="00E579B9" w:rsidRDefault="006A1398">
      <w:pPr>
        <w:pStyle w:val="21"/>
      </w:pPr>
      <w:r>
        <w:t>表</w:t>
      </w:r>
      <w:r>
        <w:t>9.2-1</w:t>
      </w:r>
      <w:r>
        <w:t>本项目各阶段环境管理工作主要任务及要求（建议）</w:t>
      </w: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140"/>
        <w:gridCol w:w="7353"/>
      </w:tblGrid>
      <w:tr w:rsidR="00E579B9" w14:paraId="6CFA975C" w14:textId="77777777">
        <w:trPr>
          <w:trHeight w:val="147"/>
          <w:jc w:val="center"/>
        </w:trPr>
        <w:tc>
          <w:tcPr>
            <w:tcW w:w="1140" w:type="dxa"/>
            <w:vAlign w:val="center"/>
          </w:tcPr>
          <w:p w14:paraId="74845E37" w14:textId="77777777" w:rsidR="00E579B9" w:rsidRDefault="006A1398">
            <w:pPr>
              <w:pStyle w:val="aa"/>
              <w:jc w:val="left"/>
            </w:pPr>
            <w:r>
              <w:t>阶段</w:t>
            </w:r>
          </w:p>
        </w:tc>
        <w:tc>
          <w:tcPr>
            <w:tcW w:w="7353" w:type="dxa"/>
            <w:vAlign w:val="center"/>
          </w:tcPr>
          <w:p w14:paraId="151F4DDB" w14:textId="77777777" w:rsidR="00E579B9" w:rsidRDefault="006A1398">
            <w:pPr>
              <w:pStyle w:val="aa"/>
              <w:jc w:val="left"/>
            </w:pPr>
            <w:r>
              <w:t>环境管理主要任务</w:t>
            </w:r>
            <w:r>
              <w:rPr>
                <w:rFonts w:hint="eastAsia"/>
              </w:rPr>
              <w:t>及要求</w:t>
            </w:r>
          </w:p>
        </w:tc>
      </w:tr>
      <w:tr w:rsidR="00E579B9" w14:paraId="27939B28" w14:textId="77777777">
        <w:trPr>
          <w:jc w:val="center"/>
        </w:trPr>
        <w:tc>
          <w:tcPr>
            <w:tcW w:w="1140" w:type="dxa"/>
            <w:vAlign w:val="center"/>
          </w:tcPr>
          <w:p w14:paraId="648D853A" w14:textId="77777777" w:rsidR="00E579B9" w:rsidRDefault="006A1398">
            <w:pPr>
              <w:pStyle w:val="aa"/>
              <w:jc w:val="left"/>
            </w:pPr>
            <w:r>
              <w:t>项目建</w:t>
            </w:r>
          </w:p>
          <w:p w14:paraId="243CF5FD" w14:textId="77777777" w:rsidR="00E579B9" w:rsidRDefault="006A1398">
            <w:pPr>
              <w:pStyle w:val="aa"/>
              <w:jc w:val="left"/>
            </w:pPr>
            <w:r>
              <w:t>设前期</w:t>
            </w:r>
          </w:p>
        </w:tc>
        <w:tc>
          <w:tcPr>
            <w:tcW w:w="7353" w:type="dxa"/>
            <w:vAlign w:val="center"/>
          </w:tcPr>
          <w:p w14:paraId="51B59E4F" w14:textId="77777777" w:rsidR="00E579B9" w:rsidRDefault="006A1398">
            <w:pPr>
              <w:pStyle w:val="aa"/>
              <w:jc w:val="left"/>
            </w:pPr>
            <w:r>
              <w:t>1</w:t>
            </w:r>
            <w:r>
              <w:t>、参与项目前期各阶段环境保护和环保工程设计工作；</w:t>
            </w:r>
          </w:p>
          <w:p w14:paraId="3F872DC4" w14:textId="77777777" w:rsidR="00E579B9" w:rsidRDefault="006A1398">
            <w:pPr>
              <w:pStyle w:val="aa"/>
              <w:jc w:val="left"/>
            </w:pPr>
            <w:r>
              <w:t>2</w:t>
            </w:r>
            <w:r>
              <w:t>、制定企业环境保护工作计划；</w:t>
            </w:r>
          </w:p>
          <w:p w14:paraId="3FF395B7" w14:textId="77777777" w:rsidR="00E579B9" w:rsidRDefault="006A1398">
            <w:pPr>
              <w:pStyle w:val="aa"/>
              <w:jc w:val="left"/>
            </w:pPr>
            <w:r>
              <w:lastRenderedPageBreak/>
              <w:t>3</w:t>
            </w:r>
            <w:r>
              <w:t>、可研阶段，委托有资质单位开展项目环境影响评价、水土保持、土地复垦和地质环境保护与治理方案等工作；</w:t>
            </w:r>
          </w:p>
          <w:p w14:paraId="7EC35B54" w14:textId="77777777" w:rsidR="00E579B9" w:rsidRDefault="006A1398">
            <w:pPr>
              <w:pStyle w:val="aa"/>
              <w:jc w:val="left"/>
            </w:pPr>
            <w:r>
              <w:t>4</w:t>
            </w:r>
            <w:r>
              <w:t>、设计阶段，委托有资质单位按照《建设项目环境保护设计规范》，编制初步设计及其环保篇章，具体落实环境影响报告书及其审批意见确定的各项环保工程、生态恢复治理措施和投资概算。</w:t>
            </w:r>
          </w:p>
        </w:tc>
      </w:tr>
      <w:tr w:rsidR="00E579B9" w14:paraId="1BB7CFCE" w14:textId="77777777">
        <w:trPr>
          <w:trHeight w:val="1988"/>
          <w:jc w:val="center"/>
        </w:trPr>
        <w:tc>
          <w:tcPr>
            <w:tcW w:w="1140" w:type="dxa"/>
            <w:vAlign w:val="center"/>
          </w:tcPr>
          <w:p w14:paraId="64B407E6" w14:textId="77777777" w:rsidR="00E579B9" w:rsidRDefault="006A1398">
            <w:pPr>
              <w:pStyle w:val="aa"/>
              <w:jc w:val="left"/>
            </w:pPr>
            <w:r>
              <w:lastRenderedPageBreak/>
              <w:t>施工期</w:t>
            </w:r>
          </w:p>
        </w:tc>
        <w:tc>
          <w:tcPr>
            <w:tcW w:w="7353" w:type="dxa"/>
            <w:vAlign w:val="center"/>
          </w:tcPr>
          <w:p w14:paraId="699FEF80" w14:textId="77777777" w:rsidR="00E579B9" w:rsidRDefault="006A1398">
            <w:pPr>
              <w:pStyle w:val="aa"/>
              <w:jc w:val="left"/>
            </w:pPr>
            <w:r>
              <w:t>1</w:t>
            </w:r>
            <w:r>
              <w:t>、在施工招标文件、施工合同、环境监理招标文件与合同中明确施工单位、环境监理单位的环境保护责任和目标任务；</w:t>
            </w:r>
          </w:p>
          <w:p w14:paraId="37B3DF63" w14:textId="77777777" w:rsidR="00E579B9" w:rsidRDefault="006A1398">
            <w:pPr>
              <w:pStyle w:val="aa"/>
              <w:jc w:val="left"/>
            </w:pPr>
            <w:r>
              <w:t>2</w:t>
            </w:r>
            <w:r>
              <w:t>、委托有资质单位开展施工期的环境监理工作，加强施工过程环境监理和环保设施建设的环境监理，并及时与当地环保行政主管部门沟通；</w:t>
            </w:r>
          </w:p>
          <w:p w14:paraId="0A8DA34C" w14:textId="77777777" w:rsidR="00E579B9" w:rsidRDefault="006A1398">
            <w:pPr>
              <w:pStyle w:val="aa"/>
              <w:jc w:val="left"/>
            </w:pPr>
            <w:r>
              <w:t>3</w:t>
            </w:r>
            <w:r>
              <w:t>、结合环境监理报告，自查环评报告、批复文件及设计中规定的环保设施和生态保护措施建设进展情况；严格落实环保投资，执行项目环境保护</w:t>
            </w:r>
            <w:r>
              <w:t>“</w:t>
            </w:r>
            <w:r>
              <w:t>三同时</w:t>
            </w:r>
            <w:r>
              <w:t>”</w:t>
            </w:r>
            <w:r>
              <w:t>制度；</w:t>
            </w:r>
          </w:p>
          <w:p w14:paraId="76BE5546" w14:textId="77777777" w:rsidR="00E579B9" w:rsidRDefault="006A1398">
            <w:pPr>
              <w:pStyle w:val="aa"/>
              <w:jc w:val="left"/>
            </w:pPr>
            <w:r>
              <w:t>4</w:t>
            </w:r>
            <w:r>
              <w:t>、自觉接受当地环保行政主管部门在施工期间的环境监督与管理；</w:t>
            </w:r>
          </w:p>
          <w:p w14:paraId="7EDA673F" w14:textId="77777777" w:rsidR="00E579B9" w:rsidRDefault="006A1398">
            <w:pPr>
              <w:pStyle w:val="aa"/>
              <w:jc w:val="left"/>
            </w:pPr>
            <w:r>
              <w:t>5</w:t>
            </w:r>
            <w:r>
              <w:t>、设立环保机构，建立健全环境管理、环保资料档案等制度。</w:t>
            </w:r>
          </w:p>
        </w:tc>
      </w:tr>
      <w:tr w:rsidR="00E579B9" w14:paraId="09BBFBCD" w14:textId="77777777">
        <w:trPr>
          <w:trHeight w:val="1227"/>
          <w:jc w:val="center"/>
        </w:trPr>
        <w:tc>
          <w:tcPr>
            <w:tcW w:w="1140" w:type="dxa"/>
            <w:vAlign w:val="center"/>
          </w:tcPr>
          <w:p w14:paraId="75ABC54F" w14:textId="77777777" w:rsidR="00E579B9" w:rsidRDefault="006A1398">
            <w:pPr>
              <w:pStyle w:val="aa"/>
              <w:jc w:val="left"/>
            </w:pPr>
            <w:r>
              <w:t>运营期</w:t>
            </w:r>
          </w:p>
        </w:tc>
        <w:tc>
          <w:tcPr>
            <w:tcW w:w="7353" w:type="dxa"/>
            <w:vAlign w:val="center"/>
          </w:tcPr>
          <w:p w14:paraId="59BD5FBC" w14:textId="77777777" w:rsidR="00E579B9" w:rsidRDefault="006A1398">
            <w:pPr>
              <w:pStyle w:val="aa"/>
              <w:jc w:val="left"/>
            </w:pPr>
            <w:r>
              <w:t>1</w:t>
            </w:r>
            <w:r>
              <w:t>、贯彻执行国家和地方环境保护法律法规和标准；</w:t>
            </w:r>
          </w:p>
          <w:p w14:paraId="510E88D6" w14:textId="77777777" w:rsidR="00E579B9" w:rsidRDefault="006A1398">
            <w:pPr>
              <w:pStyle w:val="aa"/>
              <w:jc w:val="left"/>
            </w:pPr>
            <w:r>
              <w:t>2</w:t>
            </w:r>
            <w:r>
              <w:t>、严格执行环境管理规章制度，确保环保设施正常稳定运行；</w:t>
            </w:r>
          </w:p>
          <w:p w14:paraId="35A455E8" w14:textId="77777777" w:rsidR="00E579B9" w:rsidRDefault="006A1398">
            <w:pPr>
              <w:pStyle w:val="aa"/>
              <w:jc w:val="left"/>
            </w:pPr>
            <w:r>
              <w:t>3</w:t>
            </w:r>
            <w:r>
              <w:t>、按照项目环境管理监测计划开展环境与污染源监测，发现问题及时处理；</w:t>
            </w:r>
          </w:p>
          <w:p w14:paraId="7C8068CA" w14:textId="77777777" w:rsidR="00E579B9" w:rsidRDefault="006A1398">
            <w:pPr>
              <w:pStyle w:val="aa"/>
              <w:jc w:val="left"/>
            </w:pPr>
            <w:r>
              <w:t>4</w:t>
            </w:r>
            <w:r>
              <w:t>、结合生产计划和当地生态保护规划要求，制定项目生态恢复规划；</w:t>
            </w:r>
          </w:p>
          <w:p w14:paraId="65410079" w14:textId="77777777" w:rsidR="00E579B9" w:rsidRDefault="006A1398">
            <w:pPr>
              <w:pStyle w:val="aa"/>
              <w:jc w:val="left"/>
            </w:pPr>
            <w:r>
              <w:t>5</w:t>
            </w:r>
            <w:r>
              <w:t>、加强国家和地方环保法律法规和政策宣传，提高员工环保责任意识，提升企业环境管理水平。</w:t>
            </w:r>
          </w:p>
        </w:tc>
      </w:tr>
      <w:tr w:rsidR="00E579B9" w14:paraId="349BF43F" w14:textId="77777777">
        <w:trPr>
          <w:trHeight w:val="761"/>
          <w:jc w:val="center"/>
        </w:trPr>
        <w:tc>
          <w:tcPr>
            <w:tcW w:w="1140" w:type="dxa"/>
            <w:vAlign w:val="center"/>
          </w:tcPr>
          <w:p w14:paraId="0BB792C9" w14:textId="77777777" w:rsidR="00E579B9" w:rsidRDefault="006A1398">
            <w:pPr>
              <w:pStyle w:val="aa"/>
              <w:jc w:val="left"/>
            </w:pPr>
            <w:r>
              <w:rPr>
                <w:rFonts w:hint="eastAsia"/>
              </w:rPr>
              <w:t>闭矿期</w:t>
            </w:r>
          </w:p>
        </w:tc>
        <w:tc>
          <w:tcPr>
            <w:tcW w:w="7353" w:type="dxa"/>
            <w:vAlign w:val="center"/>
          </w:tcPr>
          <w:p w14:paraId="1C86DC0C" w14:textId="77777777" w:rsidR="00E579B9" w:rsidRDefault="006A1398">
            <w:pPr>
              <w:pStyle w:val="aa"/>
              <w:jc w:val="left"/>
            </w:pPr>
            <w:r>
              <w:rPr>
                <w:rFonts w:hint="eastAsia"/>
              </w:rPr>
              <w:t>1</w:t>
            </w:r>
            <w:r>
              <w:rPr>
                <w:rFonts w:hint="eastAsia"/>
              </w:rPr>
              <w:t>、</w:t>
            </w:r>
            <w:r>
              <w:t>贯彻执行国家和地方环境保护法律法规和标准；</w:t>
            </w:r>
          </w:p>
          <w:p w14:paraId="7CB48695" w14:textId="77777777" w:rsidR="00E579B9" w:rsidRDefault="006A1398">
            <w:pPr>
              <w:pStyle w:val="aa"/>
              <w:jc w:val="left"/>
            </w:pPr>
            <w:r>
              <w:t>2</w:t>
            </w:r>
            <w:r>
              <w:rPr>
                <w:rFonts w:hint="eastAsia"/>
              </w:rPr>
              <w:t>、严格执行项目设计和生态恢复措施方案进行生态恢复，确保项目闭矿期生态恢复的效果。</w:t>
            </w:r>
          </w:p>
        </w:tc>
      </w:tr>
    </w:tbl>
    <w:p w14:paraId="5DF5E0F0" w14:textId="77777777" w:rsidR="00E579B9" w:rsidRDefault="006A1398">
      <w:pPr>
        <w:pStyle w:val="3"/>
        <w:ind w:firstLine="560"/>
      </w:pPr>
      <w:bookmarkStart w:id="475" w:name="_Toc535847597"/>
      <w:r>
        <w:rPr>
          <w:rFonts w:hint="eastAsia"/>
        </w:rPr>
        <w:t>9.2.4</w:t>
      </w:r>
      <w:r>
        <w:rPr>
          <w:rFonts w:hint="eastAsia"/>
        </w:rPr>
        <w:t>环境管理制度要求</w:t>
      </w:r>
      <w:bookmarkEnd w:id="475"/>
    </w:p>
    <w:p w14:paraId="3CC33F0A" w14:textId="77777777" w:rsidR="00E579B9" w:rsidRDefault="006A1398">
      <w:r>
        <w:rPr>
          <w:rFonts w:hint="eastAsia"/>
        </w:rPr>
        <w:t>为落实项目运营期环境保护工作，建议建设单位建立如下环境管理制度：</w:t>
      </w:r>
    </w:p>
    <w:p w14:paraId="29563308" w14:textId="77777777" w:rsidR="00E579B9" w:rsidRDefault="006A1398">
      <w:r>
        <w:rPr>
          <w:rFonts w:hint="eastAsia"/>
        </w:rPr>
        <w:t>（</w:t>
      </w:r>
      <w:r>
        <w:rPr>
          <w:rFonts w:hint="eastAsia"/>
        </w:rPr>
        <w:t>1</w:t>
      </w:r>
      <w:r>
        <w:rPr>
          <w:rFonts w:hint="eastAsia"/>
        </w:rPr>
        <w:t>）成立专门的环境管理机构，负责组织、监督企业的环境管理工作；</w:t>
      </w:r>
    </w:p>
    <w:p w14:paraId="6AF08FEC" w14:textId="77777777" w:rsidR="00E579B9" w:rsidRDefault="006A1398">
      <w:r>
        <w:rPr>
          <w:rFonts w:hint="eastAsia"/>
        </w:rPr>
        <w:t>（</w:t>
      </w:r>
      <w:r>
        <w:rPr>
          <w:rFonts w:hint="eastAsia"/>
        </w:rPr>
        <w:t>2</w:t>
      </w:r>
      <w:r>
        <w:rPr>
          <w:rFonts w:hint="eastAsia"/>
        </w:rPr>
        <w:t>）责任落实到人制度，严格制定废气、废水、噪声、固体废物及生态修复管理规程并落实到人制度；</w:t>
      </w:r>
    </w:p>
    <w:p w14:paraId="29CE3EA8" w14:textId="77777777" w:rsidR="00E579B9" w:rsidRDefault="006A1398">
      <w:r>
        <w:rPr>
          <w:rFonts w:hint="eastAsia"/>
        </w:rPr>
        <w:t>（</w:t>
      </w:r>
      <w:r>
        <w:rPr>
          <w:rFonts w:hint="eastAsia"/>
        </w:rPr>
        <w:t>3</w:t>
      </w:r>
      <w:r>
        <w:rPr>
          <w:rFonts w:hint="eastAsia"/>
        </w:rPr>
        <w:t>）记录查询制度，编制生产、洒水记录台账，严格记录，定期归档；</w:t>
      </w:r>
    </w:p>
    <w:p w14:paraId="165176CC" w14:textId="77777777" w:rsidR="00E579B9" w:rsidRDefault="006A1398">
      <w:pPr>
        <w:sectPr w:rsidR="00E579B9">
          <w:headerReference w:type="default" r:id="rId91"/>
          <w:footerReference w:type="default" r:id="rId92"/>
          <w:pgSz w:w="11906" w:h="16838"/>
          <w:pgMar w:top="1701" w:right="1588" w:bottom="1985" w:left="1588" w:header="1077" w:footer="680" w:gutter="0"/>
          <w:cols w:space="720"/>
          <w:docGrid w:type="lines" w:linePitch="312"/>
        </w:sectPr>
      </w:pPr>
      <w:r>
        <w:rPr>
          <w:rFonts w:hint="eastAsia"/>
        </w:rPr>
        <w:t>（</w:t>
      </w:r>
      <w:r>
        <w:rPr>
          <w:rFonts w:hint="eastAsia"/>
        </w:rPr>
        <w:t>4</w:t>
      </w:r>
      <w:r>
        <w:rPr>
          <w:rFonts w:hint="eastAsia"/>
        </w:rPr>
        <w:t>）建立环境目标和确定目标制度，设专人对各个产尘点进行巡视，发现问题及时上报、联合各部门尽快消除污染；</w:t>
      </w:r>
    </w:p>
    <w:p w14:paraId="4E472036" w14:textId="77777777" w:rsidR="00E579B9" w:rsidRDefault="006A1398">
      <w:pPr>
        <w:pStyle w:val="2"/>
        <w:ind w:firstLine="560"/>
      </w:pPr>
      <w:bookmarkStart w:id="476" w:name="_Toc535847598"/>
      <w:bookmarkStart w:id="477" w:name="_Toc33021829"/>
      <w:r>
        <w:rPr>
          <w:rFonts w:hint="eastAsia"/>
        </w:rPr>
        <w:lastRenderedPageBreak/>
        <w:t>9.3</w:t>
      </w:r>
      <w:r>
        <w:rPr>
          <w:rFonts w:hint="eastAsia"/>
        </w:rPr>
        <w:t>污染物排放清单</w:t>
      </w:r>
      <w:bookmarkEnd w:id="476"/>
      <w:bookmarkEnd w:id="477"/>
    </w:p>
    <w:p w14:paraId="19ABA8FD" w14:textId="77777777" w:rsidR="00E579B9" w:rsidRDefault="006A1398">
      <w:r>
        <w:rPr>
          <w:rFonts w:hint="eastAsia"/>
        </w:rPr>
        <w:t>本项目营运期污染物排放清单见下表。</w:t>
      </w:r>
    </w:p>
    <w:p w14:paraId="697E9E91" w14:textId="77777777" w:rsidR="00E579B9" w:rsidRDefault="006A1398">
      <w:pPr>
        <w:pStyle w:val="21"/>
      </w:pPr>
      <w:r>
        <w:t>表</w:t>
      </w:r>
      <w:r>
        <w:t>9.</w:t>
      </w:r>
      <w:r>
        <w:rPr>
          <w:rFonts w:hint="eastAsia"/>
        </w:rPr>
        <w:t>3</w:t>
      </w:r>
      <w:r>
        <w:t>-</w:t>
      </w:r>
      <w:r>
        <w:rPr>
          <w:rFonts w:hint="eastAsia"/>
        </w:rPr>
        <w:t>1</w:t>
      </w:r>
      <w:r>
        <w:rPr>
          <w:rFonts w:hint="eastAsia"/>
        </w:rPr>
        <w:t>本项目营运期污染物排放清单一览表</w:t>
      </w:r>
    </w:p>
    <w:tbl>
      <w:tblPr>
        <w:tblW w:w="1272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94"/>
        <w:gridCol w:w="709"/>
        <w:gridCol w:w="1276"/>
        <w:gridCol w:w="1275"/>
        <w:gridCol w:w="1134"/>
        <w:gridCol w:w="1560"/>
        <w:gridCol w:w="1276"/>
        <w:gridCol w:w="1134"/>
        <w:gridCol w:w="1207"/>
        <w:gridCol w:w="2657"/>
      </w:tblGrid>
      <w:tr w:rsidR="00E579B9" w14:paraId="57D93EC5" w14:textId="77777777">
        <w:trPr>
          <w:jc w:val="center"/>
        </w:trPr>
        <w:tc>
          <w:tcPr>
            <w:tcW w:w="494" w:type="dxa"/>
            <w:vMerge w:val="restart"/>
            <w:vAlign w:val="center"/>
          </w:tcPr>
          <w:p w14:paraId="39960468" w14:textId="77777777" w:rsidR="00E579B9" w:rsidRDefault="006A1398">
            <w:pPr>
              <w:pStyle w:val="aa"/>
            </w:pPr>
            <w:r>
              <w:rPr>
                <w:rFonts w:hint="eastAsia"/>
              </w:rPr>
              <w:t>序号</w:t>
            </w:r>
          </w:p>
        </w:tc>
        <w:tc>
          <w:tcPr>
            <w:tcW w:w="709" w:type="dxa"/>
            <w:vMerge w:val="restart"/>
            <w:vAlign w:val="center"/>
          </w:tcPr>
          <w:p w14:paraId="4B33DA8E" w14:textId="77777777" w:rsidR="00E579B9" w:rsidRDefault="006A1398">
            <w:pPr>
              <w:pStyle w:val="aa"/>
            </w:pPr>
            <w:r>
              <w:rPr>
                <w:rFonts w:hint="eastAsia"/>
              </w:rPr>
              <w:t>类别</w:t>
            </w:r>
          </w:p>
        </w:tc>
        <w:tc>
          <w:tcPr>
            <w:tcW w:w="1276" w:type="dxa"/>
            <w:vMerge w:val="restart"/>
            <w:vAlign w:val="center"/>
          </w:tcPr>
          <w:p w14:paraId="1F544C16" w14:textId="77777777" w:rsidR="00E579B9" w:rsidRDefault="006A1398">
            <w:pPr>
              <w:pStyle w:val="aa"/>
            </w:pPr>
            <w:r>
              <w:rPr>
                <w:rFonts w:hint="eastAsia"/>
              </w:rPr>
              <w:t>污染物</w:t>
            </w:r>
            <w:r>
              <w:t>种类</w:t>
            </w:r>
          </w:p>
        </w:tc>
        <w:tc>
          <w:tcPr>
            <w:tcW w:w="1275" w:type="dxa"/>
            <w:vMerge w:val="restart"/>
            <w:vAlign w:val="center"/>
          </w:tcPr>
          <w:p w14:paraId="7FF79AF1" w14:textId="77777777" w:rsidR="00E579B9" w:rsidRDefault="006A1398">
            <w:pPr>
              <w:pStyle w:val="aa"/>
            </w:pPr>
            <w:r>
              <w:rPr>
                <w:rFonts w:hint="eastAsia"/>
              </w:rPr>
              <w:t>排放总量（</w:t>
            </w:r>
            <w:r>
              <w:rPr>
                <w:rFonts w:hint="eastAsia"/>
              </w:rPr>
              <w:t>t/a</w:t>
            </w:r>
            <w:r>
              <w:t>）</w:t>
            </w:r>
          </w:p>
        </w:tc>
        <w:tc>
          <w:tcPr>
            <w:tcW w:w="1134" w:type="dxa"/>
            <w:vMerge w:val="restart"/>
            <w:vAlign w:val="center"/>
          </w:tcPr>
          <w:p w14:paraId="58FFFD2B" w14:textId="77777777" w:rsidR="00E579B9" w:rsidRDefault="006A1398">
            <w:pPr>
              <w:pStyle w:val="aa"/>
            </w:pPr>
            <w:r>
              <w:rPr>
                <w:rFonts w:hint="eastAsia"/>
              </w:rPr>
              <w:t>排放规律</w:t>
            </w:r>
          </w:p>
        </w:tc>
        <w:tc>
          <w:tcPr>
            <w:tcW w:w="3970" w:type="dxa"/>
            <w:gridSpan w:val="3"/>
            <w:vAlign w:val="center"/>
          </w:tcPr>
          <w:p w14:paraId="6FA050EE" w14:textId="77777777" w:rsidR="00E579B9" w:rsidRDefault="006A1398">
            <w:pPr>
              <w:pStyle w:val="aa"/>
            </w:pPr>
            <w:r>
              <w:rPr>
                <w:rFonts w:hint="eastAsia"/>
              </w:rPr>
              <w:t>环境保护措施</w:t>
            </w:r>
          </w:p>
        </w:tc>
        <w:tc>
          <w:tcPr>
            <w:tcW w:w="1207" w:type="dxa"/>
            <w:vMerge w:val="restart"/>
            <w:vAlign w:val="center"/>
          </w:tcPr>
          <w:p w14:paraId="744DB364" w14:textId="77777777" w:rsidR="00E579B9" w:rsidRDefault="006A1398">
            <w:pPr>
              <w:pStyle w:val="aa"/>
            </w:pPr>
            <w:r>
              <w:rPr>
                <w:rFonts w:hint="eastAsia"/>
              </w:rPr>
              <w:t>污染物排放</w:t>
            </w:r>
            <w:r>
              <w:t>时段</w:t>
            </w:r>
            <w:r>
              <w:rPr>
                <w:rFonts w:hint="eastAsia"/>
              </w:rPr>
              <w:t>（</w:t>
            </w:r>
            <w:r>
              <w:rPr>
                <w:rFonts w:hint="eastAsia"/>
              </w:rPr>
              <w:t>h</w:t>
            </w:r>
            <w:r>
              <w:t>）</w:t>
            </w:r>
          </w:p>
        </w:tc>
        <w:tc>
          <w:tcPr>
            <w:tcW w:w="2657" w:type="dxa"/>
            <w:vMerge w:val="restart"/>
            <w:vAlign w:val="center"/>
          </w:tcPr>
          <w:p w14:paraId="63E80A1F" w14:textId="77777777" w:rsidR="00E579B9" w:rsidRDefault="006A1398">
            <w:pPr>
              <w:pStyle w:val="aa"/>
            </w:pPr>
            <w:r>
              <w:rPr>
                <w:rFonts w:hint="eastAsia"/>
              </w:rPr>
              <w:t>执行</w:t>
            </w:r>
            <w:r>
              <w:t>环境标准</w:t>
            </w:r>
          </w:p>
        </w:tc>
      </w:tr>
      <w:tr w:rsidR="00E579B9" w14:paraId="4410B3C0" w14:textId="77777777">
        <w:trPr>
          <w:jc w:val="center"/>
        </w:trPr>
        <w:tc>
          <w:tcPr>
            <w:tcW w:w="494" w:type="dxa"/>
            <w:vMerge/>
            <w:vAlign w:val="center"/>
          </w:tcPr>
          <w:p w14:paraId="444A00E7" w14:textId="77777777" w:rsidR="00E579B9" w:rsidRDefault="00E579B9">
            <w:pPr>
              <w:pStyle w:val="aa"/>
            </w:pPr>
          </w:p>
        </w:tc>
        <w:tc>
          <w:tcPr>
            <w:tcW w:w="709" w:type="dxa"/>
            <w:vMerge/>
            <w:vAlign w:val="center"/>
          </w:tcPr>
          <w:p w14:paraId="661188FD" w14:textId="77777777" w:rsidR="00E579B9" w:rsidRDefault="00E579B9">
            <w:pPr>
              <w:pStyle w:val="aa"/>
            </w:pPr>
          </w:p>
        </w:tc>
        <w:tc>
          <w:tcPr>
            <w:tcW w:w="1276" w:type="dxa"/>
            <w:vMerge/>
            <w:vAlign w:val="center"/>
          </w:tcPr>
          <w:p w14:paraId="49C14167" w14:textId="77777777" w:rsidR="00E579B9" w:rsidRDefault="00E579B9">
            <w:pPr>
              <w:pStyle w:val="aa"/>
            </w:pPr>
          </w:p>
        </w:tc>
        <w:tc>
          <w:tcPr>
            <w:tcW w:w="1275" w:type="dxa"/>
            <w:vMerge/>
            <w:vAlign w:val="center"/>
          </w:tcPr>
          <w:p w14:paraId="15F6F10D" w14:textId="77777777" w:rsidR="00E579B9" w:rsidRDefault="00E579B9">
            <w:pPr>
              <w:pStyle w:val="aa"/>
            </w:pPr>
          </w:p>
        </w:tc>
        <w:tc>
          <w:tcPr>
            <w:tcW w:w="1134" w:type="dxa"/>
            <w:vMerge/>
            <w:vAlign w:val="center"/>
          </w:tcPr>
          <w:p w14:paraId="3D8A3107" w14:textId="77777777" w:rsidR="00E579B9" w:rsidRDefault="00E579B9">
            <w:pPr>
              <w:pStyle w:val="aa"/>
            </w:pPr>
          </w:p>
        </w:tc>
        <w:tc>
          <w:tcPr>
            <w:tcW w:w="1560" w:type="dxa"/>
            <w:vAlign w:val="center"/>
          </w:tcPr>
          <w:p w14:paraId="7987A0F2" w14:textId="77777777" w:rsidR="00E579B9" w:rsidRDefault="006A1398">
            <w:pPr>
              <w:pStyle w:val="aa"/>
            </w:pPr>
            <w:r>
              <w:rPr>
                <w:rFonts w:hint="eastAsia"/>
              </w:rPr>
              <w:t>设施名称</w:t>
            </w:r>
          </w:p>
        </w:tc>
        <w:tc>
          <w:tcPr>
            <w:tcW w:w="1276" w:type="dxa"/>
            <w:vAlign w:val="center"/>
          </w:tcPr>
          <w:p w14:paraId="63366816" w14:textId="77777777" w:rsidR="00E579B9" w:rsidRDefault="006A1398">
            <w:pPr>
              <w:pStyle w:val="aa"/>
            </w:pPr>
            <w:r>
              <w:rPr>
                <w:rFonts w:hint="eastAsia"/>
              </w:rPr>
              <w:t>设施工艺</w:t>
            </w:r>
          </w:p>
        </w:tc>
        <w:tc>
          <w:tcPr>
            <w:tcW w:w="1134" w:type="dxa"/>
            <w:vAlign w:val="center"/>
          </w:tcPr>
          <w:p w14:paraId="3943FDB7" w14:textId="77777777" w:rsidR="00E579B9" w:rsidRDefault="006A1398">
            <w:pPr>
              <w:pStyle w:val="aa"/>
            </w:pPr>
            <w:r>
              <w:rPr>
                <w:rFonts w:hint="eastAsia"/>
              </w:rPr>
              <w:t>是否为</w:t>
            </w:r>
            <w:r>
              <w:t>可行技术</w:t>
            </w:r>
          </w:p>
        </w:tc>
        <w:tc>
          <w:tcPr>
            <w:tcW w:w="1207" w:type="dxa"/>
            <w:vMerge/>
            <w:vAlign w:val="center"/>
          </w:tcPr>
          <w:p w14:paraId="00693AA3" w14:textId="77777777" w:rsidR="00E579B9" w:rsidRDefault="00E579B9">
            <w:pPr>
              <w:pStyle w:val="aa"/>
            </w:pPr>
          </w:p>
        </w:tc>
        <w:tc>
          <w:tcPr>
            <w:tcW w:w="2657" w:type="dxa"/>
            <w:vMerge/>
            <w:vAlign w:val="center"/>
          </w:tcPr>
          <w:p w14:paraId="5FFB3AEE" w14:textId="77777777" w:rsidR="00E579B9" w:rsidRDefault="00E579B9">
            <w:pPr>
              <w:pStyle w:val="aa"/>
            </w:pPr>
          </w:p>
        </w:tc>
      </w:tr>
      <w:tr w:rsidR="00E579B9" w14:paraId="7425CEC1" w14:textId="77777777">
        <w:trPr>
          <w:trHeight w:val="1006"/>
          <w:jc w:val="center"/>
        </w:trPr>
        <w:tc>
          <w:tcPr>
            <w:tcW w:w="494" w:type="dxa"/>
            <w:vMerge w:val="restart"/>
            <w:vAlign w:val="center"/>
          </w:tcPr>
          <w:p w14:paraId="4FCC9534" w14:textId="77777777" w:rsidR="00E579B9" w:rsidRDefault="006A1398">
            <w:pPr>
              <w:pStyle w:val="aa"/>
            </w:pPr>
            <w:r>
              <w:rPr>
                <w:rFonts w:hint="eastAsia"/>
              </w:rPr>
              <w:t>1</w:t>
            </w:r>
          </w:p>
        </w:tc>
        <w:tc>
          <w:tcPr>
            <w:tcW w:w="709" w:type="dxa"/>
            <w:vMerge w:val="restart"/>
            <w:vAlign w:val="center"/>
          </w:tcPr>
          <w:p w14:paraId="7684DE87" w14:textId="77777777" w:rsidR="00E579B9" w:rsidRDefault="006A1398">
            <w:pPr>
              <w:pStyle w:val="aa"/>
            </w:pPr>
            <w:r>
              <w:rPr>
                <w:rFonts w:hint="eastAsia"/>
              </w:rPr>
              <w:t>废气</w:t>
            </w:r>
          </w:p>
        </w:tc>
        <w:tc>
          <w:tcPr>
            <w:tcW w:w="1276" w:type="dxa"/>
            <w:vAlign w:val="center"/>
          </w:tcPr>
          <w:p w14:paraId="6259DDCC" w14:textId="77777777" w:rsidR="00E579B9" w:rsidRDefault="006A1398">
            <w:pPr>
              <w:pStyle w:val="aa"/>
            </w:pPr>
            <w:r>
              <w:rPr>
                <w:rFonts w:hint="eastAsia"/>
              </w:rPr>
              <w:t>无组织粉尘</w:t>
            </w:r>
          </w:p>
        </w:tc>
        <w:tc>
          <w:tcPr>
            <w:tcW w:w="1275" w:type="dxa"/>
            <w:vAlign w:val="center"/>
          </w:tcPr>
          <w:p w14:paraId="2C9EC596" w14:textId="77777777" w:rsidR="00E579B9" w:rsidRDefault="006A1398">
            <w:pPr>
              <w:pStyle w:val="aa"/>
            </w:pPr>
            <w:r>
              <w:rPr>
                <w:rFonts w:hint="eastAsia"/>
              </w:rPr>
              <w:t>3.476</w:t>
            </w:r>
          </w:p>
        </w:tc>
        <w:tc>
          <w:tcPr>
            <w:tcW w:w="1134" w:type="dxa"/>
            <w:vMerge w:val="restart"/>
            <w:vAlign w:val="center"/>
          </w:tcPr>
          <w:p w14:paraId="620EC33D" w14:textId="77777777" w:rsidR="00E579B9" w:rsidRDefault="006A1398">
            <w:pPr>
              <w:pStyle w:val="aa"/>
            </w:pPr>
            <w:r>
              <w:rPr>
                <w:rFonts w:hint="eastAsia"/>
              </w:rPr>
              <w:t>连续排放</w:t>
            </w:r>
          </w:p>
        </w:tc>
        <w:tc>
          <w:tcPr>
            <w:tcW w:w="1560" w:type="dxa"/>
            <w:vAlign w:val="center"/>
          </w:tcPr>
          <w:p w14:paraId="6B64DA64" w14:textId="77777777" w:rsidR="00E579B9" w:rsidRDefault="006A1398">
            <w:pPr>
              <w:pStyle w:val="aa"/>
            </w:pPr>
            <w:r>
              <w:t>/</w:t>
            </w:r>
          </w:p>
        </w:tc>
        <w:tc>
          <w:tcPr>
            <w:tcW w:w="1276" w:type="dxa"/>
            <w:vAlign w:val="center"/>
          </w:tcPr>
          <w:p w14:paraId="171B295D" w14:textId="77777777" w:rsidR="00E579B9" w:rsidRDefault="006A1398">
            <w:pPr>
              <w:pStyle w:val="aa"/>
            </w:pPr>
            <w:r>
              <w:rPr>
                <w:rFonts w:hint="eastAsia"/>
              </w:rPr>
              <w:t>洒水降尘</w:t>
            </w:r>
          </w:p>
        </w:tc>
        <w:tc>
          <w:tcPr>
            <w:tcW w:w="1134" w:type="dxa"/>
            <w:vAlign w:val="center"/>
          </w:tcPr>
          <w:p w14:paraId="080E9228" w14:textId="77777777" w:rsidR="00E579B9" w:rsidRDefault="006A1398">
            <w:pPr>
              <w:pStyle w:val="aa"/>
            </w:pPr>
            <w:r>
              <w:rPr>
                <w:rFonts w:hint="eastAsia"/>
              </w:rPr>
              <w:t>是</w:t>
            </w:r>
          </w:p>
        </w:tc>
        <w:tc>
          <w:tcPr>
            <w:tcW w:w="1207" w:type="dxa"/>
            <w:vAlign w:val="center"/>
          </w:tcPr>
          <w:p w14:paraId="3209B2F1" w14:textId="77777777" w:rsidR="00E579B9" w:rsidRDefault="006A1398">
            <w:pPr>
              <w:pStyle w:val="aa"/>
            </w:pPr>
            <w:r>
              <w:t>4480</w:t>
            </w:r>
          </w:p>
        </w:tc>
        <w:tc>
          <w:tcPr>
            <w:tcW w:w="2657" w:type="dxa"/>
            <w:vMerge w:val="restart"/>
            <w:vAlign w:val="center"/>
          </w:tcPr>
          <w:p w14:paraId="39229A0C" w14:textId="0B89913E" w:rsidR="00E579B9" w:rsidRDefault="0007525E">
            <w:pPr>
              <w:pStyle w:val="aa"/>
            </w:pPr>
            <w:r w:rsidRPr="005D058A">
              <w:rPr>
                <w:rFonts w:hint="eastAsia"/>
                <w:color w:val="FF0000"/>
                <w:spacing w:val="2"/>
              </w:rPr>
              <w:t>《建筑石料、石材矿绿色矿山建设规范》（</w:t>
            </w:r>
            <w:r w:rsidRPr="005D058A">
              <w:rPr>
                <w:rFonts w:hint="eastAsia"/>
                <w:color w:val="FF0000"/>
                <w:spacing w:val="2"/>
              </w:rPr>
              <w:t>DB41/T1665-2018</w:t>
            </w:r>
            <w:r w:rsidRPr="005D058A">
              <w:rPr>
                <w:rFonts w:hint="eastAsia"/>
                <w:color w:val="FF0000"/>
                <w:spacing w:val="2"/>
              </w:rPr>
              <w:t>）；</w:t>
            </w:r>
          </w:p>
          <w:p w14:paraId="69D38F1A" w14:textId="77777777" w:rsidR="00E579B9" w:rsidRDefault="006A1398">
            <w:pPr>
              <w:pStyle w:val="aa"/>
            </w:pPr>
            <w:r>
              <w:rPr>
                <w:rFonts w:hint="eastAsia"/>
              </w:rPr>
              <w:t>《水泥工业大气污染物排放标准》（</w:t>
            </w:r>
            <w:r>
              <w:rPr>
                <w:rFonts w:hint="eastAsia"/>
              </w:rPr>
              <w:t>GB4915-2013</w:t>
            </w:r>
            <w:r>
              <w:rPr>
                <w:rFonts w:hint="eastAsia"/>
              </w:rPr>
              <w:t>）</w:t>
            </w:r>
          </w:p>
        </w:tc>
      </w:tr>
      <w:tr w:rsidR="00E579B9" w14:paraId="7D811A42" w14:textId="77777777">
        <w:trPr>
          <w:trHeight w:val="481"/>
          <w:jc w:val="center"/>
        </w:trPr>
        <w:tc>
          <w:tcPr>
            <w:tcW w:w="494" w:type="dxa"/>
            <w:vMerge/>
            <w:vAlign w:val="center"/>
          </w:tcPr>
          <w:p w14:paraId="6979BB0C" w14:textId="77777777" w:rsidR="00E579B9" w:rsidRDefault="00E579B9">
            <w:pPr>
              <w:pStyle w:val="aa"/>
            </w:pPr>
          </w:p>
        </w:tc>
        <w:tc>
          <w:tcPr>
            <w:tcW w:w="709" w:type="dxa"/>
            <w:vMerge/>
            <w:vAlign w:val="center"/>
          </w:tcPr>
          <w:p w14:paraId="7E099BCA" w14:textId="77777777" w:rsidR="00E579B9" w:rsidRDefault="00E579B9">
            <w:pPr>
              <w:pStyle w:val="aa"/>
            </w:pPr>
          </w:p>
        </w:tc>
        <w:tc>
          <w:tcPr>
            <w:tcW w:w="1276" w:type="dxa"/>
            <w:vAlign w:val="center"/>
          </w:tcPr>
          <w:p w14:paraId="51AA8BD1" w14:textId="77777777" w:rsidR="00E579B9" w:rsidRDefault="006A1398">
            <w:pPr>
              <w:pStyle w:val="aa"/>
            </w:pPr>
            <w:r>
              <w:rPr>
                <w:rFonts w:hint="eastAsia"/>
              </w:rPr>
              <w:t>有组织</w:t>
            </w:r>
            <w:r>
              <w:t>粉尘</w:t>
            </w:r>
          </w:p>
        </w:tc>
        <w:tc>
          <w:tcPr>
            <w:tcW w:w="1275" w:type="dxa"/>
            <w:vAlign w:val="center"/>
          </w:tcPr>
          <w:p w14:paraId="16C2BF73" w14:textId="77777777" w:rsidR="00E579B9" w:rsidRDefault="006A1398">
            <w:pPr>
              <w:pStyle w:val="aa"/>
            </w:pPr>
            <w:r>
              <w:rPr>
                <w:rFonts w:hint="eastAsia"/>
              </w:rPr>
              <w:t>0.1464</w:t>
            </w:r>
          </w:p>
        </w:tc>
        <w:tc>
          <w:tcPr>
            <w:tcW w:w="1134" w:type="dxa"/>
            <w:vMerge/>
            <w:vAlign w:val="center"/>
          </w:tcPr>
          <w:p w14:paraId="48374F2E" w14:textId="77777777" w:rsidR="00E579B9" w:rsidRDefault="00E579B9">
            <w:pPr>
              <w:pStyle w:val="aa"/>
            </w:pPr>
          </w:p>
        </w:tc>
        <w:tc>
          <w:tcPr>
            <w:tcW w:w="1560" w:type="dxa"/>
            <w:vAlign w:val="center"/>
          </w:tcPr>
          <w:p w14:paraId="0CE57E97" w14:textId="77777777" w:rsidR="00E579B9" w:rsidRDefault="006A1398">
            <w:pPr>
              <w:pStyle w:val="aa"/>
            </w:pPr>
            <w:r>
              <w:rPr>
                <w:rFonts w:hint="eastAsia"/>
              </w:rPr>
              <w:t>袋式</w:t>
            </w:r>
            <w:r>
              <w:t>除尘器</w:t>
            </w:r>
          </w:p>
        </w:tc>
        <w:tc>
          <w:tcPr>
            <w:tcW w:w="1276" w:type="dxa"/>
            <w:vAlign w:val="center"/>
          </w:tcPr>
          <w:p w14:paraId="5B362964" w14:textId="77777777" w:rsidR="00E579B9" w:rsidRDefault="006A1398">
            <w:pPr>
              <w:pStyle w:val="aa"/>
            </w:pPr>
            <w:r>
              <w:rPr>
                <w:rFonts w:hint="eastAsia"/>
              </w:rPr>
              <w:t>过滤</w:t>
            </w:r>
          </w:p>
        </w:tc>
        <w:tc>
          <w:tcPr>
            <w:tcW w:w="1134" w:type="dxa"/>
            <w:vAlign w:val="center"/>
          </w:tcPr>
          <w:p w14:paraId="47DEC68E" w14:textId="77777777" w:rsidR="00E579B9" w:rsidRDefault="006A1398">
            <w:pPr>
              <w:pStyle w:val="aa"/>
            </w:pPr>
            <w:r>
              <w:rPr>
                <w:rFonts w:hint="eastAsia"/>
              </w:rPr>
              <w:t>是</w:t>
            </w:r>
          </w:p>
        </w:tc>
        <w:tc>
          <w:tcPr>
            <w:tcW w:w="1207" w:type="dxa"/>
            <w:vAlign w:val="center"/>
          </w:tcPr>
          <w:p w14:paraId="48741EA3" w14:textId="77777777" w:rsidR="00E579B9" w:rsidRDefault="006A1398">
            <w:pPr>
              <w:pStyle w:val="aa"/>
            </w:pPr>
            <w:r>
              <w:rPr>
                <w:rFonts w:hint="eastAsia"/>
              </w:rPr>
              <w:t>4480</w:t>
            </w:r>
          </w:p>
        </w:tc>
        <w:tc>
          <w:tcPr>
            <w:tcW w:w="2657" w:type="dxa"/>
            <w:vMerge/>
            <w:vAlign w:val="center"/>
          </w:tcPr>
          <w:p w14:paraId="29C82005" w14:textId="77777777" w:rsidR="00E579B9" w:rsidRDefault="00E579B9">
            <w:pPr>
              <w:pStyle w:val="aa"/>
            </w:pPr>
          </w:p>
        </w:tc>
      </w:tr>
      <w:tr w:rsidR="00E579B9" w14:paraId="52DC153F" w14:textId="77777777">
        <w:trPr>
          <w:trHeight w:val="306"/>
          <w:jc w:val="center"/>
        </w:trPr>
        <w:tc>
          <w:tcPr>
            <w:tcW w:w="494" w:type="dxa"/>
            <w:vAlign w:val="center"/>
          </w:tcPr>
          <w:p w14:paraId="5CD949E4" w14:textId="77777777" w:rsidR="00E579B9" w:rsidRDefault="006A1398">
            <w:pPr>
              <w:pStyle w:val="aa"/>
            </w:pPr>
            <w:r>
              <w:t>2</w:t>
            </w:r>
          </w:p>
        </w:tc>
        <w:tc>
          <w:tcPr>
            <w:tcW w:w="709" w:type="dxa"/>
            <w:vMerge w:val="restart"/>
            <w:vAlign w:val="center"/>
          </w:tcPr>
          <w:p w14:paraId="16F489AC" w14:textId="77777777" w:rsidR="00E579B9" w:rsidRDefault="006A1398">
            <w:pPr>
              <w:pStyle w:val="aa"/>
            </w:pPr>
            <w:r>
              <w:rPr>
                <w:rFonts w:hint="eastAsia"/>
              </w:rPr>
              <w:t>废水</w:t>
            </w:r>
          </w:p>
        </w:tc>
        <w:tc>
          <w:tcPr>
            <w:tcW w:w="1276" w:type="dxa"/>
            <w:vAlign w:val="center"/>
          </w:tcPr>
          <w:p w14:paraId="3E5236CB" w14:textId="77777777" w:rsidR="00E579B9" w:rsidRDefault="006A1398">
            <w:pPr>
              <w:pStyle w:val="aa"/>
            </w:pPr>
            <w:r>
              <w:rPr>
                <w:rFonts w:hint="eastAsia"/>
              </w:rPr>
              <w:t>COD</w:t>
            </w:r>
          </w:p>
        </w:tc>
        <w:tc>
          <w:tcPr>
            <w:tcW w:w="1275" w:type="dxa"/>
            <w:vAlign w:val="center"/>
          </w:tcPr>
          <w:p w14:paraId="730CE322" w14:textId="77777777" w:rsidR="00E579B9" w:rsidRDefault="006A1398">
            <w:pPr>
              <w:pStyle w:val="aa"/>
              <w:rPr>
                <w:rFonts w:cs="Times New Roman"/>
                <w:color w:val="000000"/>
                <w:kern w:val="0"/>
              </w:rPr>
            </w:pPr>
            <w:r>
              <w:t>0</w:t>
            </w:r>
          </w:p>
        </w:tc>
        <w:tc>
          <w:tcPr>
            <w:tcW w:w="1134" w:type="dxa"/>
            <w:vAlign w:val="center"/>
          </w:tcPr>
          <w:p w14:paraId="507283F0" w14:textId="77777777" w:rsidR="00E579B9" w:rsidRDefault="006A1398">
            <w:pPr>
              <w:pStyle w:val="aa"/>
            </w:pPr>
            <w:r>
              <w:rPr>
                <w:rFonts w:hint="eastAsia"/>
              </w:rPr>
              <w:t>/</w:t>
            </w:r>
          </w:p>
        </w:tc>
        <w:tc>
          <w:tcPr>
            <w:tcW w:w="1560" w:type="dxa"/>
            <w:vMerge w:val="restart"/>
            <w:vAlign w:val="center"/>
          </w:tcPr>
          <w:p w14:paraId="543C804D" w14:textId="77777777" w:rsidR="00E579B9" w:rsidRDefault="006A1398">
            <w:pPr>
              <w:pStyle w:val="aa"/>
            </w:pPr>
            <w:r>
              <w:rPr>
                <w:rFonts w:hint="eastAsia"/>
              </w:rPr>
              <w:t>一体化污水处理设施</w:t>
            </w:r>
          </w:p>
        </w:tc>
        <w:tc>
          <w:tcPr>
            <w:tcW w:w="1276" w:type="dxa"/>
            <w:vMerge w:val="restart"/>
            <w:vAlign w:val="center"/>
          </w:tcPr>
          <w:p w14:paraId="3012FC51" w14:textId="77777777" w:rsidR="00E579B9" w:rsidRDefault="006A1398">
            <w:pPr>
              <w:pStyle w:val="aa"/>
            </w:pPr>
            <w:r>
              <w:rPr>
                <w:rFonts w:hint="eastAsia"/>
              </w:rPr>
              <w:t>A/O</w:t>
            </w:r>
            <w:r>
              <w:rPr>
                <w:rFonts w:hint="eastAsia"/>
              </w:rPr>
              <w:t>工艺</w:t>
            </w:r>
          </w:p>
        </w:tc>
        <w:tc>
          <w:tcPr>
            <w:tcW w:w="1134" w:type="dxa"/>
            <w:vAlign w:val="center"/>
          </w:tcPr>
          <w:p w14:paraId="636669F1" w14:textId="77777777" w:rsidR="00E579B9" w:rsidRDefault="006A1398">
            <w:pPr>
              <w:pStyle w:val="aa"/>
            </w:pPr>
            <w:r>
              <w:rPr>
                <w:rFonts w:hint="eastAsia"/>
              </w:rPr>
              <w:t>是</w:t>
            </w:r>
          </w:p>
        </w:tc>
        <w:tc>
          <w:tcPr>
            <w:tcW w:w="1207" w:type="dxa"/>
            <w:vAlign w:val="center"/>
          </w:tcPr>
          <w:p w14:paraId="6AFB3D6E" w14:textId="77777777" w:rsidR="00E579B9" w:rsidRDefault="006A1398">
            <w:pPr>
              <w:pStyle w:val="aa"/>
            </w:pPr>
            <w:r>
              <w:t>4480</w:t>
            </w:r>
          </w:p>
        </w:tc>
        <w:tc>
          <w:tcPr>
            <w:tcW w:w="2657" w:type="dxa"/>
            <w:vMerge w:val="restart"/>
            <w:vAlign w:val="center"/>
          </w:tcPr>
          <w:p w14:paraId="4370A0F8" w14:textId="77777777" w:rsidR="00E579B9" w:rsidRDefault="006A1398">
            <w:pPr>
              <w:pStyle w:val="aa"/>
            </w:pPr>
            <w:r>
              <w:rPr>
                <w:rFonts w:hint="eastAsia"/>
              </w:rPr>
              <w:t>/</w:t>
            </w:r>
          </w:p>
        </w:tc>
      </w:tr>
      <w:tr w:rsidR="00E579B9" w14:paraId="2A428FB6" w14:textId="77777777">
        <w:trPr>
          <w:jc w:val="center"/>
        </w:trPr>
        <w:tc>
          <w:tcPr>
            <w:tcW w:w="494" w:type="dxa"/>
            <w:vAlign w:val="center"/>
          </w:tcPr>
          <w:p w14:paraId="6027F2D8" w14:textId="77777777" w:rsidR="00E579B9" w:rsidRDefault="006A1398">
            <w:pPr>
              <w:pStyle w:val="aa"/>
            </w:pPr>
            <w:r>
              <w:t>3</w:t>
            </w:r>
          </w:p>
        </w:tc>
        <w:tc>
          <w:tcPr>
            <w:tcW w:w="709" w:type="dxa"/>
            <w:vMerge/>
            <w:vAlign w:val="center"/>
          </w:tcPr>
          <w:p w14:paraId="779C23F4" w14:textId="77777777" w:rsidR="00E579B9" w:rsidRDefault="00E579B9">
            <w:pPr>
              <w:pStyle w:val="aa"/>
            </w:pPr>
          </w:p>
        </w:tc>
        <w:tc>
          <w:tcPr>
            <w:tcW w:w="1276" w:type="dxa"/>
            <w:vAlign w:val="center"/>
          </w:tcPr>
          <w:p w14:paraId="3C1C3F87" w14:textId="77777777" w:rsidR="00E579B9" w:rsidRDefault="006A1398">
            <w:pPr>
              <w:pStyle w:val="aa"/>
            </w:pPr>
            <w:r>
              <w:rPr>
                <w:rFonts w:hint="eastAsia"/>
              </w:rPr>
              <w:t>氨氮</w:t>
            </w:r>
          </w:p>
        </w:tc>
        <w:tc>
          <w:tcPr>
            <w:tcW w:w="1275" w:type="dxa"/>
            <w:vAlign w:val="center"/>
          </w:tcPr>
          <w:p w14:paraId="22BDE97F" w14:textId="77777777" w:rsidR="00E579B9" w:rsidRDefault="006A1398">
            <w:pPr>
              <w:pStyle w:val="aa"/>
              <w:rPr>
                <w:rFonts w:cs="Times New Roman"/>
                <w:color w:val="000000"/>
                <w:kern w:val="0"/>
              </w:rPr>
            </w:pPr>
            <w:r>
              <w:t>0</w:t>
            </w:r>
          </w:p>
        </w:tc>
        <w:tc>
          <w:tcPr>
            <w:tcW w:w="1134" w:type="dxa"/>
            <w:vAlign w:val="center"/>
          </w:tcPr>
          <w:p w14:paraId="6AB3839A" w14:textId="77777777" w:rsidR="00E579B9" w:rsidRDefault="006A1398">
            <w:pPr>
              <w:pStyle w:val="aa"/>
            </w:pPr>
            <w:r>
              <w:rPr>
                <w:rFonts w:hint="eastAsia"/>
              </w:rPr>
              <w:t>/</w:t>
            </w:r>
          </w:p>
        </w:tc>
        <w:tc>
          <w:tcPr>
            <w:tcW w:w="1560" w:type="dxa"/>
            <w:vMerge/>
            <w:vAlign w:val="center"/>
          </w:tcPr>
          <w:p w14:paraId="03CC9C51" w14:textId="77777777" w:rsidR="00E579B9" w:rsidRDefault="00E579B9">
            <w:pPr>
              <w:pStyle w:val="aa"/>
            </w:pPr>
          </w:p>
        </w:tc>
        <w:tc>
          <w:tcPr>
            <w:tcW w:w="1276" w:type="dxa"/>
            <w:vMerge/>
            <w:vAlign w:val="center"/>
          </w:tcPr>
          <w:p w14:paraId="5B957C15" w14:textId="77777777" w:rsidR="00E579B9" w:rsidRDefault="00E579B9">
            <w:pPr>
              <w:pStyle w:val="aa"/>
            </w:pPr>
          </w:p>
        </w:tc>
        <w:tc>
          <w:tcPr>
            <w:tcW w:w="1134" w:type="dxa"/>
            <w:vAlign w:val="center"/>
          </w:tcPr>
          <w:p w14:paraId="10C6155D" w14:textId="77777777" w:rsidR="00E579B9" w:rsidRDefault="006A1398">
            <w:pPr>
              <w:pStyle w:val="aa"/>
            </w:pPr>
            <w:r>
              <w:rPr>
                <w:rFonts w:hint="eastAsia"/>
              </w:rPr>
              <w:t>是</w:t>
            </w:r>
          </w:p>
        </w:tc>
        <w:tc>
          <w:tcPr>
            <w:tcW w:w="1207" w:type="dxa"/>
            <w:vAlign w:val="center"/>
          </w:tcPr>
          <w:p w14:paraId="1A2E3B32" w14:textId="77777777" w:rsidR="00E579B9" w:rsidRDefault="006A1398">
            <w:pPr>
              <w:pStyle w:val="aa"/>
            </w:pPr>
            <w:r>
              <w:t>4480</w:t>
            </w:r>
          </w:p>
        </w:tc>
        <w:tc>
          <w:tcPr>
            <w:tcW w:w="2657" w:type="dxa"/>
            <w:vMerge/>
            <w:vAlign w:val="center"/>
          </w:tcPr>
          <w:p w14:paraId="7AA1BFA8" w14:textId="77777777" w:rsidR="00E579B9" w:rsidRDefault="00E579B9">
            <w:pPr>
              <w:pStyle w:val="aa"/>
            </w:pPr>
          </w:p>
        </w:tc>
      </w:tr>
      <w:tr w:rsidR="00E579B9" w14:paraId="558313B9" w14:textId="77777777">
        <w:trPr>
          <w:jc w:val="center"/>
        </w:trPr>
        <w:tc>
          <w:tcPr>
            <w:tcW w:w="494" w:type="dxa"/>
            <w:vAlign w:val="center"/>
          </w:tcPr>
          <w:p w14:paraId="5690005F" w14:textId="77777777" w:rsidR="00E579B9" w:rsidRDefault="006A1398">
            <w:pPr>
              <w:pStyle w:val="aa"/>
            </w:pPr>
            <w:r>
              <w:rPr>
                <w:rFonts w:hint="eastAsia"/>
              </w:rPr>
              <w:t>4</w:t>
            </w:r>
          </w:p>
        </w:tc>
        <w:tc>
          <w:tcPr>
            <w:tcW w:w="709" w:type="dxa"/>
            <w:vMerge w:val="restart"/>
            <w:vAlign w:val="center"/>
          </w:tcPr>
          <w:p w14:paraId="6D6B32BF" w14:textId="77777777" w:rsidR="00E579B9" w:rsidRDefault="006A1398">
            <w:pPr>
              <w:pStyle w:val="aa"/>
            </w:pPr>
            <w:r>
              <w:rPr>
                <w:rFonts w:hint="eastAsia"/>
              </w:rPr>
              <w:t>固废</w:t>
            </w:r>
          </w:p>
        </w:tc>
        <w:tc>
          <w:tcPr>
            <w:tcW w:w="1276" w:type="dxa"/>
            <w:vAlign w:val="center"/>
          </w:tcPr>
          <w:p w14:paraId="4486BB5A" w14:textId="77777777" w:rsidR="00E579B9" w:rsidRDefault="006A1398">
            <w:pPr>
              <w:pStyle w:val="aa"/>
              <w:rPr>
                <w:rFonts w:cs="Times New Roman"/>
                <w:color w:val="000000"/>
                <w:kern w:val="0"/>
              </w:rPr>
            </w:pPr>
            <w:r>
              <w:rPr>
                <w:rFonts w:hint="eastAsia"/>
              </w:rPr>
              <w:t>表土</w:t>
            </w:r>
          </w:p>
        </w:tc>
        <w:tc>
          <w:tcPr>
            <w:tcW w:w="1275" w:type="dxa"/>
            <w:vAlign w:val="center"/>
          </w:tcPr>
          <w:p w14:paraId="7FCE502C" w14:textId="77777777" w:rsidR="00E579B9" w:rsidRDefault="006A1398">
            <w:pPr>
              <w:pStyle w:val="aa"/>
            </w:pPr>
            <w:r>
              <w:t>0</w:t>
            </w:r>
          </w:p>
        </w:tc>
        <w:tc>
          <w:tcPr>
            <w:tcW w:w="1134" w:type="dxa"/>
            <w:vAlign w:val="center"/>
          </w:tcPr>
          <w:p w14:paraId="28E69814" w14:textId="77777777" w:rsidR="00E579B9" w:rsidRDefault="006A1398">
            <w:pPr>
              <w:pStyle w:val="aa"/>
            </w:pPr>
            <w:r>
              <w:rPr>
                <w:rFonts w:hint="eastAsia"/>
              </w:rPr>
              <w:t>/</w:t>
            </w:r>
          </w:p>
        </w:tc>
        <w:tc>
          <w:tcPr>
            <w:tcW w:w="1560" w:type="dxa"/>
            <w:vMerge w:val="restart"/>
            <w:vAlign w:val="center"/>
          </w:tcPr>
          <w:p w14:paraId="316506EA" w14:textId="77777777" w:rsidR="00E579B9" w:rsidRDefault="006A1398">
            <w:pPr>
              <w:pStyle w:val="aa"/>
            </w:pPr>
            <w:r>
              <w:rPr>
                <w:rFonts w:hint="eastAsia"/>
              </w:rPr>
              <w:t>剥离表土暂存于</w:t>
            </w:r>
          </w:p>
        </w:tc>
        <w:tc>
          <w:tcPr>
            <w:tcW w:w="1276" w:type="dxa"/>
            <w:vAlign w:val="center"/>
          </w:tcPr>
          <w:p w14:paraId="0BC71C12" w14:textId="77777777" w:rsidR="00E579B9" w:rsidRDefault="006A1398">
            <w:pPr>
              <w:pStyle w:val="aa"/>
            </w:pPr>
            <w:r>
              <w:rPr>
                <w:rFonts w:hint="eastAsia"/>
              </w:rPr>
              <w:t>/</w:t>
            </w:r>
          </w:p>
        </w:tc>
        <w:tc>
          <w:tcPr>
            <w:tcW w:w="1134" w:type="dxa"/>
            <w:vAlign w:val="center"/>
          </w:tcPr>
          <w:p w14:paraId="708CA8F1" w14:textId="77777777" w:rsidR="00E579B9" w:rsidRDefault="006A1398">
            <w:pPr>
              <w:pStyle w:val="aa"/>
            </w:pPr>
            <w:r>
              <w:rPr>
                <w:rFonts w:hint="eastAsia"/>
              </w:rPr>
              <w:t>/</w:t>
            </w:r>
          </w:p>
        </w:tc>
        <w:tc>
          <w:tcPr>
            <w:tcW w:w="1207" w:type="dxa"/>
            <w:vAlign w:val="center"/>
          </w:tcPr>
          <w:p w14:paraId="5F3A0D8D" w14:textId="77777777" w:rsidR="00E579B9" w:rsidRDefault="006A1398">
            <w:pPr>
              <w:pStyle w:val="aa"/>
            </w:pPr>
            <w:r>
              <w:t>/</w:t>
            </w:r>
          </w:p>
        </w:tc>
        <w:tc>
          <w:tcPr>
            <w:tcW w:w="2657" w:type="dxa"/>
            <w:vMerge w:val="restart"/>
            <w:vAlign w:val="center"/>
          </w:tcPr>
          <w:p w14:paraId="5126B88F" w14:textId="77777777" w:rsidR="00E579B9" w:rsidRDefault="006A1398">
            <w:pPr>
              <w:pStyle w:val="aa"/>
            </w:pPr>
            <w:r>
              <w:rPr>
                <w:rFonts w:hint="eastAsia"/>
              </w:rPr>
              <w:t>《一般工业固体废物贮存、处置场污染控制标准》（</w:t>
            </w:r>
            <w:r>
              <w:rPr>
                <w:rFonts w:hint="eastAsia"/>
              </w:rPr>
              <w:t>GB18599-2001</w:t>
            </w:r>
            <w:r>
              <w:rPr>
                <w:rFonts w:hint="eastAsia"/>
              </w:rPr>
              <w:t>）及其</w:t>
            </w:r>
            <w:r>
              <w:rPr>
                <w:rFonts w:hint="eastAsia"/>
              </w:rPr>
              <w:t>2013</w:t>
            </w:r>
            <w:r>
              <w:rPr>
                <w:rFonts w:hint="eastAsia"/>
              </w:rPr>
              <w:t>年修改单</w:t>
            </w:r>
          </w:p>
        </w:tc>
      </w:tr>
      <w:tr w:rsidR="00E579B9" w14:paraId="13E96578" w14:textId="77777777">
        <w:trPr>
          <w:jc w:val="center"/>
        </w:trPr>
        <w:tc>
          <w:tcPr>
            <w:tcW w:w="494" w:type="dxa"/>
            <w:vAlign w:val="center"/>
          </w:tcPr>
          <w:p w14:paraId="20988EE1" w14:textId="77777777" w:rsidR="00E579B9" w:rsidRDefault="006A1398">
            <w:pPr>
              <w:pStyle w:val="aa"/>
            </w:pPr>
            <w:r>
              <w:rPr>
                <w:rFonts w:hint="eastAsia"/>
              </w:rPr>
              <w:t>5</w:t>
            </w:r>
          </w:p>
        </w:tc>
        <w:tc>
          <w:tcPr>
            <w:tcW w:w="709" w:type="dxa"/>
            <w:vMerge/>
            <w:vAlign w:val="center"/>
          </w:tcPr>
          <w:p w14:paraId="17AE0C15" w14:textId="77777777" w:rsidR="00E579B9" w:rsidRDefault="00E579B9">
            <w:pPr>
              <w:pStyle w:val="aa"/>
            </w:pPr>
          </w:p>
        </w:tc>
        <w:tc>
          <w:tcPr>
            <w:tcW w:w="1276" w:type="dxa"/>
            <w:vAlign w:val="center"/>
          </w:tcPr>
          <w:p w14:paraId="0B1239E7" w14:textId="77777777" w:rsidR="00E579B9" w:rsidRDefault="006A1398">
            <w:pPr>
              <w:pStyle w:val="aa"/>
              <w:rPr>
                <w:rFonts w:cs="Times New Roman"/>
                <w:color w:val="000000"/>
                <w:kern w:val="0"/>
              </w:rPr>
            </w:pPr>
            <w:r>
              <w:rPr>
                <w:rFonts w:hint="eastAsia"/>
              </w:rPr>
              <w:t>废石</w:t>
            </w:r>
          </w:p>
        </w:tc>
        <w:tc>
          <w:tcPr>
            <w:tcW w:w="1275" w:type="dxa"/>
            <w:vAlign w:val="center"/>
          </w:tcPr>
          <w:p w14:paraId="55441634" w14:textId="77777777" w:rsidR="00E579B9" w:rsidRDefault="006A1398">
            <w:pPr>
              <w:pStyle w:val="aa"/>
            </w:pPr>
            <w:r>
              <w:t>0</w:t>
            </w:r>
          </w:p>
        </w:tc>
        <w:tc>
          <w:tcPr>
            <w:tcW w:w="1134" w:type="dxa"/>
            <w:vAlign w:val="center"/>
          </w:tcPr>
          <w:p w14:paraId="3014A714" w14:textId="77777777" w:rsidR="00E579B9" w:rsidRDefault="006A1398">
            <w:pPr>
              <w:pStyle w:val="aa"/>
            </w:pPr>
            <w:r>
              <w:rPr>
                <w:rFonts w:hint="eastAsia"/>
              </w:rPr>
              <w:t>/</w:t>
            </w:r>
          </w:p>
        </w:tc>
        <w:tc>
          <w:tcPr>
            <w:tcW w:w="1560" w:type="dxa"/>
            <w:vMerge/>
            <w:vAlign w:val="center"/>
          </w:tcPr>
          <w:p w14:paraId="235A6A1B" w14:textId="77777777" w:rsidR="00E579B9" w:rsidRDefault="00E579B9">
            <w:pPr>
              <w:pStyle w:val="aa"/>
            </w:pPr>
          </w:p>
        </w:tc>
        <w:tc>
          <w:tcPr>
            <w:tcW w:w="1276" w:type="dxa"/>
            <w:vAlign w:val="center"/>
          </w:tcPr>
          <w:p w14:paraId="5EA55E5B" w14:textId="77777777" w:rsidR="00E579B9" w:rsidRDefault="006A1398">
            <w:pPr>
              <w:pStyle w:val="aa"/>
            </w:pPr>
            <w:r>
              <w:rPr>
                <w:rFonts w:hint="eastAsia"/>
              </w:rPr>
              <w:t>/</w:t>
            </w:r>
          </w:p>
        </w:tc>
        <w:tc>
          <w:tcPr>
            <w:tcW w:w="1134" w:type="dxa"/>
            <w:vAlign w:val="center"/>
          </w:tcPr>
          <w:p w14:paraId="0921AD04" w14:textId="77777777" w:rsidR="00E579B9" w:rsidRDefault="006A1398">
            <w:pPr>
              <w:pStyle w:val="aa"/>
            </w:pPr>
            <w:r>
              <w:rPr>
                <w:rFonts w:hint="eastAsia"/>
              </w:rPr>
              <w:t>/</w:t>
            </w:r>
          </w:p>
        </w:tc>
        <w:tc>
          <w:tcPr>
            <w:tcW w:w="1207" w:type="dxa"/>
            <w:vAlign w:val="center"/>
          </w:tcPr>
          <w:p w14:paraId="6BF731C4" w14:textId="77777777" w:rsidR="00E579B9" w:rsidRDefault="006A1398">
            <w:pPr>
              <w:pStyle w:val="aa"/>
            </w:pPr>
            <w:r>
              <w:t>/</w:t>
            </w:r>
          </w:p>
        </w:tc>
        <w:tc>
          <w:tcPr>
            <w:tcW w:w="2657" w:type="dxa"/>
            <w:vMerge/>
            <w:vAlign w:val="center"/>
          </w:tcPr>
          <w:p w14:paraId="053D18B4" w14:textId="77777777" w:rsidR="00E579B9" w:rsidRDefault="00E579B9">
            <w:pPr>
              <w:pStyle w:val="aa"/>
            </w:pPr>
          </w:p>
        </w:tc>
      </w:tr>
      <w:tr w:rsidR="00E579B9" w14:paraId="3556C20D" w14:textId="77777777">
        <w:trPr>
          <w:jc w:val="center"/>
        </w:trPr>
        <w:tc>
          <w:tcPr>
            <w:tcW w:w="494" w:type="dxa"/>
            <w:vAlign w:val="center"/>
          </w:tcPr>
          <w:p w14:paraId="7BE66948" w14:textId="77777777" w:rsidR="00E579B9" w:rsidRDefault="006A1398">
            <w:pPr>
              <w:pStyle w:val="aa"/>
            </w:pPr>
            <w:r>
              <w:rPr>
                <w:rFonts w:hint="eastAsia"/>
              </w:rPr>
              <w:t>6</w:t>
            </w:r>
          </w:p>
        </w:tc>
        <w:tc>
          <w:tcPr>
            <w:tcW w:w="709" w:type="dxa"/>
            <w:vMerge/>
            <w:vAlign w:val="center"/>
          </w:tcPr>
          <w:p w14:paraId="5161F44E" w14:textId="77777777" w:rsidR="00E579B9" w:rsidRDefault="00E579B9">
            <w:pPr>
              <w:pStyle w:val="aa"/>
            </w:pPr>
          </w:p>
        </w:tc>
        <w:tc>
          <w:tcPr>
            <w:tcW w:w="1276" w:type="dxa"/>
            <w:vAlign w:val="center"/>
          </w:tcPr>
          <w:p w14:paraId="35E625A2" w14:textId="77777777" w:rsidR="00E579B9" w:rsidRDefault="006A1398">
            <w:pPr>
              <w:pStyle w:val="aa"/>
            </w:pPr>
            <w:r>
              <w:rPr>
                <w:rFonts w:hint="eastAsia"/>
              </w:rPr>
              <w:t>生活垃圾</w:t>
            </w:r>
          </w:p>
        </w:tc>
        <w:tc>
          <w:tcPr>
            <w:tcW w:w="1275" w:type="dxa"/>
            <w:vAlign w:val="center"/>
          </w:tcPr>
          <w:p w14:paraId="593E94C3" w14:textId="77777777" w:rsidR="00E579B9" w:rsidRDefault="006A1398">
            <w:pPr>
              <w:pStyle w:val="aa"/>
            </w:pPr>
            <w:r>
              <w:t>0</w:t>
            </w:r>
          </w:p>
        </w:tc>
        <w:tc>
          <w:tcPr>
            <w:tcW w:w="1134" w:type="dxa"/>
            <w:vAlign w:val="center"/>
          </w:tcPr>
          <w:p w14:paraId="50DDDFAB" w14:textId="77777777" w:rsidR="00E579B9" w:rsidRDefault="006A1398">
            <w:pPr>
              <w:pStyle w:val="aa"/>
            </w:pPr>
            <w:r>
              <w:rPr>
                <w:rFonts w:hint="eastAsia"/>
              </w:rPr>
              <w:t>/</w:t>
            </w:r>
          </w:p>
        </w:tc>
        <w:tc>
          <w:tcPr>
            <w:tcW w:w="1560" w:type="dxa"/>
            <w:vAlign w:val="center"/>
          </w:tcPr>
          <w:p w14:paraId="6ADA935D" w14:textId="77777777" w:rsidR="00E579B9" w:rsidRDefault="006A1398">
            <w:pPr>
              <w:pStyle w:val="aa"/>
            </w:pPr>
            <w:r>
              <w:rPr>
                <w:rFonts w:hint="eastAsia"/>
              </w:rPr>
              <w:t>/</w:t>
            </w:r>
          </w:p>
        </w:tc>
        <w:tc>
          <w:tcPr>
            <w:tcW w:w="1276" w:type="dxa"/>
            <w:vAlign w:val="center"/>
          </w:tcPr>
          <w:p w14:paraId="5E54345E" w14:textId="77777777" w:rsidR="00E579B9" w:rsidRDefault="006A1398">
            <w:pPr>
              <w:pStyle w:val="aa"/>
            </w:pPr>
            <w:r>
              <w:rPr>
                <w:rFonts w:hint="eastAsia"/>
              </w:rPr>
              <w:t>/</w:t>
            </w:r>
          </w:p>
        </w:tc>
        <w:tc>
          <w:tcPr>
            <w:tcW w:w="1134" w:type="dxa"/>
            <w:vAlign w:val="center"/>
          </w:tcPr>
          <w:p w14:paraId="5F69F567" w14:textId="77777777" w:rsidR="00E579B9" w:rsidRDefault="006A1398">
            <w:pPr>
              <w:pStyle w:val="aa"/>
            </w:pPr>
            <w:r>
              <w:rPr>
                <w:rFonts w:hint="eastAsia"/>
              </w:rPr>
              <w:t>/</w:t>
            </w:r>
          </w:p>
        </w:tc>
        <w:tc>
          <w:tcPr>
            <w:tcW w:w="1207" w:type="dxa"/>
            <w:vAlign w:val="center"/>
          </w:tcPr>
          <w:p w14:paraId="7EF868E6" w14:textId="77777777" w:rsidR="00E579B9" w:rsidRDefault="006A1398">
            <w:pPr>
              <w:pStyle w:val="aa"/>
            </w:pPr>
            <w:r>
              <w:rPr>
                <w:rFonts w:hint="eastAsia"/>
              </w:rPr>
              <w:t>/</w:t>
            </w:r>
          </w:p>
        </w:tc>
        <w:tc>
          <w:tcPr>
            <w:tcW w:w="2657" w:type="dxa"/>
            <w:vMerge/>
            <w:vAlign w:val="center"/>
          </w:tcPr>
          <w:p w14:paraId="1ADD42C2" w14:textId="77777777" w:rsidR="00E579B9" w:rsidRDefault="00E579B9">
            <w:pPr>
              <w:pStyle w:val="aa"/>
            </w:pPr>
          </w:p>
        </w:tc>
      </w:tr>
      <w:tr w:rsidR="00E579B9" w14:paraId="11285281" w14:textId="77777777">
        <w:trPr>
          <w:jc w:val="center"/>
        </w:trPr>
        <w:tc>
          <w:tcPr>
            <w:tcW w:w="494" w:type="dxa"/>
            <w:vAlign w:val="center"/>
          </w:tcPr>
          <w:p w14:paraId="5C5F41B1" w14:textId="77777777" w:rsidR="00E579B9" w:rsidRDefault="006A1398">
            <w:pPr>
              <w:pStyle w:val="aa"/>
            </w:pPr>
            <w:r>
              <w:rPr>
                <w:rFonts w:hint="eastAsia"/>
              </w:rPr>
              <w:t>7</w:t>
            </w:r>
          </w:p>
        </w:tc>
        <w:tc>
          <w:tcPr>
            <w:tcW w:w="709" w:type="dxa"/>
            <w:vMerge/>
            <w:vAlign w:val="center"/>
          </w:tcPr>
          <w:p w14:paraId="4D67FC64" w14:textId="77777777" w:rsidR="00E579B9" w:rsidRDefault="00E579B9">
            <w:pPr>
              <w:pStyle w:val="aa"/>
            </w:pPr>
          </w:p>
        </w:tc>
        <w:tc>
          <w:tcPr>
            <w:tcW w:w="1276" w:type="dxa"/>
            <w:vAlign w:val="center"/>
          </w:tcPr>
          <w:p w14:paraId="294A610C" w14:textId="77777777" w:rsidR="00E579B9" w:rsidRDefault="006A1398">
            <w:pPr>
              <w:pStyle w:val="aa"/>
            </w:pPr>
            <w:r>
              <w:rPr>
                <w:rFonts w:hint="eastAsia"/>
              </w:rPr>
              <w:t>袋式</w:t>
            </w:r>
            <w:r>
              <w:t>除尘器收集粉尘</w:t>
            </w:r>
          </w:p>
        </w:tc>
        <w:tc>
          <w:tcPr>
            <w:tcW w:w="1275" w:type="dxa"/>
            <w:vAlign w:val="center"/>
          </w:tcPr>
          <w:p w14:paraId="2579BF3C" w14:textId="77777777" w:rsidR="00E579B9" w:rsidRDefault="006A1398">
            <w:pPr>
              <w:pStyle w:val="aa"/>
            </w:pPr>
            <w:r>
              <w:t>0</w:t>
            </w:r>
          </w:p>
        </w:tc>
        <w:tc>
          <w:tcPr>
            <w:tcW w:w="1134" w:type="dxa"/>
            <w:vAlign w:val="center"/>
          </w:tcPr>
          <w:p w14:paraId="4AAA2B46" w14:textId="77777777" w:rsidR="00E579B9" w:rsidRDefault="006A1398">
            <w:pPr>
              <w:pStyle w:val="aa"/>
            </w:pPr>
            <w:r>
              <w:rPr>
                <w:rFonts w:hint="eastAsia"/>
              </w:rPr>
              <w:t>/</w:t>
            </w:r>
          </w:p>
        </w:tc>
        <w:tc>
          <w:tcPr>
            <w:tcW w:w="1560" w:type="dxa"/>
            <w:vAlign w:val="center"/>
          </w:tcPr>
          <w:p w14:paraId="7D4B0B65" w14:textId="77777777" w:rsidR="00E579B9" w:rsidRDefault="006A1398">
            <w:pPr>
              <w:pStyle w:val="aa"/>
            </w:pPr>
            <w:r>
              <w:rPr>
                <w:rFonts w:hint="eastAsia"/>
              </w:rPr>
              <w:t>/</w:t>
            </w:r>
          </w:p>
        </w:tc>
        <w:tc>
          <w:tcPr>
            <w:tcW w:w="1276" w:type="dxa"/>
            <w:vAlign w:val="center"/>
          </w:tcPr>
          <w:p w14:paraId="43012245" w14:textId="77777777" w:rsidR="00E579B9" w:rsidRDefault="006A1398">
            <w:pPr>
              <w:pStyle w:val="aa"/>
            </w:pPr>
            <w:r>
              <w:rPr>
                <w:rFonts w:hint="eastAsia"/>
              </w:rPr>
              <w:t>/</w:t>
            </w:r>
          </w:p>
        </w:tc>
        <w:tc>
          <w:tcPr>
            <w:tcW w:w="1134" w:type="dxa"/>
            <w:vAlign w:val="center"/>
          </w:tcPr>
          <w:p w14:paraId="1D8C7F38" w14:textId="77777777" w:rsidR="00E579B9" w:rsidRDefault="006A1398">
            <w:pPr>
              <w:pStyle w:val="aa"/>
            </w:pPr>
            <w:r>
              <w:rPr>
                <w:rFonts w:hint="eastAsia"/>
              </w:rPr>
              <w:t>/</w:t>
            </w:r>
          </w:p>
        </w:tc>
        <w:tc>
          <w:tcPr>
            <w:tcW w:w="1207" w:type="dxa"/>
            <w:vAlign w:val="center"/>
          </w:tcPr>
          <w:p w14:paraId="31F94C21" w14:textId="77777777" w:rsidR="00E579B9" w:rsidRDefault="006A1398">
            <w:pPr>
              <w:pStyle w:val="aa"/>
            </w:pPr>
            <w:r>
              <w:rPr>
                <w:rFonts w:hint="eastAsia"/>
              </w:rPr>
              <w:t>/</w:t>
            </w:r>
          </w:p>
        </w:tc>
        <w:tc>
          <w:tcPr>
            <w:tcW w:w="2657" w:type="dxa"/>
            <w:vMerge/>
            <w:vAlign w:val="center"/>
          </w:tcPr>
          <w:p w14:paraId="43EA5E16" w14:textId="77777777" w:rsidR="00E579B9" w:rsidRDefault="00E579B9">
            <w:pPr>
              <w:pStyle w:val="aa"/>
            </w:pPr>
          </w:p>
        </w:tc>
      </w:tr>
    </w:tbl>
    <w:p w14:paraId="52F1D08A" w14:textId="77777777" w:rsidR="00E579B9" w:rsidRDefault="00E579B9"/>
    <w:p w14:paraId="21DA2862" w14:textId="77777777" w:rsidR="00E579B9" w:rsidRDefault="00E579B9">
      <w:pPr>
        <w:ind w:firstLineChars="0" w:firstLine="0"/>
      </w:pPr>
    </w:p>
    <w:p w14:paraId="494C00CE" w14:textId="77777777" w:rsidR="00E579B9" w:rsidRDefault="00E579B9">
      <w:pPr>
        <w:sectPr w:rsidR="00E579B9">
          <w:pgSz w:w="16838" w:h="11906" w:orient="landscape"/>
          <w:pgMar w:top="1588" w:right="1701" w:bottom="1588" w:left="1985" w:header="1077" w:footer="680" w:gutter="0"/>
          <w:cols w:space="720"/>
          <w:docGrid w:type="lines" w:linePitch="326"/>
        </w:sectPr>
      </w:pPr>
    </w:p>
    <w:p w14:paraId="03C7CA70" w14:textId="77777777" w:rsidR="00E579B9" w:rsidRDefault="006A1398">
      <w:pPr>
        <w:pStyle w:val="2"/>
        <w:ind w:firstLine="560"/>
      </w:pPr>
      <w:bookmarkStart w:id="478" w:name="_Toc535847599"/>
      <w:bookmarkStart w:id="479" w:name="_Toc33021830"/>
      <w:r>
        <w:rPr>
          <w:rFonts w:hint="eastAsia"/>
        </w:rPr>
        <w:lastRenderedPageBreak/>
        <w:t>9.4</w:t>
      </w:r>
      <w:r>
        <w:t>环境监测</w:t>
      </w:r>
      <w:bookmarkEnd w:id="478"/>
      <w:bookmarkEnd w:id="479"/>
    </w:p>
    <w:p w14:paraId="22ADD7DF" w14:textId="77777777" w:rsidR="00E579B9" w:rsidRDefault="006A1398">
      <w:r>
        <w:rPr>
          <w:rFonts w:hint="eastAsia"/>
        </w:rPr>
        <w:t>环境监测是指通过对本项目运行后污染物排放情况进行监测，及时准确地掌握环境质量和污染源动态，为生产和环境管理提供全面、充分可靠的科学依据。《建设项目环境保护设计规定》第六章第五十九条规定，对环境有影响的新建、扩建项目应该设置必要的监测机构与配备相应的监测仪器，根据这一要求，结合本项目的规模、性质、监测任务等，建议本项目日常环境监测工作委托当地有资质的环境监测站承担。本项目不设置环境监测设施。</w:t>
      </w:r>
    </w:p>
    <w:p w14:paraId="023F4DCC" w14:textId="77777777" w:rsidR="00E579B9" w:rsidRDefault="006A1398">
      <w:pPr>
        <w:pStyle w:val="3"/>
        <w:ind w:firstLine="560"/>
      </w:pPr>
      <w:bookmarkStart w:id="480" w:name="_Toc535847600"/>
      <w:r>
        <w:rPr>
          <w:rFonts w:hint="eastAsia"/>
        </w:rPr>
        <w:t>9.4</w:t>
      </w:r>
      <w:r>
        <w:t>.1</w:t>
      </w:r>
      <w:r>
        <w:t>环境监测机构的职责</w:t>
      </w:r>
      <w:bookmarkEnd w:id="480"/>
    </w:p>
    <w:p w14:paraId="51983F09" w14:textId="77777777" w:rsidR="00E579B9" w:rsidRDefault="006A1398">
      <w:r>
        <w:rPr>
          <w:rFonts w:hint="eastAsia"/>
        </w:rPr>
        <w:t>（</w:t>
      </w:r>
      <w:r>
        <w:rPr>
          <w:rFonts w:hint="eastAsia"/>
        </w:rPr>
        <w:t>1</w:t>
      </w:r>
      <w:r>
        <w:rPr>
          <w:rFonts w:hint="eastAsia"/>
        </w:rPr>
        <w:t>）根据国家颁布的环境质量标准和污染物排放标准及环境保护监测工作规定，制定项目监测计划和工作方案。</w:t>
      </w:r>
    </w:p>
    <w:p w14:paraId="58B71164" w14:textId="77777777" w:rsidR="00E579B9" w:rsidRDefault="006A1398">
      <w:r>
        <w:rPr>
          <w:rFonts w:hint="eastAsia"/>
        </w:rPr>
        <w:t>（</w:t>
      </w:r>
      <w:r>
        <w:rPr>
          <w:rFonts w:hint="eastAsia"/>
        </w:rPr>
        <w:t>2</w:t>
      </w:r>
      <w:r>
        <w:rPr>
          <w:rFonts w:hint="eastAsia"/>
        </w:rPr>
        <w:t>）定期对各项污染防治设施进行监测，随时掌握运行状况，监测结果出现异常时，应及时查明原因，并及时上报企业主管环保的领导。</w:t>
      </w:r>
    </w:p>
    <w:p w14:paraId="02230100" w14:textId="77777777" w:rsidR="00E579B9" w:rsidRDefault="006A1398">
      <w:r>
        <w:rPr>
          <w:rFonts w:hint="eastAsia"/>
        </w:rPr>
        <w:t>（</w:t>
      </w:r>
      <w:r>
        <w:rPr>
          <w:rFonts w:hint="eastAsia"/>
        </w:rPr>
        <w:t>3</w:t>
      </w:r>
      <w:r>
        <w:rPr>
          <w:rFonts w:hint="eastAsia"/>
        </w:rPr>
        <w:t>）做好废气、废水、噪声的污染源及监测数据记录、统计分析及存档工作，分析污染物排放规律，整理监测数据，并建立企业环保档案。</w:t>
      </w:r>
    </w:p>
    <w:p w14:paraId="13E9FE0C" w14:textId="77777777" w:rsidR="00E579B9" w:rsidRDefault="006A1398">
      <w:r>
        <w:rPr>
          <w:rFonts w:hint="eastAsia"/>
        </w:rPr>
        <w:t>（</w:t>
      </w:r>
      <w:r>
        <w:rPr>
          <w:rFonts w:hint="eastAsia"/>
        </w:rPr>
        <w:t>4</w:t>
      </w:r>
      <w:r>
        <w:rPr>
          <w:rFonts w:hint="eastAsia"/>
        </w:rPr>
        <w:t>）建立质量保证体系，监测站的规范化建设，不断提高监测质量和监测水平。</w:t>
      </w:r>
    </w:p>
    <w:p w14:paraId="12C3C9D0" w14:textId="77777777" w:rsidR="00E579B9" w:rsidRDefault="006A1398">
      <w:r>
        <w:rPr>
          <w:rFonts w:hint="eastAsia"/>
        </w:rPr>
        <w:t>（</w:t>
      </w:r>
      <w:r>
        <w:rPr>
          <w:rFonts w:hint="eastAsia"/>
        </w:rPr>
        <w:t>5</w:t>
      </w:r>
      <w:r>
        <w:rPr>
          <w:rFonts w:hint="eastAsia"/>
        </w:rPr>
        <w:t>）加强监测仪器设备的日常保养和校验工作，确保监测站的正常运行。</w:t>
      </w:r>
    </w:p>
    <w:p w14:paraId="7C21E48F" w14:textId="77777777" w:rsidR="00E579B9" w:rsidRDefault="006A1398">
      <w:r>
        <w:rPr>
          <w:rFonts w:hint="eastAsia"/>
        </w:rPr>
        <w:t>（</w:t>
      </w:r>
      <w:r>
        <w:rPr>
          <w:rFonts w:hint="eastAsia"/>
        </w:rPr>
        <w:t>6</w:t>
      </w:r>
      <w:r>
        <w:rPr>
          <w:rFonts w:hint="eastAsia"/>
        </w:rPr>
        <w:t>）接受地方环保主管部门的指导和监督管理。</w:t>
      </w:r>
    </w:p>
    <w:p w14:paraId="3B4A4466" w14:textId="77777777" w:rsidR="00E579B9" w:rsidRDefault="006A1398">
      <w:pPr>
        <w:pStyle w:val="3"/>
        <w:ind w:firstLine="560"/>
      </w:pPr>
      <w:bookmarkStart w:id="481" w:name="_Toc535847601"/>
      <w:r>
        <w:rPr>
          <w:rFonts w:hint="eastAsia"/>
        </w:rPr>
        <w:t>9.4</w:t>
      </w:r>
      <w:r>
        <w:t>.2</w:t>
      </w:r>
      <w:r>
        <w:rPr>
          <w:rFonts w:hint="eastAsia"/>
        </w:rPr>
        <w:t>监控要点</w:t>
      </w:r>
      <w:bookmarkEnd w:id="481"/>
    </w:p>
    <w:p w14:paraId="2B2EE009" w14:textId="77777777" w:rsidR="00E579B9" w:rsidRDefault="006A1398">
      <w:r>
        <w:t>（</w:t>
      </w:r>
      <w:r>
        <w:t>1</w:t>
      </w:r>
      <w:r>
        <w:t>）建设期</w:t>
      </w:r>
      <w:r>
        <w:rPr>
          <w:rFonts w:hint="eastAsia"/>
        </w:rPr>
        <w:t>环保</w:t>
      </w:r>
      <w:r>
        <w:t>措施监控</w:t>
      </w:r>
      <w:r>
        <w:rPr>
          <w:rFonts w:hint="eastAsia"/>
        </w:rPr>
        <w:t>要点</w:t>
      </w:r>
    </w:p>
    <w:p w14:paraId="40559116" w14:textId="77777777" w:rsidR="00E579B9" w:rsidRDefault="006A1398">
      <w:r>
        <w:rPr>
          <w:rFonts w:hint="eastAsia"/>
        </w:rPr>
        <w:t>①开展建设期的环境监理，落实建设过程的污染防治措施，确保与主体工程配套建设的环保设施和生态保护措施同时建设。建议当地环保部门加强施工期的环境监督与管理。</w:t>
      </w:r>
    </w:p>
    <w:p w14:paraId="2DABCE56" w14:textId="77777777" w:rsidR="00E579B9" w:rsidRDefault="006A1398">
      <w:r>
        <w:rPr>
          <w:rFonts w:hint="eastAsia"/>
        </w:rPr>
        <w:t>②</w:t>
      </w:r>
      <w:r>
        <w:t>对矿区道路等工程建设严格按设计控制土石方开挖方式，对弃土弃石的运输、堆存应每日一查，严格控制乱堆乱倒，对可利用的弃土弃渣做好监控、监督并</w:t>
      </w:r>
      <w:r>
        <w:lastRenderedPageBreak/>
        <w:t>及时予以利用。对施工场地周边的林木植被保护应每日一查，严格控制占压毁坏周边林木植被。</w:t>
      </w:r>
    </w:p>
    <w:p w14:paraId="33178ED0" w14:textId="77777777" w:rsidR="00E579B9" w:rsidRDefault="006A1398">
      <w:r>
        <w:rPr>
          <w:rFonts w:hint="eastAsia"/>
        </w:rPr>
        <w:t>③严格控制项目建设用地，</w:t>
      </w:r>
      <w:r>
        <w:t>施工结束后临时占地、临时施工道路、临时弃土场等场地</w:t>
      </w:r>
      <w:r>
        <w:rPr>
          <w:rFonts w:hint="eastAsia"/>
        </w:rPr>
        <w:t>必须</w:t>
      </w:r>
      <w:r>
        <w:t>及时实施生态恢复工程，并</w:t>
      </w:r>
      <w:r>
        <w:rPr>
          <w:rFonts w:hint="eastAsia"/>
        </w:rPr>
        <w:t>保证全部恢复</w:t>
      </w:r>
      <w:r>
        <w:t>。</w:t>
      </w:r>
    </w:p>
    <w:p w14:paraId="29CE85AD" w14:textId="77777777" w:rsidR="00E579B9" w:rsidRDefault="006A1398">
      <w:r>
        <w:t>（</w:t>
      </w:r>
      <w:r>
        <w:t>2</w:t>
      </w:r>
      <w:r>
        <w:t>）营运期</w:t>
      </w:r>
      <w:r>
        <w:rPr>
          <w:rFonts w:hint="eastAsia"/>
        </w:rPr>
        <w:t>环保</w:t>
      </w:r>
      <w:r>
        <w:t>措施监控</w:t>
      </w:r>
      <w:r>
        <w:rPr>
          <w:rFonts w:hint="eastAsia"/>
        </w:rPr>
        <w:t>要点</w:t>
      </w:r>
    </w:p>
    <w:p w14:paraId="72EAF597" w14:textId="77777777" w:rsidR="00E579B9" w:rsidRDefault="006A1398">
      <w:r>
        <w:rPr>
          <w:rFonts w:hint="eastAsia"/>
        </w:rPr>
        <w:t>①把环境管理、污染防治和生态恢复纳入企业正常生产管理，从计划管理、生产管理、技术管理、设备管理到经济成本核算都要有环境保护的具体内容和指标，并要落实到班组和岗位。</w:t>
      </w:r>
    </w:p>
    <w:p w14:paraId="3ADCA774" w14:textId="77777777" w:rsidR="00E579B9" w:rsidRDefault="006A1398">
      <w:r>
        <w:rPr>
          <w:rFonts w:hint="eastAsia"/>
        </w:rPr>
        <w:t>②</w:t>
      </w:r>
      <w:r>
        <w:t>严格执行环境管理规章制度，确保环保设施正常稳定运行</w:t>
      </w:r>
      <w:r>
        <w:rPr>
          <w:rFonts w:hint="eastAsia"/>
        </w:rPr>
        <w:t>，加强营运期</w:t>
      </w:r>
      <w:r>
        <w:t>环境监测，发现问题及时</w:t>
      </w:r>
      <w:r>
        <w:rPr>
          <w:rFonts w:hint="eastAsia"/>
        </w:rPr>
        <w:t>上报</w:t>
      </w:r>
      <w:r>
        <w:t>处理。</w:t>
      </w:r>
    </w:p>
    <w:p w14:paraId="3E10E1E3" w14:textId="77777777" w:rsidR="00E579B9" w:rsidRDefault="006A1398">
      <w:r>
        <w:rPr>
          <w:rFonts w:hint="eastAsia"/>
        </w:rPr>
        <w:t>③</w:t>
      </w:r>
      <w:r>
        <w:t>安排专人协助并督促生态补偿措施的落实，对生态补偿工程实施进度进行全过程监控，对实施中存在问题协助实施单位解决，并负责定期向主管部门汇报工程进度和实施情况。</w:t>
      </w:r>
    </w:p>
    <w:p w14:paraId="28B685A7" w14:textId="77777777" w:rsidR="00E579B9" w:rsidRDefault="006A1398">
      <w:r>
        <w:rPr>
          <w:rFonts w:hint="eastAsia"/>
        </w:rPr>
        <w:t>④</w:t>
      </w:r>
      <w:r>
        <w:t>随着生产过程逐步完善的工程护坡、防洪排水及其他生态保护措施的实施，把好水保工程质量关和工程进度，并协助施工单位解决存在的技术问题，如遇重大问题及时向建设单位和当地环保部门汇报。</w:t>
      </w:r>
    </w:p>
    <w:p w14:paraId="7D321661" w14:textId="77777777" w:rsidR="00E579B9" w:rsidRDefault="006A1398">
      <w:r>
        <w:t>（</w:t>
      </w:r>
      <w:r>
        <w:t>3</w:t>
      </w:r>
      <w:r>
        <w:t>）服务期满后</w:t>
      </w:r>
      <w:r>
        <w:rPr>
          <w:rFonts w:hint="eastAsia"/>
        </w:rPr>
        <w:t>环保</w:t>
      </w:r>
      <w:r>
        <w:t>措施监控</w:t>
      </w:r>
      <w:r>
        <w:rPr>
          <w:rFonts w:hint="eastAsia"/>
        </w:rPr>
        <w:t>要点</w:t>
      </w:r>
    </w:p>
    <w:p w14:paraId="059188B8" w14:textId="77777777" w:rsidR="00E579B9" w:rsidRDefault="006A1398">
      <w:r>
        <w:t>对工业场地服务期满后表面覆土复植、造林等工程进行监督，并协助有关部门对工程完成质量进行检查、验收。</w:t>
      </w:r>
    </w:p>
    <w:p w14:paraId="3B36A986" w14:textId="77777777" w:rsidR="00E579B9" w:rsidRDefault="006A1398">
      <w:pPr>
        <w:pStyle w:val="3"/>
        <w:ind w:firstLine="560"/>
      </w:pPr>
      <w:bookmarkStart w:id="482" w:name="_Toc535847602"/>
      <w:r>
        <w:rPr>
          <w:rFonts w:hint="eastAsia"/>
        </w:rPr>
        <w:t>9.4</w:t>
      </w:r>
      <w:r>
        <w:t>.3</w:t>
      </w:r>
      <w:r>
        <w:rPr>
          <w:rFonts w:hint="eastAsia"/>
        </w:rPr>
        <w:t>监测计划</w:t>
      </w:r>
      <w:bookmarkEnd w:id="482"/>
    </w:p>
    <w:p w14:paraId="3B1259BD" w14:textId="77777777" w:rsidR="00E579B9" w:rsidRDefault="006A1398">
      <w:pPr>
        <w:widowControl w:val="0"/>
        <w:spacing w:line="480" w:lineRule="exact"/>
        <w:jc w:val="both"/>
        <w:rPr>
          <w:rFonts w:ascii="宋体" w:hAnsi="宋体" w:cs="宋体"/>
          <w:szCs w:val="24"/>
        </w:rPr>
      </w:pPr>
      <w:r>
        <w:rPr>
          <w:rFonts w:ascii="宋体" w:hAnsi="宋体" w:cs="宋体"/>
          <w:szCs w:val="24"/>
        </w:rPr>
        <w:t>（1）建设期生态保护措施监控</w:t>
      </w:r>
    </w:p>
    <w:p w14:paraId="4A097C41" w14:textId="77777777" w:rsidR="00E579B9" w:rsidRDefault="006A1398">
      <w:pPr>
        <w:widowControl w:val="0"/>
        <w:spacing w:line="480" w:lineRule="exact"/>
        <w:jc w:val="both"/>
        <w:rPr>
          <w:rFonts w:ascii="宋体" w:hAnsi="宋体" w:cs="宋体"/>
          <w:szCs w:val="24"/>
        </w:rPr>
      </w:pPr>
      <w:r>
        <w:rPr>
          <w:rFonts w:ascii="宋体" w:hAnsi="宋体" w:cs="宋体"/>
          <w:szCs w:val="24"/>
        </w:rPr>
        <w:t>对矿区道路等工程建设严格按设计控制土石方开挖方式，对弃土弃石的运输、堆存应每日一查，严格控制乱堆乱倒，对可利用的弃土弃渣做好监控、监督并及时予以利用。对施工场地周边的林木植被保护应每日一查，严格控制占压毁坏周边林木植被。</w:t>
      </w:r>
    </w:p>
    <w:p w14:paraId="68F0A639" w14:textId="77777777" w:rsidR="00E579B9" w:rsidRDefault="006A1398">
      <w:pPr>
        <w:widowControl w:val="0"/>
        <w:spacing w:line="480" w:lineRule="exact"/>
        <w:jc w:val="both"/>
        <w:rPr>
          <w:rFonts w:ascii="宋体" w:hAnsi="宋体" w:cs="宋体"/>
          <w:szCs w:val="24"/>
        </w:rPr>
      </w:pPr>
      <w:r>
        <w:rPr>
          <w:rFonts w:ascii="宋体" w:hAnsi="宋体" w:cs="宋体"/>
          <w:szCs w:val="24"/>
        </w:rPr>
        <w:t>监督建设单位对施工结束后临时占地、临时施工道路、临时弃土场等场地及时实</w:t>
      </w:r>
      <w:r>
        <w:rPr>
          <w:rFonts w:ascii="宋体" w:hAnsi="宋体" w:cs="宋体"/>
          <w:szCs w:val="24"/>
        </w:rPr>
        <w:lastRenderedPageBreak/>
        <w:t>施生态恢复工程，并检查工程质量的进度。</w:t>
      </w:r>
    </w:p>
    <w:p w14:paraId="7325C606" w14:textId="77777777" w:rsidR="00E579B9" w:rsidRDefault="006A1398">
      <w:pPr>
        <w:widowControl w:val="0"/>
        <w:spacing w:line="480" w:lineRule="exact"/>
        <w:jc w:val="both"/>
        <w:rPr>
          <w:rFonts w:ascii="宋体" w:hAnsi="宋体" w:cs="宋体"/>
          <w:szCs w:val="24"/>
        </w:rPr>
      </w:pPr>
      <w:r>
        <w:rPr>
          <w:rFonts w:ascii="宋体" w:hAnsi="宋体" w:cs="宋体"/>
          <w:szCs w:val="24"/>
        </w:rPr>
        <w:t>（2）营运期生态保护及恢复措施监控</w:t>
      </w:r>
    </w:p>
    <w:p w14:paraId="0B2AD4E9" w14:textId="77777777" w:rsidR="00E579B9" w:rsidRDefault="006A1398">
      <w:pPr>
        <w:widowControl w:val="0"/>
        <w:spacing w:line="480" w:lineRule="exact"/>
        <w:jc w:val="both"/>
        <w:rPr>
          <w:rFonts w:ascii="宋体" w:hAnsi="宋体" w:cs="宋体"/>
          <w:szCs w:val="24"/>
        </w:rPr>
      </w:pPr>
      <w:r>
        <w:rPr>
          <w:rFonts w:ascii="宋体" w:hAnsi="宋体" w:cs="宋体"/>
          <w:szCs w:val="24"/>
        </w:rPr>
        <w:t>安排专人协助并督促生态补偿措施的落实，按本报告要求做好生态补偿工程，对生态补偿工程实施进度进行全过程监控，对实施中存在问题协助实施单位解决，并负责定期向主管部门汇报工程进度和实施情况。</w:t>
      </w:r>
    </w:p>
    <w:p w14:paraId="0536A486" w14:textId="77777777" w:rsidR="00E579B9" w:rsidRDefault="006A1398">
      <w:pPr>
        <w:widowControl w:val="0"/>
        <w:spacing w:line="480" w:lineRule="exact"/>
        <w:jc w:val="both"/>
        <w:rPr>
          <w:rFonts w:ascii="宋体" w:hAnsi="宋体" w:cs="宋体"/>
          <w:szCs w:val="24"/>
        </w:rPr>
      </w:pPr>
      <w:r>
        <w:rPr>
          <w:rFonts w:ascii="宋体" w:hAnsi="宋体" w:cs="宋体"/>
          <w:szCs w:val="24"/>
        </w:rPr>
        <w:t>随着生产过程逐步完善的工程护坡、防洪排水及其他生态保护措施的实施，把好水保工程质量关和工程进度，并协助施工单位解决存在的技术问题，如遇重大问题及时向建设单位和当地环保部门汇报。</w:t>
      </w:r>
    </w:p>
    <w:p w14:paraId="1C524CCC" w14:textId="77777777" w:rsidR="00E579B9" w:rsidRDefault="006A1398">
      <w:pPr>
        <w:widowControl w:val="0"/>
        <w:spacing w:line="480" w:lineRule="exact"/>
        <w:jc w:val="both"/>
        <w:rPr>
          <w:rFonts w:ascii="宋体" w:hAnsi="宋体" w:cs="宋体"/>
          <w:szCs w:val="24"/>
        </w:rPr>
      </w:pPr>
      <w:r>
        <w:rPr>
          <w:rFonts w:ascii="宋体" w:hAnsi="宋体" w:cs="宋体"/>
          <w:szCs w:val="24"/>
        </w:rPr>
        <w:t>（3）服务期满后生态恢复措施监控</w:t>
      </w:r>
    </w:p>
    <w:p w14:paraId="1C58F6B8" w14:textId="77777777" w:rsidR="00E579B9" w:rsidRDefault="006A1398">
      <w:pPr>
        <w:widowControl w:val="0"/>
        <w:spacing w:line="480" w:lineRule="exact"/>
        <w:jc w:val="both"/>
        <w:rPr>
          <w:rFonts w:ascii="宋体" w:hAnsi="宋体" w:cs="宋体"/>
          <w:szCs w:val="24"/>
        </w:rPr>
      </w:pPr>
      <w:r>
        <w:rPr>
          <w:rFonts w:ascii="宋体" w:hAnsi="宋体" w:cs="宋体"/>
          <w:szCs w:val="24"/>
        </w:rPr>
        <w:t>服务期满后覆土复植、造林等工程进行监督，并协助有关部门对工程完成质量进行检查、验收。</w:t>
      </w:r>
    </w:p>
    <w:p w14:paraId="1BFDA4B2" w14:textId="77777777" w:rsidR="00E579B9" w:rsidRDefault="006A1398">
      <w:pPr>
        <w:pStyle w:val="3"/>
        <w:ind w:firstLine="560"/>
      </w:pPr>
      <w:r>
        <w:t>9.4.4</w:t>
      </w:r>
      <w:r>
        <w:rPr>
          <w:rFonts w:hint="eastAsia"/>
        </w:rPr>
        <w:t>污染源监控</w:t>
      </w:r>
    </w:p>
    <w:p w14:paraId="6CA40ED0" w14:textId="77777777" w:rsidR="00E579B9" w:rsidRDefault="006A1398">
      <w:pPr>
        <w:rPr>
          <w:rFonts w:ascii="宋体" w:hAnsi="宋体" w:cs="宋体"/>
          <w:sz w:val="21"/>
          <w:szCs w:val="21"/>
        </w:rPr>
      </w:pPr>
      <w:r>
        <w:rPr>
          <w:rFonts w:hint="eastAsia"/>
        </w:rPr>
        <w:t>环境监测按国家和地方的环保要求进行，采用国家规定的标准监测方法，根据本项目生产特征和污染物排放特征，制定以下监测方案，监测工作可委托当地环保监测站或有资质的相关单位承担。</w:t>
      </w:r>
      <w:r>
        <w:t>定期检查废气、噪声、废水污染防治设施的运行情况，发现问题，马上安排检修，做好记录。对重大污染事故，要及时向主管环保部门汇报，并提出控制污染的建议。</w:t>
      </w:r>
      <w:r>
        <w:rPr>
          <w:rFonts w:hint="eastAsia"/>
        </w:rPr>
        <w:t>结合《排污单位自行监测技术指南总则》</w:t>
      </w:r>
      <w:r>
        <w:rPr>
          <w:rFonts w:hint="eastAsia"/>
        </w:rPr>
        <w:t>(HJ819-2017)</w:t>
      </w:r>
      <w:r>
        <w:rPr>
          <w:rFonts w:hint="eastAsia"/>
        </w:rPr>
        <w:t>，各污染源监测计划见下表</w:t>
      </w:r>
      <w:r>
        <w:rPr>
          <w:rFonts w:cs="Times New Roman"/>
        </w:rPr>
        <w:t>表</w:t>
      </w:r>
      <w:r>
        <w:rPr>
          <w:rFonts w:cs="Times New Roman" w:hint="eastAsia"/>
        </w:rPr>
        <w:t>9.4</w:t>
      </w:r>
      <w:r>
        <w:rPr>
          <w:rFonts w:cs="Times New Roman"/>
        </w:rPr>
        <w:t>-</w:t>
      </w:r>
      <w:r>
        <w:rPr>
          <w:rFonts w:cs="Times New Roman" w:hint="eastAsia"/>
        </w:rPr>
        <w:t>1</w:t>
      </w:r>
      <w:r>
        <w:rPr>
          <w:rFonts w:cs="Times New Roman"/>
        </w:rPr>
        <w:t>。</w:t>
      </w:r>
    </w:p>
    <w:p w14:paraId="6CD92CB5" w14:textId="16B34F34" w:rsidR="00E579B9" w:rsidRDefault="006A1398">
      <w:pPr>
        <w:pStyle w:val="21"/>
        <w:ind w:firstLineChars="900" w:firstLine="2160"/>
      </w:pPr>
      <w:r>
        <w:t>表</w:t>
      </w:r>
      <w:r>
        <w:rPr>
          <w:rFonts w:hint="eastAsia"/>
        </w:rPr>
        <w:t>9.4-1</w:t>
      </w:r>
      <w:r>
        <w:t>监测工作内容一览表</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945"/>
        <w:gridCol w:w="1985"/>
        <w:gridCol w:w="1254"/>
        <w:gridCol w:w="1789"/>
        <w:gridCol w:w="2678"/>
      </w:tblGrid>
      <w:tr w:rsidR="00E579B9" w14:paraId="7369024E" w14:textId="77777777">
        <w:trPr>
          <w:jc w:val="center"/>
        </w:trPr>
        <w:tc>
          <w:tcPr>
            <w:tcW w:w="627" w:type="dxa"/>
            <w:vAlign w:val="center"/>
          </w:tcPr>
          <w:p w14:paraId="6295125D" w14:textId="77777777" w:rsidR="00E579B9" w:rsidRDefault="006A1398">
            <w:pPr>
              <w:pStyle w:val="aa"/>
            </w:pPr>
            <w:r>
              <w:rPr>
                <w:rFonts w:hint="eastAsia"/>
              </w:rPr>
              <w:t>时段</w:t>
            </w:r>
          </w:p>
        </w:tc>
        <w:tc>
          <w:tcPr>
            <w:tcW w:w="945" w:type="dxa"/>
            <w:vAlign w:val="center"/>
          </w:tcPr>
          <w:p w14:paraId="0BEE684F" w14:textId="77777777" w:rsidR="00E579B9" w:rsidRDefault="006A1398">
            <w:pPr>
              <w:pStyle w:val="aa"/>
            </w:pPr>
            <w:r>
              <w:rPr>
                <w:rFonts w:hint="eastAsia"/>
              </w:rPr>
              <w:t>类别</w:t>
            </w:r>
          </w:p>
        </w:tc>
        <w:tc>
          <w:tcPr>
            <w:tcW w:w="1985" w:type="dxa"/>
            <w:vAlign w:val="center"/>
          </w:tcPr>
          <w:p w14:paraId="54244F1A" w14:textId="77777777" w:rsidR="00E579B9" w:rsidRDefault="006A1398">
            <w:pPr>
              <w:pStyle w:val="aa"/>
            </w:pPr>
            <w:r>
              <w:rPr>
                <w:rFonts w:hint="eastAsia"/>
              </w:rPr>
              <w:t>监测点</w:t>
            </w:r>
          </w:p>
        </w:tc>
        <w:tc>
          <w:tcPr>
            <w:tcW w:w="1254" w:type="dxa"/>
            <w:vAlign w:val="center"/>
          </w:tcPr>
          <w:p w14:paraId="0FFB7F53" w14:textId="77777777" w:rsidR="00E579B9" w:rsidRDefault="006A1398">
            <w:pPr>
              <w:pStyle w:val="aa"/>
            </w:pPr>
            <w:r>
              <w:rPr>
                <w:rFonts w:hint="eastAsia"/>
              </w:rPr>
              <w:t>监测项目</w:t>
            </w:r>
          </w:p>
        </w:tc>
        <w:tc>
          <w:tcPr>
            <w:tcW w:w="1789" w:type="dxa"/>
            <w:vAlign w:val="center"/>
          </w:tcPr>
          <w:p w14:paraId="3E5055B0" w14:textId="77777777" w:rsidR="00E579B9" w:rsidRDefault="006A1398">
            <w:pPr>
              <w:pStyle w:val="aa"/>
            </w:pPr>
            <w:r>
              <w:rPr>
                <w:rFonts w:hint="eastAsia"/>
              </w:rPr>
              <w:t>监测频率</w:t>
            </w:r>
          </w:p>
        </w:tc>
        <w:tc>
          <w:tcPr>
            <w:tcW w:w="2678" w:type="dxa"/>
            <w:vAlign w:val="center"/>
          </w:tcPr>
          <w:p w14:paraId="2AF4262B" w14:textId="77777777" w:rsidR="00E579B9" w:rsidRDefault="006A1398">
            <w:pPr>
              <w:pStyle w:val="aa"/>
            </w:pPr>
            <w:r>
              <w:rPr>
                <w:rFonts w:hint="eastAsia"/>
              </w:rPr>
              <w:t>控制目标</w:t>
            </w:r>
          </w:p>
        </w:tc>
      </w:tr>
      <w:tr w:rsidR="00E579B9" w14:paraId="0FE537C2" w14:textId="77777777">
        <w:trPr>
          <w:jc w:val="center"/>
        </w:trPr>
        <w:tc>
          <w:tcPr>
            <w:tcW w:w="627" w:type="dxa"/>
            <w:vMerge w:val="restart"/>
            <w:vAlign w:val="center"/>
          </w:tcPr>
          <w:p w14:paraId="1E8A5D81" w14:textId="77777777" w:rsidR="00E579B9" w:rsidRDefault="006A1398">
            <w:pPr>
              <w:pStyle w:val="aa"/>
            </w:pPr>
            <w:r>
              <w:rPr>
                <w:rFonts w:hint="eastAsia"/>
              </w:rPr>
              <w:t>施工期</w:t>
            </w:r>
          </w:p>
        </w:tc>
        <w:tc>
          <w:tcPr>
            <w:tcW w:w="945" w:type="dxa"/>
            <w:vAlign w:val="center"/>
          </w:tcPr>
          <w:p w14:paraId="3D31D862" w14:textId="77777777" w:rsidR="00E579B9" w:rsidRDefault="006A1398">
            <w:pPr>
              <w:pStyle w:val="aa"/>
            </w:pPr>
            <w:r>
              <w:rPr>
                <w:rFonts w:hint="eastAsia"/>
              </w:rPr>
              <w:t>地表水</w:t>
            </w:r>
          </w:p>
        </w:tc>
        <w:tc>
          <w:tcPr>
            <w:tcW w:w="1985" w:type="dxa"/>
            <w:vAlign w:val="center"/>
          </w:tcPr>
          <w:p w14:paraId="3C46FC1F" w14:textId="77777777" w:rsidR="00E579B9" w:rsidRDefault="006A1398">
            <w:pPr>
              <w:pStyle w:val="aa"/>
              <w:rPr>
                <w:spacing w:val="2"/>
              </w:rPr>
            </w:pPr>
            <w:r>
              <w:rPr>
                <w:rFonts w:hint="eastAsia"/>
                <w:spacing w:val="2"/>
              </w:rPr>
              <w:t>引用常规监测结果</w:t>
            </w:r>
          </w:p>
        </w:tc>
        <w:tc>
          <w:tcPr>
            <w:tcW w:w="1254" w:type="dxa"/>
            <w:vAlign w:val="center"/>
          </w:tcPr>
          <w:p w14:paraId="0A4306E9" w14:textId="77777777" w:rsidR="00E579B9" w:rsidRDefault="006A1398">
            <w:pPr>
              <w:pStyle w:val="aa"/>
            </w:pPr>
            <w:r>
              <w:rPr>
                <w:rFonts w:hint="eastAsia"/>
              </w:rPr>
              <w:t>/</w:t>
            </w:r>
          </w:p>
        </w:tc>
        <w:tc>
          <w:tcPr>
            <w:tcW w:w="1789" w:type="dxa"/>
            <w:vAlign w:val="center"/>
          </w:tcPr>
          <w:p w14:paraId="486CBD5C" w14:textId="77777777" w:rsidR="00E579B9" w:rsidRDefault="006A1398">
            <w:pPr>
              <w:pStyle w:val="aa"/>
            </w:pPr>
            <w:r>
              <w:rPr>
                <w:rFonts w:hint="eastAsia"/>
              </w:rPr>
              <w:t>/</w:t>
            </w:r>
          </w:p>
        </w:tc>
        <w:tc>
          <w:tcPr>
            <w:tcW w:w="2678" w:type="dxa"/>
            <w:vAlign w:val="center"/>
          </w:tcPr>
          <w:p w14:paraId="0EA94C6A" w14:textId="77777777" w:rsidR="00E579B9" w:rsidRDefault="006A1398">
            <w:pPr>
              <w:pStyle w:val="aa"/>
            </w:pPr>
            <w:r>
              <w:rPr>
                <w:color w:val="000000"/>
                <w:spacing w:val="2"/>
              </w:rPr>
              <w:t>《地表水环境质量标准》（</w:t>
            </w:r>
            <w:r>
              <w:rPr>
                <w:color w:val="000000"/>
                <w:spacing w:val="2"/>
              </w:rPr>
              <w:t>GB3838-2002</w:t>
            </w:r>
            <w:r>
              <w:rPr>
                <w:color w:val="000000"/>
                <w:spacing w:val="2"/>
              </w:rPr>
              <w:t>）中的</w:t>
            </w:r>
            <w:r>
              <w:rPr>
                <w:rFonts w:hint="eastAsia"/>
                <w:color w:val="000000"/>
                <w:spacing w:val="2"/>
              </w:rPr>
              <w:t>Ⅲ</w:t>
            </w:r>
            <w:r>
              <w:rPr>
                <w:color w:val="000000"/>
                <w:spacing w:val="2"/>
              </w:rPr>
              <w:t>类</w:t>
            </w:r>
          </w:p>
        </w:tc>
      </w:tr>
      <w:tr w:rsidR="00E579B9" w14:paraId="4FE10E28" w14:textId="77777777">
        <w:trPr>
          <w:jc w:val="center"/>
        </w:trPr>
        <w:tc>
          <w:tcPr>
            <w:tcW w:w="627" w:type="dxa"/>
            <w:vMerge/>
            <w:vAlign w:val="center"/>
          </w:tcPr>
          <w:p w14:paraId="6798B842" w14:textId="77777777" w:rsidR="00E579B9" w:rsidRDefault="00E579B9">
            <w:pPr>
              <w:pStyle w:val="aa"/>
            </w:pPr>
          </w:p>
        </w:tc>
        <w:tc>
          <w:tcPr>
            <w:tcW w:w="945" w:type="dxa"/>
            <w:vAlign w:val="center"/>
          </w:tcPr>
          <w:p w14:paraId="68E1B150" w14:textId="77777777" w:rsidR="00E579B9" w:rsidRDefault="006A1398">
            <w:pPr>
              <w:pStyle w:val="aa"/>
            </w:pPr>
            <w:r>
              <w:rPr>
                <w:rFonts w:hint="eastAsia"/>
              </w:rPr>
              <w:t>大气环境</w:t>
            </w:r>
          </w:p>
        </w:tc>
        <w:tc>
          <w:tcPr>
            <w:tcW w:w="1985" w:type="dxa"/>
            <w:vAlign w:val="center"/>
          </w:tcPr>
          <w:p w14:paraId="355C3523" w14:textId="77777777" w:rsidR="00E579B9" w:rsidRDefault="006A1398">
            <w:pPr>
              <w:pStyle w:val="aa"/>
            </w:pPr>
            <w:r>
              <w:rPr>
                <w:rFonts w:hint="eastAsia"/>
              </w:rPr>
              <w:t>西下庄</w:t>
            </w:r>
            <w:r>
              <w:t>、</w:t>
            </w:r>
            <w:r>
              <w:rPr>
                <w:rFonts w:hint="eastAsia"/>
              </w:rPr>
              <w:t>平下</w:t>
            </w:r>
            <w:r>
              <w:t>、</w:t>
            </w:r>
            <w:r>
              <w:rPr>
                <w:rFonts w:hint="eastAsia"/>
              </w:rPr>
              <w:t>傅埂</w:t>
            </w:r>
          </w:p>
        </w:tc>
        <w:tc>
          <w:tcPr>
            <w:tcW w:w="1254" w:type="dxa"/>
            <w:vAlign w:val="center"/>
          </w:tcPr>
          <w:p w14:paraId="2D6F48D9" w14:textId="77777777" w:rsidR="00E579B9" w:rsidRDefault="006A1398">
            <w:pPr>
              <w:pStyle w:val="aa"/>
            </w:pPr>
            <w:r>
              <w:rPr>
                <w:rFonts w:hint="eastAsia"/>
              </w:rPr>
              <w:t>TSP</w:t>
            </w:r>
            <w:r>
              <w:rPr>
                <w:rFonts w:hint="eastAsia"/>
              </w:rPr>
              <w:t>、</w:t>
            </w:r>
            <w:r>
              <w:rPr>
                <w:rFonts w:hint="eastAsia"/>
              </w:rPr>
              <w:t>PM</w:t>
            </w:r>
            <w:r>
              <w:rPr>
                <w:rFonts w:hint="eastAsia"/>
                <w:vertAlign w:val="subscript"/>
              </w:rPr>
              <w:t>10</w:t>
            </w:r>
          </w:p>
        </w:tc>
        <w:tc>
          <w:tcPr>
            <w:tcW w:w="1789" w:type="dxa"/>
            <w:vAlign w:val="center"/>
          </w:tcPr>
          <w:p w14:paraId="214A6B1A" w14:textId="77777777" w:rsidR="00E579B9" w:rsidRDefault="006A1398">
            <w:pPr>
              <w:pStyle w:val="aa"/>
            </w:pPr>
            <w:r>
              <w:rPr>
                <w:rFonts w:hint="eastAsia"/>
              </w:rPr>
              <w:t>每半年一次，每次</w:t>
            </w:r>
            <w:r>
              <w:rPr>
                <w:rFonts w:hint="eastAsia"/>
              </w:rPr>
              <w:t>3</w:t>
            </w:r>
            <w:r>
              <w:rPr>
                <w:rFonts w:hint="eastAsia"/>
              </w:rPr>
              <w:t>天</w:t>
            </w:r>
          </w:p>
        </w:tc>
        <w:tc>
          <w:tcPr>
            <w:tcW w:w="2678" w:type="dxa"/>
            <w:vAlign w:val="center"/>
          </w:tcPr>
          <w:p w14:paraId="3EFB75C0" w14:textId="77777777" w:rsidR="00E579B9" w:rsidRDefault="006A1398">
            <w:pPr>
              <w:pStyle w:val="aa"/>
            </w:pPr>
            <w:r>
              <w:rPr>
                <w:rFonts w:hint="eastAsia"/>
              </w:rPr>
              <w:t>《环境空气质量标准》（</w:t>
            </w:r>
            <w:r>
              <w:rPr>
                <w:rFonts w:hint="eastAsia"/>
              </w:rPr>
              <w:t>GB3095-2012</w:t>
            </w:r>
            <w:r>
              <w:rPr>
                <w:rFonts w:hint="eastAsia"/>
              </w:rPr>
              <w:t>）二级标准</w:t>
            </w:r>
          </w:p>
        </w:tc>
      </w:tr>
      <w:tr w:rsidR="00E579B9" w14:paraId="39E647B6" w14:textId="77777777">
        <w:trPr>
          <w:jc w:val="center"/>
        </w:trPr>
        <w:tc>
          <w:tcPr>
            <w:tcW w:w="627" w:type="dxa"/>
            <w:vMerge/>
            <w:vAlign w:val="center"/>
          </w:tcPr>
          <w:p w14:paraId="07E8F258" w14:textId="77777777" w:rsidR="00E579B9" w:rsidRDefault="00E579B9">
            <w:pPr>
              <w:pStyle w:val="aa"/>
            </w:pPr>
          </w:p>
        </w:tc>
        <w:tc>
          <w:tcPr>
            <w:tcW w:w="945" w:type="dxa"/>
            <w:vAlign w:val="center"/>
          </w:tcPr>
          <w:p w14:paraId="0EA5DD55" w14:textId="77777777" w:rsidR="00E579B9" w:rsidRDefault="006A1398">
            <w:pPr>
              <w:pStyle w:val="aa"/>
            </w:pPr>
            <w:r>
              <w:rPr>
                <w:rFonts w:hint="eastAsia"/>
              </w:rPr>
              <w:t>废气</w:t>
            </w:r>
          </w:p>
        </w:tc>
        <w:tc>
          <w:tcPr>
            <w:tcW w:w="1985" w:type="dxa"/>
            <w:vAlign w:val="center"/>
          </w:tcPr>
          <w:p w14:paraId="0C28C4AC" w14:textId="77777777" w:rsidR="00E579B9" w:rsidRDefault="006A1398">
            <w:pPr>
              <w:pStyle w:val="aa"/>
            </w:pPr>
            <w:r>
              <w:rPr>
                <w:rFonts w:hint="eastAsia"/>
              </w:rPr>
              <w:t>露采场、表土临时堆场周界外浓度最高点</w:t>
            </w:r>
          </w:p>
        </w:tc>
        <w:tc>
          <w:tcPr>
            <w:tcW w:w="1254" w:type="dxa"/>
            <w:vAlign w:val="center"/>
          </w:tcPr>
          <w:p w14:paraId="130DB635" w14:textId="77777777" w:rsidR="00E579B9" w:rsidRDefault="006A1398">
            <w:pPr>
              <w:pStyle w:val="aa"/>
            </w:pPr>
            <w:r>
              <w:rPr>
                <w:rFonts w:hint="eastAsia"/>
              </w:rPr>
              <w:t>颗粒物</w:t>
            </w:r>
          </w:p>
        </w:tc>
        <w:tc>
          <w:tcPr>
            <w:tcW w:w="1789" w:type="dxa"/>
            <w:vAlign w:val="center"/>
          </w:tcPr>
          <w:p w14:paraId="1013B9D1" w14:textId="77777777" w:rsidR="00E579B9" w:rsidRDefault="006A1398">
            <w:pPr>
              <w:pStyle w:val="aa"/>
            </w:pPr>
            <w:r>
              <w:rPr>
                <w:rFonts w:hint="eastAsia"/>
              </w:rPr>
              <w:t>每半年一次，每次</w:t>
            </w:r>
            <w:r>
              <w:rPr>
                <w:rFonts w:hint="eastAsia"/>
              </w:rPr>
              <w:t>3</w:t>
            </w:r>
            <w:r>
              <w:rPr>
                <w:rFonts w:hint="eastAsia"/>
              </w:rPr>
              <w:t>天</w:t>
            </w:r>
          </w:p>
        </w:tc>
        <w:tc>
          <w:tcPr>
            <w:tcW w:w="2678" w:type="dxa"/>
            <w:vAlign w:val="center"/>
          </w:tcPr>
          <w:p w14:paraId="5FCC40FE" w14:textId="77777777" w:rsidR="00E579B9" w:rsidRDefault="006A1398">
            <w:pPr>
              <w:pStyle w:val="aa"/>
            </w:pPr>
            <w:r>
              <w:rPr>
                <w:spacing w:val="2"/>
              </w:rPr>
              <w:t>《大气污染物综合排放标准》（</w:t>
            </w:r>
            <w:r>
              <w:rPr>
                <w:spacing w:val="2"/>
              </w:rPr>
              <w:t>GB16297-1996</w:t>
            </w:r>
            <w:r>
              <w:rPr>
                <w:spacing w:val="2"/>
              </w:rPr>
              <w:t>）表</w:t>
            </w:r>
            <w:r>
              <w:rPr>
                <w:spacing w:val="2"/>
              </w:rPr>
              <w:t>2</w:t>
            </w:r>
            <w:r>
              <w:rPr>
                <w:spacing w:val="2"/>
              </w:rPr>
              <w:t>二级标准</w:t>
            </w:r>
            <w:r>
              <w:rPr>
                <w:rFonts w:hint="eastAsia"/>
                <w:spacing w:val="2"/>
              </w:rPr>
              <w:t>（</w:t>
            </w:r>
            <w:r>
              <w:rPr>
                <w:spacing w:val="2"/>
              </w:rPr>
              <w:t>组织排放边界浓度：</w:t>
            </w:r>
            <w:r>
              <w:rPr>
                <w:spacing w:val="2"/>
              </w:rPr>
              <w:t>1mg/Nm</w:t>
            </w:r>
            <w:r>
              <w:rPr>
                <w:spacing w:val="2"/>
                <w:vertAlign w:val="superscript"/>
              </w:rPr>
              <w:t>3</w:t>
            </w:r>
            <w:r>
              <w:rPr>
                <w:rFonts w:hint="eastAsia"/>
                <w:spacing w:val="2"/>
              </w:rPr>
              <w:t>）</w:t>
            </w:r>
          </w:p>
        </w:tc>
      </w:tr>
      <w:tr w:rsidR="00E579B9" w14:paraId="020D3932" w14:textId="77777777">
        <w:trPr>
          <w:jc w:val="center"/>
        </w:trPr>
        <w:tc>
          <w:tcPr>
            <w:tcW w:w="627" w:type="dxa"/>
            <w:vMerge/>
            <w:vAlign w:val="center"/>
          </w:tcPr>
          <w:p w14:paraId="5259D91F" w14:textId="77777777" w:rsidR="00E579B9" w:rsidRDefault="00E579B9">
            <w:pPr>
              <w:pStyle w:val="aa"/>
            </w:pPr>
          </w:p>
        </w:tc>
        <w:tc>
          <w:tcPr>
            <w:tcW w:w="945" w:type="dxa"/>
            <w:vAlign w:val="center"/>
          </w:tcPr>
          <w:p w14:paraId="5BEB6974" w14:textId="77777777" w:rsidR="00E579B9" w:rsidRDefault="006A1398">
            <w:pPr>
              <w:pStyle w:val="aa"/>
            </w:pPr>
            <w:r>
              <w:rPr>
                <w:rFonts w:hint="eastAsia"/>
              </w:rPr>
              <w:t>噪声</w:t>
            </w:r>
          </w:p>
        </w:tc>
        <w:tc>
          <w:tcPr>
            <w:tcW w:w="1985" w:type="dxa"/>
            <w:vAlign w:val="center"/>
          </w:tcPr>
          <w:p w14:paraId="71397642" w14:textId="77777777" w:rsidR="00E579B9" w:rsidRDefault="006A1398">
            <w:pPr>
              <w:pStyle w:val="aa"/>
            </w:pPr>
            <w:r>
              <w:rPr>
                <w:rFonts w:hint="eastAsia"/>
              </w:rPr>
              <w:t>矿区四边界</w:t>
            </w:r>
          </w:p>
        </w:tc>
        <w:tc>
          <w:tcPr>
            <w:tcW w:w="1254" w:type="dxa"/>
            <w:vAlign w:val="center"/>
          </w:tcPr>
          <w:p w14:paraId="447AAA21" w14:textId="77777777" w:rsidR="00E579B9" w:rsidRDefault="006A1398">
            <w:pPr>
              <w:pStyle w:val="aa"/>
            </w:pPr>
            <w:r>
              <w:rPr>
                <w:rFonts w:hint="eastAsia"/>
              </w:rPr>
              <w:t>等效声级</w:t>
            </w:r>
          </w:p>
        </w:tc>
        <w:tc>
          <w:tcPr>
            <w:tcW w:w="1789" w:type="dxa"/>
            <w:vAlign w:val="center"/>
          </w:tcPr>
          <w:p w14:paraId="30DD7A0C" w14:textId="77777777" w:rsidR="00E579B9" w:rsidRDefault="006A1398">
            <w:pPr>
              <w:pStyle w:val="aa"/>
            </w:pPr>
            <w:r>
              <w:rPr>
                <w:rFonts w:hint="eastAsia"/>
              </w:rPr>
              <w:t>每半年一次，每次</w:t>
            </w:r>
            <w:r>
              <w:rPr>
                <w:rFonts w:hint="eastAsia"/>
              </w:rPr>
              <w:t>2</w:t>
            </w:r>
            <w:r>
              <w:rPr>
                <w:rFonts w:hint="eastAsia"/>
              </w:rPr>
              <w:t>天，每天昼间一次</w:t>
            </w:r>
          </w:p>
        </w:tc>
        <w:tc>
          <w:tcPr>
            <w:tcW w:w="2678" w:type="dxa"/>
            <w:vAlign w:val="center"/>
          </w:tcPr>
          <w:p w14:paraId="3B9FF1D5" w14:textId="77777777" w:rsidR="00E579B9" w:rsidRDefault="006A1398">
            <w:pPr>
              <w:pStyle w:val="aa"/>
            </w:pPr>
            <w:r>
              <w:rPr>
                <w:spacing w:val="2"/>
              </w:rPr>
              <w:t>《建筑施工场界噪声排放标准》（</w:t>
            </w:r>
            <w:r>
              <w:rPr>
                <w:spacing w:val="2"/>
              </w:rPr>
              <w:t>GB12523-2011</w:t>
            </w:r>
            <w:r>
              <w:rPr>
                <w:spacing w:val="2"/>
              </w:rPr>
              <w:t>）</w:t>
            </w:r>
            <w:r>
              <w:rPr>
                <w:rFonts w:hint="eastAsia"/>
              </w:rPr>
              <w:t>昼间</w:t>
            </w:r>
            <w:r>
              <w:rPr>
                <w:rFonts w:hint="eastAsia"/>
              </w:rPr>
              <w:t>75dB(A)</w:t>
            </w:r>
            <w:r>
              <w:rPr>
                <w:rFonts w:hint="eastAsia"/>
              </w:rPr>
              <w:t>，夜间不施工</w:t>
            </w:r>
          </w:p>
        </w:tc>
      </w:tr>
      <w:tr w:rsidR="00E579B9" w14:paraId="29E27178" w14:textId="77777777">
        <w:trPr>
          <w:cantSplit/>
          <w:jc w:val="center"/>
        </w:trPr>
        <w:tc>
          <w:tcPr>
            <w:tcW w:w="627" w:type="dxa"/>
            <w:vMerge/>
            <w:vAlign w:val="center"/>
          </w:tcPr>
          <w:p w14:paraId="5057EB36" w14:textId="77777777" w:rsidR="00E579B9" w:rsidRDefault="00E579B9">
            <w:pPr>
              <w:pStyle w:val="aa"/>
            </w:pPr>
          </w:p>
        </w:tc>
        <w:tc>
          <w:tcPr>
            <w:tcW w:w="945" w:type="dxa"/>
            <w:vAlign w:val="center"/>
          </w:tcPr>
          <w:p w14:paraId="57E74B5D" w14:textId="77777777" w:rsidR="00E579B9" w:rsidRDefault="006A1398">
            <w:pPr>
              <w:pStyle w:val="aa"/>
            </w:pPr>
            <w:r>
              <w:rPr>
                <w:rFonts w:hint="eastAsia"/>
              </w:rPr>
              <w:t>生态</w:t>
            </w:r>
          </w:p>
        </w:tc>
        <w:tc>
          <w:tcPr>
            <w:tcW w:w="7706" w:type="dxa"/>
            <w:gridSpan w:val="4"/>
            <w:vAlign w:val="center"/>
          </w:tcPr>
          <w:p w14:paraId="5F4309F9" w14:textId="77777777" w:rsidR="00E579B9" w:rsidRDefault="006A1398">
            <w:pPr>
              <w:pStyle w:val="aa"/>
            </w:pPr>
            <w:r>
              <w:rPr>
                <w:rFonts w:hint="eastAsia"/>
              </w:rPr>
              <w:t>加强施工期管理，不随意侵占土地、破坏植被，表土堆放合理、有序，将生态破坏和影响降至最低</w:t>
            </w:r>
          </w:p>
        </w:tc>
      </w:tr>
      <w:tr w:rsidR="00E579B9" w14:paraId="09E40827" w14:textId="77777777">
        <w:trPr>
          <w:trHeight w:val="734"/>
          <w:jc w:val="center"/>
        </w:trPr>
        <w:tc>
          <w:tcPr>
            <w:tcW w:w="627" w:type="dxa"/>
            <w:vMerge w:val="restart"/>
            <w:vAlign w:val="center"/>
          </w:tcPr>
          <w:p w14:paraId="6F27E487" w14:textId="77777777" w:rsidR="00E579B9" w:rsidRDefault="006A1398">
            <w:pPr>
              <w:pStyle w:val="aa"/>
            </w:pPr>
            <w:r>
              <w:rPr>
                <w:rFonts w:hint="eastAsia"/>
              </w:rPr>
              <w:t>运营期</w:t>
            </w:r>
          </w:p>
        </w:tc>
        <w:tc>
          <w:tcPr>
            <w:tcW w:w="945" w:type="dxa"/>
            <w:vAlign w:val="center"/>
          </w:tcPr>
          <w:p w14:paraId="68770A5F" w14:textId="77777777" w:rsidR="00E579B9" w:rsidRDefault="006A1398">
            <w:pPr>
              <w:pStyle w:val="aa"/>
            </w:pPr>
            <w:r>
              <w:rPr>
                <w:rFonts w:hint="eastAsia"/>
              </w:rPr>
              <w:t>地表水</w:t>
            </w:r>
          </w:p>
        </w:tc>
        <w:tc>
          <w:tcPr>
            <w:tcW w:w="1985" w:type="dxa"/>
            <w:vAlign w:val="center"/>
          </w:tcPr>
          <w:p w14:paraId="39D5DE1E" w14:textId="77777777" w:rsidR="00E579B9" w:rsidRDefault="006A1398">
            <w:pPr>
              <w:pStyle w:val="aa"/>
              <w:rPr>
                <w:spacing w:val="2"/>
              </w:rPr>
            </w:pPr>
            <w:r>
              <w:rPr>
                <w:rFonts w:hint="eastAsia"/>
                <w:spacing w:val="2"/>
              </w:rPr>
              <w:t>引用常规监测结果</w:t>
            </w:r>
          </w:p>
        </w:tc>
        <w:tc>
          <w:tcPr>
            <w:tcW w:w="1254" w:type="dxa"/>
            <w:vAlign w:val="center"/>
          </w:tcPr>
          <w:p w14:paraId="5CB6E52F" w14:textId="77777777" w:rsidR="00E579B9" w:rsidRDefault="006A1398">
            <w:pPr>
              <w:pStyle w:val="aa"/>
            </w:pPr>
            <w:r>
              <w:rPr>
                <w:rFonts w:hint="eastAsia"/>
              </w:rPr>
              <w:t>/</w:t>
            </w:r>
          </w:p>
        </w:tc>
        <w:tc>
          <w:tcPr>
            <w:tcW w:w="1789" w:type="dxa"/>
            <w:vAlign w:val="center"/>
          </w:tcPr>
          <w:p w14:paraId="6F83366E" w14:textId="77777777" w:rsidR="00E579B9" w:rsidRDefault="006A1398">
            <w:pPr>
              <w:pStyle w:val="aa"/>
            </w:pPr>
            <w:r>
              <w:rPr>
                <w:rFonts w:hint="eastAsia"/>
              </w:rPr>
              <w:t>/</w:t>
            </w:r>
          </w:p>
        </w:tc>
        <w:tc>
          <w:tcPr>
            <w:tcW w:w="2678" w:type="dxa"/>
            <w:vAlign w:val="center"/>
          </w:tcPr>
          <w:p w14:paraId="17CC0B8E" w14:textId="77777777" w:rsidR="00E579B9" w:rsidRDefault="006A1398">
            <w:pPr>
              <w:pStyle w:val="aa"/>
            </w:pPr>
            <w:r>
              <w:rPr>
                <w:color w:val="000000"/>
                <w:spacing w:val="2"/>
              </w:rPr>
              <w:t>《地表水环境质量标准》（</w:t>
            </w:r>
            <w:r>
              <w:rPr>
                <w:color w:val="000000"/>
                <w:spacing w:val="2"/>
              </w:rPr>
              <w:t>GB3838-2002</w:t>
            </w:r>
            <w:r>
              <w:rPr>
                <w:color w:val="000000"/>
                <w:spacing w:val="2"/>
              </w:rPr>
              <w:t>）中的</w:t>
            </w:r>
            <w:r>
              <w:rPr>
                <w:rFonts w:hint="eastAsia"/>
                <w:color w:val="000000"/>
                <w:spacing w:val="2"/>
              </w:rPr>
              <w:t>Ⅲ</w:t>
            </w:r>
            <w:r>
              <w:rPr>
                <w:color w:val="000000"/>
                <w:spacing w:val="2"/>
              </w:rPr>
              <w:t>类标准</w:t>
            </w:r>
          </w:p>
        </w:tc>
      </w:tr>
      <w:tr w:rsidR="00E579B9" w14:paraId="3B519E43" w14:textId="77777777">
        <w:trPr>
          <w:jc w:val="center"/>
        </w:trPr>
        <w:tc>
          <w:tcPr>
            <w:tcW w:w="627" w:type="dxa"/>
            <w:vMerge/>
            <w:vAlign w:val="center"/>
          </w:tcPr>
          <w:p w14:paraId="0C19712D" w14:textId="77777777" w:rsidR="00E579B9" w:rsidRDefault="00E579B9">
            <w:pPr>
              <w:pStyle w:val="aa"/>
            </w:pPr>
          </w:p>
        </w:tc>
        <w:tc>
          <w:tcPr>
            <w:tcW w:w="945" w:type="dxa"/>
            <w:vAlign w:val="center"/>
          </w:tcPr>
          <w:p w14:paraId="471776E2" w14:textId="77777777" w:rsidR="00E579B9" w:rsidRDefault="006A1398">
            <w:pPr>
              <w:pStyle w:val="aa"/>
            </w:pPr>
            <w:r>
              <w:rPr>
                <w:rFonts w:hint="eastAsia"/>
              </w:rPr>
              <w:t>大气环境</w:t>
            </w:r>
          </w:p>
        </w:tc>
        <w:tc>
          <w:tcPr>
            <w:tcW w:w="1985" w:type="dxa"/>
            <w:vAlign w:val="center"/>
          </w:tcPr>
          <w:p w14:paraId="6A388408" w14:textId="77777777" w:rsidR="00E579B9" w:rsidRDefault="006A1398">
            <w:pPr>
              <w:pStyle w:val="aa"/>
            </w:pPr>
            <w:r>
              <w:rPr>
                <w:rFonts w:hint="eastAsia"/>
              </w:rPr>
              <w:t>西下庄</w:t>
            </w:r>
            <w:r>
              <w:t>、</w:t>
            </w:r>
            <w:r>
              <w:rPr>
                <w:rFonts w:hint="eastAsia"/>
              </w:rPr>
              <w:t>平下</w:t>
            </w:r>
            <w:r>
              <w:t>、</w:t>
            </w:r>
            <w:r>
              <w:rPr>
                <w:rFonts w:hint="eastAsia"/>
              </w:rPr>
              <w:t>傅埂</w:t>
            </w:r>
          </w:p>
        </w:tc>
        <w:tc>
          <w:tcPr>
            <w:tcW w:w="1254" w:type="dxa"/>
            <w:vAlign w:val="center"/>
          </w:tcPr>
          <w:p w14:paraId="152E0F22" w14:textId="77777777" w:rsidR="00E579B9" w:rsidRDefault="006A1398">
            <w:pPr>
              <w:pStyle w:val="aa"/>
            </w:pPr>
            <w:r>
              <w:rPr>
                <w:rFonts w:hint="eastAsia"/>
              </w:rPr>
              <w:t>TSP</w:t>
            </w:r>
            <w:r>
              <w:rPr>
                <w:rFonts w:hint="eastAsia"/>
              </w:rPr>
              <w:t>、</w:t>
            </w:r>
            <w:r>
              <w:rPr>
                <w:rFonts w:hint="eastAsia"/>
              </w:rPr>
              <w:t>PM</w:t>
            </w:r>
            <w:r>
              <w:rPr>
                <w:rFonts w:hint="eastAsia"/>
                <w:vertAlign w:val="subscript"/>
              </w:rPr>
              <w:t>10</w:t>
            </w:r>
          </w:p>
        </w:tc>
        <w:tc>
          <w:tcPr>
            <w:tcW w:w="1789" w:type="dxa"/>
            <w:vAlign w:val="center"/>
          </w:tcPr>
          <w:p w14:paraId="2307583B" w14:textId="77777777" w:rsidR="00E579B9" w:rsidRDefault="006A1398">
            <w:pPr>
              <w:pStyle w:val="aa"/>
            </w:pPr>
            <w:r>
              <w:rPr>
                <w:rFonts w:hint="eastAsia"/>
              </w:rPr>
              <w:t>每半年一次，每次</w:t>
            </w:r>
            <w:r>
              <w:rPr>
                <w:rFonts w:hint="eastAsia"/>
              </w:rPr>
              <w:t>3</w:t>
            </w:r>
            <w:r>
              <w:rPr>
                <w:rFonts w:hint="eastAsia"/>
              </w:rPr>
              <w:t>天</w:t>
            </w:r>
          </w:p>
        </w:tc>
        <w:tc>
          <w:tcPr>
            <w:tcW w:w="2678" w:type="dxa"/>
            <w:vAlign w:val="center"/>
          </w:tcPr>
          <w:p w14:paraId="6BD090D8" w14:textId="77777777" w:rsidR="00E579B9" w:rsidRDefault="006A1398">
            <w:pPr>
              <w:pStyle w:val="aa"/>
            </w:pPr>
            <w:r>
              <w:rPr>
                <w:rFonts w:hint="eastAsia"/>
              </w:rPr>
              <w:t>《环境空气质量标准》（</w:t>
            </w:r>
            <w:r>
              <w:rPr>
                <w:rFonts w:hint="eastAsia"/>
              </w:rPr>
              <w:t>GB3095-2012</w:t>
            </w:r>
            <w:r>
              <w:rPr>
                <w:rFonts w:hint="eastAsia"/>
              </w:rPr>
              <w:t>）二级标准</w:t>
            </w:r>
          </w:p>
        </w:tc>
      </w:tr>
      <w:tr w:rsidR="00E579B9" w14:paraId="4612D28C" w14:textId="77777777">
        <w:trPr>
          <w:jc w:val="center"/>
        </w:trPr>
        <w:tc>
          <w:tcPr>
            <w:tcW w:w="627" w:type="dxa"/>
            <w:vMerge/>
            <w:vAlign w:val="center"/>
          </w:tcPr>
          <w:p w14:paraId="45314A7B" w14:textId="77777777" w:rsidR="00E579B9" w:rsidRDefault="00E579B9">
            <w:pPr>
              <w:pStyle w:val="aa"/>
            </w:pPr>
          </w:p>
        </w:tc>
        <w:tc>
          <w:tcPr>
            <w:tcW w:w="945" w:type="dxa"/>
            <w:vMerge w:val="restart"/>
            <w:vAlign w:val="center"/>
          </w:tcPr>
          <w:p w14:paraId="0F0317DE" w14:textId="77777777" w:rsidR="00E579B9" w:rsidRDefault="006A1398">
            <w:pPr>
              <w:pStyle w:val="aa"/>
            </w:pPr>
            <w:r>
              <w:rPr>
                <w:rFonts w:hint="eastAsia"/>
              </w:rPr>
              <w:t>废气</w:t>
            </w:r>
          </w:p>
        </w:tc>
        <w:tc>
          <w:tcPr>
            <w:tcW w:w="1985" w:type="dxa"/>
            <w:vAlign w:val="center"/>
          </w:tcPr>
          <w:p w14:paraId="04B7688F" w14:textId="77777777" w:rsidR="00E579B9" w:rsidRDefault="006A1398">
            <w:pPr>
              <w:pStyle w:val="aa"/>
            </w:pPr>
            <w:r>
              <w:rPr>
                <w:rFonts w:hint="eastAsia"/>
              </w:rPr>
              <w:t>露采场、表土临时堆场、工业</w:t>
            </w:r>
            <w:r>
              <w:t>场地</w:t>
            </w:r>
            <w:r>
              <w:rPr>
                <w:rFonts w:hint="eastAsia"/>
              </w:rPr>
              <w:t>周界外浓度最高点</w:t>
            </w:r>
          </w:p>
        </w:tc>
        <w:tc>
          <w:tcPr>
            <w:tcW w:w="1254" w:type="dxa"/>
            <w:vAlign w:val="center"/>
          </w:tcPr>
          <w:p w14:paraId="0B32DF50" w14:textId="77777777" w:rsidR="00E579B9" w:rsidRDefault="006A1398">
            <w:pPr>
              <w:pStyle w:val="aa"/>
            </w:pPr>
            <w:r>
              <w:rPr>
                <w:rFonts w:hint="eastAsia"/>
              </w:rPr>
              <w:t>颗粒物</w:t>
            </w:r>
          </w:p>
        </w:tc>
        <w:tc>
          <w:tcPr>
            <w:tcW w:w="1789" w:type="dxa"/>
            <w:vAlign w:val="center"/>
          </w:tcPr>
          <w:p w14:paraId="39ADBDBB" w14:textId="1C78B896" w:rsidR="00E579B9" w:rsidRPr="005D058A" w:rsidRDefault="006A1398">
            <w:pPr>
              <w:pStyle w:val="aa"/>
              <w:rPr>
                <w:color w:val="FF0000"/>
              </w:rPr>
            </w:pPr>
            <w:r w:rsidRPr="005D058A">
              <w:rPr>
                <w:rFonts w:hint="eastAsia"/>
                <w:color w:val="FF0000"/>
              </w:rPr>
              <w:t>每年一次，每次</w:t>
            </w:r>
            <w:r w:rsidRPr="005D058A">
              <w:rPr>
                <w:rFonts w:hint="eastAsia"/>
                <w:color w:val="FF0000"/>
              </w:rPr>
              <w:t>3</w:t>
            </w:r>
            <w:r w:rsidRPr="005D058A">
              <w:rPr>
                <w:rFonts w:hint="eastAsia"/>
                <w:color w:val="FF0000"/>
              </w:rPr>
              <w:t>天</w:t>
            </w:r>
          </w:p>
        </w:tc>
        <w:tc>
          <w:tcPr>
            <w:tcW w:w="2678" w:type="dxa"/>
            <w:vMerge w:val="restart"/>
            <w:vAlign w:val="center"/>
          </w:tcPr>
          <w:p w14:paraId="1821A75C" w14:textId="7C85EA06" w:rsidR="00E579B9" w:rsidRDefault="005D058A">
            <w:pPr>
              <w:pStyle w:val="aa"/>
            </w:pPr>
            <w:r w:rsidRPr="005D058A">
              <w:rPr>
                <w:rFonts w:hint="eastAsia"/>
                <w:color w:val="FF0000"/>
                <w:spacing w:val="2"/>
              </w:rPr>
              <w:t>《建筑石料、石材矿绿色矿山建设规范》（</w:t>
            </w:r>
            <w:r w:rsidRPr="005D058A">
              <w:rPr>
                <w:rFonts w:hint="eastAsia"/>
                <w:color w:val="FF0000"/>
                <w:spacing w:val="2"/>
              </w:rPr>
              <w:t>DB41/T1665-2018</w:t>
            </w:r>
            <w:r w:rsidRPr="005D058A">
              <w:rPr>
                <w:rFonts w:hint="eastAsia"/>
                <w:color w:val="FF0000"/>
                <w:spacing w:val="2"/>
              </w:rPr>
              <w:t>）</w:t>
            </w:r>
            <w:r w:rsidR="006A1398" w:rsidRPr="005D058A">
              <w:rPr>
                <w:rFonts w:hint="eastAsia"/>
                <w:color w:val="FF0000"/>
                <w:spacing w:val="2"/>
              </w:rPr>
              <w:t>；</w:t>
            </w:r>
            <w:r w:rsidR="006A1398" w:rsidRPr="005D058A">
              <w:rPr>
                <w:rStyle w:val="ab"/>
                <w:rFonts w:hint="eastAsia"/>
                <w:color w:val="FF0000"/>
              </w:rPr>
              <w:t>《水泥工业大气污染物排放标准》（</w:t>
            </w:r>
            <w:r w:rsidR="006A1398" w:rsidRPr="005D058A">
              <w:rPr>
                <w:rStyle w:val="ab"/>
                <w:rFonts w:hint="eastAsia"/>
                <w:color w:val="FF0000"/>
              </w:rPr>
              <w:t>GB4915-2013</w:t>
            </w:r>
            <w:r w:rsidR="006A1398">
              <w:rPr>
                <w:rStyle w:val="ab"/>
                <w:rFonts w:hint="eastAsia"/>
              </w:rPr>
              <w:t>）</w:t>
            </w:r>
          </w:p>
        </w:tc>
      </w:tr>
      <w:tr w:rsidR="00E579B9" w14:paraId="74A00155" w14:textId="77777777">
        <w:trPr>
          <w:jc w:val="center"/>
        </w:trPr>
        <w:tc>
          <w:tcPr>
            <w:tcW w:w="627" w:type="dxa"/>
            <w:vMerge/>
            <w:vAlign w:val="center"/>
          </w:tcPr>
          <w:p w14:paraId="5B240F09" w14:textId="77777777" w:rsidR="00E579B9" w:rsidRDefault="00E579B9">
            <w:pPr>
              <w:pStyle w:val="aa"/>
            </w:pPr>
          </w:p>
        </w:tc>
        <w:tc>
          <w:tcPr>
            <w:tcW w:w="945" w:type="dxa"/>
            <w:vMerge/>
            <w:vAlign w:val="center"/>
          </w:tcPr>
          <w:p w14:paraId="1161C5BB" w14:textId="77777777" w:rsidR="00E579B9" w:rsidRDefault="00E579B9">
            <w:pPr>
              <w:pStyle w:val="aa"/>
            </w:pPr>
          </w:p>
        </w:tc>
        <w:tc>
          <w:tcPr>
            <w:tcW w:w="1985" w:type="dxa"/>
            <w:vAlign w:val="center"/>
          </w:tcPr>
          <w:p w14:paraId="6EEB5B44" w14:textId="77777777" w:rsidR="00E579B9" w:rsidRDefault="006A1398">
            <w:pPr>
              <w:pStyle w:val="aa"/>
            </w:pPr>
            <w:r>
              <w:rPr>
                <w:rFonts w:hint="eastAsia"/>
              </w:rPr>
              <w:t>破碎场地</w:t>
            </w:r>
            <w:r>
              <w:rPr>
                <w:rFonts w:hint="eastAsia"/>
              </w:rPr>
              <w:t>1#</w:t>
            </w:r>
            <w:r>
              <w:rPr>
                <w:rFonts w:hint="eastAsia"/>
              </w:rPr>
              <w:t>排气筒</w:t>
            </w:r>
          </w:p>
        </w:tc>
        <w:tc>
          <w:tcPr>
            <w:tcW w:w="1254" w:type="dxa"/>
            <w:vAlign w:val="center"/>
          </w:tcPr>
          <w:p w14:paraId="561932B8" w14:textId="77777777" w:rsidR="00E579B9" w:rsidRDefault="006A1398">
            <w:pPr>
              <w:pStyle w:val="aa"/>
            </w:pPr>
            <w:r>
              <w:rPr>
                <w:rFonts w:hint="eastAsia"/>
              </w:rPr>
              <w:t>PM</w:t>
            </w:r>
            <w:r>
              <w:rPr>
                <w:rFonts w:hint="eastAsia"/>
                <w:vertAlign w:val="subscript"/>
              </w:rPr>
              <w:t>10</w:t>
            </w:r>
          </w:p>
        </w:tc>
        <w:tc>
          <w:tcPr>
            <w:tcW w:w="1789" w:type="dxa"/>
            <w:vAlign w:val="center"/>
          </w:tcPr>
          <w:p w14:paraId="1FBB8FCB" w14:textId="77777777" w:rsidR="00E579B9" w:rsidRPr="005D058A" w:rsidRDefault="006A1398">
            <w:pPr>
              <w:pStyle w:val="aa"/>
              <w:rPr>
                <w:color w:val="FF0000"/>
              </w:rPr>
            </w:pPr>
            <w:r w:rsidRPr="005D058A">
              <w:rPr>
                <w:rFonts w:hint="eastAsia"/>
                <w:color w:val="FF0000"/>
              </w:rPr>
              <w:t>自动监测设备</w:t>
            </w:r>
          </w:p>
        </w:tc>
        <w:tc>
          <w:tcPr>
            <w:tcW w:w="2678" w:type="dxa"/>
            <w:vMerge/>
            <w:vAlign w:val="center"/>
          </w:tcPr>
          <w:p w14:paraId="79881524" w14:textId="77777777" w:rsidR="00E579B9" w:rsidRDefault="00E579B9">
            <w:pPr>
              <w:pStyle w:val="aa"/>
              <w:rPr>
                <w:spacing w:val="2"/>
              </w:rPr>
            </w:pPr>
          </w:p>
        </w:tc>
      </w:tr>
      <w:tr w:rsidR="00E579B9" w14:paraId="62715772" w14:textId="77777777">
        <w:trPr>
          <w:jc w:val="center"/>
        </w:trPr>
        <w:tc>
          <w:tcPr>
            <w:tcW w:w="627" w:type="dxa"/>
            <w:vMerge/>
            <w:vAlign w:val="center"/>
          </w:tcPr>
          <w:p w14:paraId="39601270" w14:textId="77777777" w:rsidR="00E579B9" w:rsidRDefault="00E579B9">
            <w:pPr>
              <w:pStyle w:val="aa"/>
            </w:pPr>
          </w:p>
        </w:tc>
        <w:tc>
          <w:tcPr>
            <w:tcW w:w="945" w:type="dxa"/>
            <w:vMerge/>
            <w:vAlign w:val="center"/>
          </w:tcPr>
          <w:p w14:paraId="35B03691" w14:textId="77777777" w:rsidR="00E579B9" w:rsidRDefault="00E579B9">
            <w:pPr>
              <w:pStyle w:val="aa"/>
            </w:pPr>
          </w:p>
        </w:tc>
        <w:tc>
          <w:tcPr>
            <w:tcW w:w="1985" w:type="dxa"/>
            <w:vAlign w:val="center"/>
          </w:tcPr>
          <w:p w14:paraId="442A3763" w14:textId="77777777" w:rsidR="00E579B9" w:rsidRDefault="006A1398">
            <w:pPr>
              <w:pStyle w:val="aa"/>
            </w:pPr>
            <w:r>
              <w:rPr>
                <w:rFonts w:hint="eastAsia"/>
              </w:rPr>
              <w:t>破碎场地</w:t>
            </w:r>
            <w:r>
              <w:rPr>
                <w:rFonts w:hint="eastAsia"/>
              </w:rPr>
              <w:t>2#</w:t>
            </w:r>
            <w:r>
              <w:rPr>
                <w:rFonts w:hint="eastAsia"/>
              </w:rPr>
              <w:t>排气筒</w:t>
            </w:r>
          </w:p>
        </w:tc>
        <w:tc>
          <w:tcPr>
            <w:tcW w:w="1254" w:type="dxa"/>
            <w:vAlign w:val="center"/>
          </w:tcPr>
          <w:p w14:paraId="229B9B39" w14:textId="77777777" w:rsidR="00E579B9" w:rsidRDefault="006A1398">
            <w:pPr>
              <w:pStyle w:val="aa"/>
            </w:pPr>
            <w:r>
              <w:rPr>
                <w:rFonts w:hint="eastAsia"/>
              </w:rPr>
              <w:t>PM</w:t>
            </w:r>
            <w:r>
              <w:rPr>
                <w:rFonts w:hint="eastAsia"/>
                <w:vertAlign w:val="subscript"/>
              </w:rPr>
              <w:t>10</w:t>
            </w:r>
          </w:p>
        </w:tc>
        <w:tc>
          <w:tcPr>
            <w:tcW w:w="1789" w:type="dxa"/>
            <w:vAlign w:val="center"/>
          </w:tcPr>
          <w:p w14:paraId="469E8D68" w14:textId="77777777" w:rsidR="00E579B9" w:rsidRPr="005D058A" w:rsidRDefault="006A1398">
            <w:pPr>
              <w:pStyle w:val="aa"/>
              <w:rPr>
                <w:color w:val="FF0000"/>
              </w:rPr>
            </w:pPr>
            <w:r w:rsidRPr="005D058A">
              <w:rPr>
                <w:rFonts w:hint="eastAsia"/>
                <w:color w:val="FF0000"/>
              </w:rPr>
              <w:t>自动监测设备</w:t>
            </w:r>
          </w:p>
        </w:tc>
        <w:tc>
          <w:tcPr>
            <w:tcW w:w="2678" w:type="dxa"/>
            <w:vMerge/>
            <w:vAlign w:val="center"/>
          </w:tcPr>
          <w:p w14:paraId="4BA3B55C" w14:textId="77777777" w:rsidR="00E579B9" w:rsidRDefault="00E579B9">
            <w:pPr>
              <w:pStyle w:val="aa"/>
              <w:rPr>
                <w:spacing w:val="2"/>
              </w:rPr>
            </w:pPr>
          </w:p>
        </w:tc>
      </w:tr>
      <w:tr w:rsidR="00E579B9" w14:paraId="3630DB22" w14:textId="77777777">
        <w:trPr>
          <w:jc w:val="center"/>
        </w:trPr>
        <w:tc>
          <w:tcPr>
            <w:tcW w:w="627" w:type="dxa"/>
            <w:vMerge/>
            <w:vAlign w:val="center"/>
          </w:tcPr>
          <w:p w14:paraId="3134A621" w14:textId="77777777" w:rsidR="00E579B9" w:rsidRDefault="00E579B9">
            <w:pPr>
              <w:pStyle w:val="aa"/>
            </w:pPr>
          </w:p>
        </w:tc>
        <w:tc>
          <w:tcPr>
            <w:tcW w:w="945" w:type="dxa"/>
            <w:vAlign w:val="center"/>
          </w:tcPr>
          <w:p w14:paraId="4BD6012D" w14:textId="77777777" w:rsidR="00E579B9" w:rsidRDefault="006A1398">
            <w:pPr>
              <w:pStyle w:val="aa"/>
            </w:pPr>
            <w:r>
              <w:rPr>
                <w:rFonts w:hint="eastAsia"/>
              </w:rPr>
              <w:t>噪声</w:t>
            </w:r>
          </w:p>
        </w:tc>
        <w:tc>
          <w:tcPr>
            <w:tcW w:w="1985" w:type="dxa"/>
            <w:vAlign w:val="center"/>
          </w:tcPr>
          <w:p w14:paraId="6BF7F63C" w14:textId="77777777" w:rsidR="00E579B9" w:rsidRDefault="006A1398">
            <w:pPr>
              <w:pStyle w:val="aa"/>
            </w:pPr>
            <w:r>
              <w:rPr>
                <w:rFonts w:hint="eastAsia"/>
              </w:rPr>
              <w:t>矿区四边界</w:t>
            </w:r>
          </w:p>
        </w:tc>
        <w:tc>
          <w:tcPr>
            <w:tcW w:w="1254" w:type="dxa"/>
            <w:vAlign w:val="center"/>
          </w:tcPr>
          <w:p w14:paraId="22AE424D" w14:textId="77777777" w:rsidR="00E579B9" w:rsidRDefault="006A1398">
            <w:pPr>
              <w:pStyle w:val="aa"/>
            </w:pPr>
            <w:r>
              <w:rPr>
                <w:rFonts w:hint="eastAsia"/>
              </w:rPr>
              <w:t>等效声级</w:t>
            </w:r>
          </w:p>
        </w:tc>
        <w:tc>
          <w:tcPr>
            <w:tcW w:w="1789" w:type="dxa"/>
            <w:vAlign w:val="center"/>
          </w:tcPr>
          <w:p w14:paraId="12324A09" w14:textId="2F6C635F" w:rsidR="00E579B9" w:rsidRPr="005D058A" w:rsidRDefault="006A1398">
            <w:pPr>
              <w:pStyle w:val="aa"/>
              <w:rPr>
                <w:color w:val="FF0000"/>
              </w:rPr>
            </w:pPr>
            <w:r w:rsidRPr="005D058A">
              <w:rPr>
                <w:rFonts w:hint="eastAsia"/>
                <w:color w:val="FF0000"/>
              </w:rPr>
              <w:t>每</w:t>
            </w:r>
            <w:r w:rsidR="005D058A" w:rsidRPr="005D058A">
              <w:rPr>
                <w:rFonts w:hint="eastAsia"/>
                <w:color w:val="FF0000"/>
              </w:rPr>
              <w:t>季度</w:t>
            </w:r>
            <w:r w:rsidRPr="005D058A">
              <w:rPr>
                <w:rFonts w:hint="eastAsia"/>
                <w:color w:val="FF0000"/>
              </w:rPr>
              <w:t>一次，每次</w:t>
            </w:r>
            <w:r w:rsidRPr="005D058A">
              <w:rPr>
                <w:rFonts w:hint="eastAsia"/>
                <w:color w:val="FF0000"/>
              </w:rPr>
              <w:t>2</w:t>
            </w:r>
            <w:r w:rsidRPr="005D058A">
              <w:rPr>
                <w:rFonts w:hint="eastAsia"/>
                <w:color w:val="FF0000"/>
              </w:rPr>
              <w:t>天，每天昼间一次</w:t>
            </w:r>
          </w:p>
        </w:tc>
        <w:tc>
          <w:tcPr>
            <w:tcW w:w="2678" w:type="dxa"/>
            <w:vAlign w:val="center"/>
          </w:tcPr>
          <w:p w14:paraId="2435920E" w14:textId="77777777" w:rsidR="00E579B9" w:rsidRDefault="006A1398">
            <w:pPr>
              <w:pStyle w:val="aa"/>
            </w:pPr>
            <w:r>
              <w:rPr>
                <w:spacing w:val="2"/>
              </w:rPr>
              <w:t>《工业企业厂界环境噪声排放标准》（</w:t>
            </w:r>
            <w:r>
              <w:rPr>
                <w:spacing w:val="2"/>
              </w:rPr>
              <w:t>GB12348-2008</w:t>
            </w:r>
            <w:r>
              <w:rPr>
                <w:spacing w:val="2"/>
              </w:rPr>
              <w:t>）</w:t>
            </w:r>
            <w:r>
              <w:rPr>
                <w:spacing w:val="2"/>
              </w:rPr>
              <w:t>2</w:t>
            </w:r>
            <w:r>
              <w:rPr>
                <w:spacing w:val="2"/>
              </w:rPr>
              <w:t>类区标准</w:t>
            </w:r>
            <w:r>
              <w:rPr>
                <w:rFonts w:hint="eastAsia"/>
                <w:spacing w:val="2"/>
              </w:rPr>
              <w:t>（</w:t>
            </w:r>
            <w:r>
              <w:rPr>
                <w:rFonts w:hint="eastAsia"/>
              </w:rPr>
              <w:t>昼间</w:t>
            </w:r>
            <w:r>
              <w:rPr>
                <w:rFonts w:hint="eastAsia"/>
              </w:rPr>
              <w:t>60dB(A)</w:t>
            </w:r>
            <w:r>
              <w:rPr>
                <w:rFonts w:hint="eastAsia"/>
                <w:spacing w:val="2"/>
              </w:rPr>
              <w:t>）</w:t>
            </w:r>
            <w:r>
              <w:rPr>
                <w:rFonts w:hint="eastAsia"/>
              </w:rPr>
              <w:t>，夜间不开采</w:t>
            </w:r>
          </w:p>
        </w:tc>
      </w:tr>
      <w:tr w:rsidR="00E579B9" w14:paraId="32DABBC5" w14:textId="77777777">
        <w:trPr>
          <w:cantSplit/>
          <w:jc w:val="center"/>
        </w:trPr>
        <w:tc>
          <w:tcPr>
            <w:tcW w:w="627" w:type="dxa"/>
            <w:vMerge/>
            <w:vAlign w:val="center"/>
          </w:tcPr>
          <w:p w14:paraId="0B537C19" w14:textId="77777777" w:rsidR="00E579B9" w:rsidRDefault="00E579B9">
            <w:pPr>
              <w:pStyle w:val="aa"/>
            </w:pPr>
          </w:p>
        </w:tc>
        <w:tc>
          <w:tcPr>
            <w:tcW w:w="945" w:type="dxa"/>
            <w:vAlign w:val="center"/>
          </w:tcPr>
          <w:p w14:paraId="1CCC8F45" w14:textId="77777777" w:rsidR="00E579B9" w:rsidRDefault="006A1398">
            <w:pPr>
              <w:pStyle w:val="aa"/>
            </w:pPr>
            <w:r>
              <w:rPr>
                <w:rFonts w:hint="eastAsia"/>
              </w:rPr>
              <w:t>生态</w:t>
            </w:r>
          </w:p>
        </w:tc>
        <w:tc>
          <w:tcPr>
            <w:tcW w:w="7706" w:type="dxa"/>
            <w:gridSpan w:val="4"/>
            <w:vAlign w:val="center"/>
          </w:tcPr>
          <w:p w14:paraId="6EA108C7" w14:textId="77777777" w:rsidR="00E579B9" w:rsidRDefault="006A1398">
            <w:pPr>
              <w:pStyle w:val="aa"/>
            </w:pPr>
            <w:r>
              <w:rPr>
                <w:rFonts w:hint="eastAsia"/>
              </w:rPr>
              <w:t>加强露采场、表土临时堆场、运矿道路、工业场地的生态恢复监控工作，及时做好土地复垦工作，将矿山开采对生态环境的影响降低至最低程度。</w:t>
            </w:r>
          </w:p>
        </w:tc>
      </w:tr>
    </w:tbl>
    <w:p w14:paraId="0C62499D" w14:textId="77777777" w:rsidR="00E579B9" w:rsidRDefault="006A1398">
      <w:pPr>
        <w:pStyle w:val="2"/>
        <w:ind w:firstLine="560"/>
      </w:pPr>
      <w:bookmarkStart w:id="483" w:name="_Toc15632"/>
      <w:bookmarkStart w:id="484" w:name="_Toc33021831"/>
      <w:r>
        <w:t>9.5</w:t>
      </w:r>
      <w:r>
        <w:t>环境监理与监控</w:t>
      </w:r>
      <w:bookmarkEnd w:id="483"/>
      <w:bookmarkEnd w:id="484"/>
    </w:p>
    <w:p w14:paraId="31AEC5BB" w14:textId="77777777" w:rsidR="00E579B9" w:rsidRDefault="006A1398">
      <w:pPr>
        <w:pStyle w:val="3"/>
        <w:ind w:firstLine="560"/>
      </w:pPr>
      <w:r>
        <w:t>9.5.1</w:t>
      </w:r>
      <w:r>
        <w:t>施工期环境监理</w:t>
      </w:r>
    </w:p>
    <w:p w14:paraId="18E46B88" w14:textId="77777777" w:rsidR="00E579B9" w:rsidRDefault="006A1398">
      <w:pPr>
        <w:pStyle w:val="42"/>
        <w:ind w:firstLineChars="200" w:firstLine="480"/>
      </w:pPr>
      <w:r>
        <w:t>1</w:t>
      </w:r>
      <w:r>
        <w:t>、生态保护及恢复措施监理</w:t>
      </w:r>
    </w:p>
    <w:p w14:paraId="0DFDF6A8" w14:textId="77777777" w:rsidR="00E579B9" w:rsidRDefault="006A1398">
      <w:pPr>
        <w:pStyle w:val="42"/>
        <w:ind w:firstLineChars="200" w:firstLine="480"/>
      </w:pPr>
      <w:r>
        <w:t>监督建设单位对工业场地、矿区道路两侧进行绿化，并检查工程质量进度。严格控制工程建设时土石方开挖方式，对弃石的堆存应每日一查，严格控制乱堆乱倒，对可利用的弃土弃渣做好监控、监督，集中收集予以利用。对施工场地周边的灌木植被保护应每日一查，严格控制占压毁坏周边林木植被。</w:t>
      </w:r>
    </w:p>
    <w:p w14:paraId="62EC51FD" w14:textId="77777777" w:rsidR="00E579B9" w:rsidRDefault="006A1398">
      <w:pPr>
        <w:pStyle w:val="42"/>
        <w:ind w:firstLineChars="200" w:firstLine="480"/>
      </w:pPr>
      <w:r>
        <w:t>全过程监督完善排水及绿化防护措施等的实施，把好水保工程质量关和工程进度。并协助施工单位解决存在的技术问题。如遇重大问题及时向建设单位和当地环保</w:t>
      </w:r>
      <w:r>
        <w:lastRenderedPageBreak/>
        <w:t>部门汇报。</w:t>
      </w:r>
    </w:p>
    <w:p w14:paraId="1F123147" w14:textId="77777777" w:rsidR="00E579B9" w:rsidRDefault="006A1398">
      <w:pPr>
        <w:pStyle w:val="42"/>
        <w:ind w:firstLineChars="200" w:firstLine="480"/>
      </w:pPr>
      <w:r>
        <w:t>监督建设单位对施工结束后临时占地、临时弃土场等场地及时实施生态恢复工程，并检查工程质量进度。</w:t>
      </w:r>
    </w:p>
    <w:p w14:paraId="17F92685" w14:textId="77777777" w:rsidR="00E579B9" w:rsidRDefault="006A1398">
      <w:pPr>
        <w:pStyle w:val="42"/>
        <w:ind w:firstLineChars="200" w:firstLine="480"/>
      </w:pPr>
      <w:r>
        <w:t>2</w:t>
      </w:r>
      <w:r>
        <w:t>、污染源监理</w:t>
      </w:r>
    </w:p>
    <w:p w14:paraId="4C4778DC" w14:textId="77777777" w:rsidR="00E579B9" w:rsidRDefault="006A1398">
      <w:pPr>
        <w:pStyle w:val="42"/>
        <w:ind w:firstLineChars="200" w:firstLine="480"/>
      </w:pPr>
      <w:r>
        <w:t>根据工程进度，检查各项污染源治理工程的建设情况，对不符合要求的工程及时提出意见，严把质量关，使环保设施的</w:t>
      </w:r>
      <w:r>
        <w:t>“</w:t>
      </w:r>
      <w:r>
        <w:t>三同时</w:t>
      </w:r>
      <w:r>
        <w:t>”</w:t>
      </w:r>
      <w:r>
        <w:t>落到实处。</w:t>
      </w:r>
    </w:p>
    <w:p w14:paraId="6CF460C4" w14:textId="77777777" w:rsidR="00E579B9" w:rsidRDefault="006A1398">
      <w:pPr>
        <w:pStyle w:val="42"/>
        <w:ind w:firstLineChars="200" w:firstLine="480"/>
      </w:pPr>
      <w:r>
        <w:t>3</w:t>
      </w:r>
      <w:r>
        <w:t>、监理制度</w:t>
      </w:r>
    </w:p>
    <w:p w14:paraId="76313F07" w14:textId="77777777" w:rsidR="00E579B9" w:rsidRDefault="006A1398">
      <w:pPr>
        <w:pStyle w:val="42"/>
        <w:ind w:firstLineChars="200" w:firstLine="480"/>
      </w:pPr>
      <w:r>
        <w:t>环保工程监理人员对上述监控内容至少应每月检查一次，做好监理纪录，每周向建设单位汇报一次环保工程进展情况；每月向环保部门汇报一次环保工程进展情况，对工程中存在的问题及时解决，及时汇报。</w:t>
      </w:r>
    </w:p>
    <w:p w14:paraId="5A4BEB40" w14:textId="77777777" w:rsidR="00E579B9" w:rsidRDefault="006A1398">
      <w:pPr>
        <w:pStyle w:val="42"/>
        <w:ind w:firstLineChars="200" w:firstLine="480"/>
      </w:pPr>
      <w:r>
        <w:t>施工期环境监理计划见</w:t>
      </w:r>
      <w:r>
        <w:rPr>
          <w:rFonts w:hint="eastAsia"/>
        </w:rPr>
        <w:t>下表</w:t>
      </w:r>
      <w:r>
        <w:t>。</w:t>
      </w:r>
    </w:p>
    <w:p w14:paraId="2D8CCBE5" w14:textId="262E09E2" w:rsidR="00E579B9" w:rsidRDefault="006A1398">
      <w:pPr>
        <w:pStyle w:val="21"/>
      </w:pPr>
      <w:r>
        <w:t>表</w:t>
      </w:r>
      <w:r>
        <w:rPr>
          <w:rFonts w:hint="eastAsia"/>
        </w:rPr>
        <w:t>9.5</w:t>
      </w:r>
      <w:r>
        <w:t>-1</w:t>
      </w:r>
      <w:r>
        <w:t>施工期环境监理计划一览表</w:t>
      </w: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7"/>
        <w:gridCol w:w="711"/>
        <w:gridCol w:w="790"/>
        <w:gridCol w:w="5842"/>
      </w:tblGrid>
      <w:tr w:rsidR="00E579B9" w14:paraId="1AC2B8B2" w14:textId="77777777">
        <w:trPr>
          <w:cantSplit/>
          <w:trHeight w:val="454"/>
          <w:jc w:val="center"/>
        </w:trPr>
        <w:tc>
          <w:tcPr>
            <w:tcW w:w="2578" w:type="dxa"/>
            <w:gridSpan w:val="3"/>
            <w:tcMar>
              <w:left w:w="57" w:type="dxa"/>
              <w:right w:w="57" w:type="dxa"/>
            </w:tcMar>
            <w:vAlign w:val="center"/>
          </w:tcPr>
          <w:p w14:paraId="0D76DB46" w14:textId="77777777" w:rsidR="00E579B9" w:rsidRDefault="006A1398">
            <w:pPr>
              <w:pStyle w:val="aa"/>
            </w:pPr>
            <w:r>
              <w:t>项目</w:t>
            </w:r>
          </w:p>
        </w:tc>
        <w:tc>
          <w:tcPr>
            <w:tcW w:w="5842" w:type="dxa"/>
            <w:tcMar>
              <w:left w:w="57" w:type="dxa"/>
              <w:right w:w="57" w:type="dxa"/>
            </w:tcMar>
            <w:vAlign w:val="center"/>
          </w:tcPr>
          <w:p w14:paraId="23C6C00F" w14:textId="77777777" w:rsidR="00E579B9" w:rsidRDefault="006A1398">
            <w:pPr>
              <w:pStyle w:val="aa"/>
            </w:pPr>
            <w:r>
              <w:t>环保措施监理内容</w:t>
            </w:r>
          </w:p>
        </w:tc>
      </w:tr>
      <w:tr w:rsidR="00E579B9" w14:paraId="205700EE" w14:textId="77777777">
        <w:trPr>
          <w:cantSplit/>
          <w:trHeight w:val="454"/>
          <w:jc w:val="center"/>
        </w:trPr>
        <w:tc>
          <w:tcPr>
            <w:tcW w:w="1077" w:type="dxa"/>
            <w:vMerge w:val="restart"/>
            <w:tcMar>
              <w:left w:w="57" w:type="dxa"/>
              <w:right w:w="57" w:type="dxa"/>
            </w:tcMar>
            <w:vAlign w:val="center"/>
          </w:tcPr>
          <w:p w14:paraId="3B3455D0" w14:textId="77777777" w:rsidR="00E579B9" w:rsidRDefault="006A1398">
            <w:pPr>
              <w:pStyle w:val="aa"/>
            </w:pPr>
            <w:r>
              <w:t>本项目采区</w:t>
            </w:r>
          </w:p>
        </w:tc>
        <w:tc>
          <w:tcPr>
            <w:tcW w:w="711" w:type="dxa"/>
            <w:tcMar>
              <w:left w:w="57" w:type="dxa"/>
              <w:right w:w="57" w:type="dxa"/>
            </w:tcMar>
            <w:vAlign w:val="center"/>
          </w:tcPr>
          <w:p w14:paraId="61CCDB89" w14:textId="77777777" w:rsidR="00E579B9" w:rsidRDefault="006A1398">
            <w:pPr>
              <w:pStyle w:val="aa"/>
            </w:pPr>
            <w:r>
              <w:rPr>
                <w:rFonts w:hint="eastAsia"/>
              </w:rPr>
              <w:t>废气</w:t>
            </w:r>
          </w:p>
        </w:tc>
        <w:tc>
          <w:tcPr>
            <w:tcW w:w="790" w:type="dxa"/>
            <w:vAlign w:val="center"/>
          </w:tcPr>
          <w:p w14:paraId="0B0F01D8" w14:textId="77777777" w:rsidR="00E579B9" w:rsidRDefault="006A1398">
            <w:pPr>
              <w:pStyle w:val="aa"/>
            </w:pPr>
            <w:r>
              <w:t>扬尘</w:t>
            </w:r>
          </w:p>
        </w:tc>
        <w:tc>
          <w:tcPr>
            <w:tcW w:w="5842" w:type="dxa"/>
            <w:tcMar>
              <w:left w:w="57" w:type="dxa"/>
              <w:right w:w="57" w:type="dxa"/>
            </w:tcMar>
            <w:vAlign w:val="center"/>
          </w:tcPr>
          <w:p w14:paraId="59C68499" w14:textId="77777777" w:rsidR="00E579B9" w:rsidRDefault="006A1398">
            <w:pPr>
              <w:pStyle w:val="aa"/>
            </w:pPr>
            <w:r>
              <w:rPr>
                <w:rFonts w:hint="eastAsia"/>
              </w:rPr>
              <w:t>①</w:t>
            </w:r>
            <w:r>
              <w:t>矿区道路修建、工业场地建设、露天采区表土剥离等工程影响区采取洒水降尘</w:t>
            </w:r>
            <w:r>
              <w:rPr>
                <w:rFonts w:hint="eastAsia"/>
              </w:rPr>
              <w:t>；</w:t>
            </w:r>
          </w:p>
          <w:p w14:paraId="2FD9C636" w14:textId="77777777" w:rsidR="00E579B9" w:rsidRDefault="006A1398">
            <w:pPr>
              <w:pStyle w:val="aa"/>
            </w:pPr>
            <w:r>
              <w:rPr>
                <w:rFonts w:hint="eastAsia"/>
              </w:rPr>
              <w:t>②运输车辆</w:t>
            </w:r>
            <w:r>
              <w:t>采取遮盖、密闭措施</w:t>
            </w:r>
            <w:r>
              <w:rPr>
                <w:rFonts w:hint="eastAsia"/>
              </w:rPr>
              <w:t>，</w:t>
            </w:r>
            <w:r>
              <w:t>出入车辆百分之百冲洗。施工现场运输车辆应控制车速，燃油车辆和施工机械做好维护保养，使用无铅汽油或柴油，禁止出现冒黑烟现象。</w:t>
            </w:r>
          </w:p>
          <w:p w14:paraId="5095DD48" w14:textId="77777777" w:rsidR="00E579B9" w:rsidRDefault="006A1398">
            <w:pPr>
              <w:pStyle w:val="aa"/>
            </w:pPr>
            <w:r>
              <w:rPr>
                <w:rFonts w:hint="eastAsia"/>
              </w:rPr>
              <w:t>③产品堆场采取封闭场所贮存和水喷淋</w:t>
            </w:r>
            <w:r>
              <w:t>措施。</w:t>
            </w:r>
          </w:p>
        </w:tc>
      </w:tr>
      <w:tr w:rsidR="00E579B9" w14:paraId="6B262C08" w14:textId="77777777">
        <w:trPr>
          <w:cantSplit/>
          <w:trHeight w:val="454"/>
          <w:jc w:val="center"/>
        </w:trPr>
        <w:tc>
          <w:tcPr>
            <w:tcW w:w="1077" w:type="dxa"/>
            <w:vMerge/>
            <w:tcMar>
              <w:left w:w="57" w:type="dxa"/>
              <w:right w:w="57" w:type="dxa"/>
            </w:tcMar>
            <w:vAlign w:val="center"/>
          </w:tcPr>
          <w:p w14:paraId="44CB61E8" w14:textId="77777777" w:rsidR="00E579B9" w:rsidRDefault="00E579B9">
            <w:pPr>
              <w:pStyle w:val="aa"/>
            </w:pPr>
          </w:p>
        </w:tc>
        <w:tc>
          <w:tcPr>
            <w:tcW w:w="1501" w:type="dxa"/>
            <w:gridSpan w:val="2"/>
            <w:tcMar>
              <w:left w:w="57" w:type="dxa"/>
              <w:right w:w="57" w:type="dxa"/>
            </w:tcMar>
            <w:vAlign w:val="center"/>
          </w:tcPr>
          <w:p w14:paraId="4977EB01" w14:textId="77777777" w:rsidR="00E579B9" w:rsidRDefault="006A1398">
            <w:pPr>
              <w:pStyle w:val="aa"/>
            </w:pPr>
            <w:r>
              <w:t>废水</w:t>
            </w:r>
          </w:p>
        </w:tc>
        <w:tc>
          <w:tcPr>
            <w:tcW w:w="5842" w:type="dxa"/>
            <w:tcMar>
              <w:left w:w="57" w:type="dxa"/>
              <w:right w:w="57" w:type="dxa"/>
            </w:tcMar>
            <w:vAlign w:val="center"/>
          </w:tcPr>
          <w:p w14:paraId="187F6A85" w14:textId="77777777" w:rsidR="00E579B9" w:rsidRDefault="006A1398">
            <w:pPr>
              <w:pStyle w:val="aa"/>
            </w:pPr>
            <w:r>
              <w:t>职工生活污水</w:t>
            </w:r>
            <w:r>
              <w:rPr>
                <w:rFonts w:hint="eastAsia"/>
              </w:rPr>
              <w:t>全部进行综合利用</w:t>
            </w:r>
            <w:r>
              <w:t>，不外排。</w:t>
            </w:r>
          </w:p>
        </w:tc>
      </w:tr>
      <w:tr w:rsidR="00E579B9" w14:paraId="0CDEEBA6" w14:textId="77777777">
        <w:trPr>
          <w:cantSplit/>
          <w:trHeight w:val="454"/>
          <w:jc w:val="center"/>
        </w:trPr>
        <w:tc>
          <w:tcPr>
            <w:tcW w:w="1077" w:type="dxa"/>
            <w:vMerge/>
            <w:tcMar>
              <w:left w:w="57" w:type="dxa"/>
              <w:right w:w="57" w:type="dxa"/>
            </w:tcMar>
            <w:vAlign w:val="center"/>
          </w:tcPr>
          <w:p w14:paraId="32742631" w14:textId="77777777" w:rsidR="00E579B9" w:rsidRDefault="00E579B9">
            <w:pPr>
              <w:pStyle w:val="aa"/>
            </w:pPr>
          </w:p>
        </w:tc>
        <w:tc>
          <w:tcPr>
            <w:tcW w:w="1501" w:type="dxa"/>
            <w:gridSpan w:val="2"/>
            <w:tcMar>
              <w:left w:w="57" w:type="dxa"/>
              <w:right w:w="57" w:type="dxa"/>
            </w:tcMar>
            <w:vAlign w:val="center"/>
          </w:tcPr>
          <w:p w14:paraId="2CEA063C" w14:textId="77777777" w:rsidR="00E579B9" w:rsidRDefault="006A1398">
            <w:pPr>
              <w:pStyle w:val="aa"/>
            </w:pPr>
            <w:r>
              <w:t>固废</w:t>
            </w:r>
          </w:p>
        </w:tc>
        <w:tc>
          <w:tcPr>
            <w:tcW w:w="5842" w:type="dxa"/>
            <w:tcMar>
              <w:left w:w="57" w:type="dxa"/>
              <w:right w:w="57" w:type="dxa"/>
            </w:tcMar>
            <w:vAlign w:val="center"/>
          </w:tcPr>
          <w:p w14:paraId="28FDFCDF" w14:textId="77777777" w:rsidR="00E579B9" w:rsidRDefault="006A1398">
            <w:pPr>
              <w:pStyle w:val="aa"/>
            </w:pPr>
            <w:r>
              <w:rPr>
                <w:rFonts w:ascii="宋体" w:hAnsi="宋体" w:cs="宋体" w:hint="eastAsia"/>
              </w:rPr>
              <w:t>①</w:t>
            </w:r>
            <w:r>
              <w:t>基建施工期产生的表土部分综合利用，表土运至</w:t>
            </w:r>
            <w:r>
              <w:rPr>
                <w:rFonts w:hint="eastAsia"/>
              </w:rPr>
              <w:t>临时堆</w:t>
            </w:r>
            <w:r>
              <w:t>场堆存；</w:t>
            </w:r>
          </w:p>
          <w:p w14:paraId="32DABF05" w14:textId="77777777" w:rsidR="00E579B9" w:rsidRDefault="006A1398">
            <w:pPr>
              <w:pStyle w:val="aa"/>
            </w:pPr>
            <w:r>
              <w:rPr>
                <w:rFonts w:ascii="宋体" w:hAnsi="宋体" w:cs="宋体" w:hint="eastAsia"/>
              </w:rPr>
              <w:t>②</w:t>
            </w:r>
            <w:r>
              <w:t>生活垃圾收集后，交由环卫部门统一处理。</w:t>
            </w:r>
          </w:p>
        </w:tc>
      </w:tr>
      <w:tr w:rsidR="00E579B9" w14:paraId="38D9E8C6" w14:textId="77777777">
        <w:trPr>
          <w:cantSplit/>
          <w:trHeight w:val="454"/>
          <w:jc w:val="center"/>
        </w:trPr>
        <w:tc>
          <w:tcPr>
            <w:tcW w:w="1077" w:type="dxa"/>
            <w:vMerge/>
            <w:tcMar>
              <w:left w:w="57" w:type="dxa"/>
              <w:right w:w="57" w:type="dxa"/>
            </w:tcMar>
            <w:vAlign w:val="center"/>
          </w:tcPr>
          <w:p w14:paraId="5F03080F" w14:textId="77777777" w:rsidR="00E579B9" w:rsidRDefault="00E579B9">
            <w:pPr>
              <w:pStyle w:val="aa"/>
            </w:pPr>
          </w:p>
        </w:tc>
        <w:tc>
          <w:tcPr>
            <w:tcW w:w="1501" w:type="dxa"/>
            <w:gridSpan w:val="2"/>
            <w:tcMar>
              <w:left w:w="57" w:type="dxa"/>
              <w:right w:w="57" w:type="dxa"/>
            </w:tcMar>
            <w:vAlign w:val="center"/>
          </w:tcPr>
          <w:p w14:paraId="12590F9A" w14:textId="77777777" w:rsidR="00E579B9" w:rsidRDefault="006A1398">
            <w:pPr>
              <w:pStyle w:val="aa"/>
            </w:pPr>
            <w:r>
              <w:t>噪声</w:t>
            </w:r>
          </w:p>
        </w:tc>
        <w:tc>
          <w:tcPr>
            <w:tcW w:w="5842" w:type="dxa"/>
            <w:tcMar>
              <w:left w:w="57" w:type="dxa"/>
              <w:right w:w="57" w:type="dxa"/>
            </w:tcMar>
            <w:vAlign w:val="center"/>
          </w:tcPr>
          <w:p w14:paraId="7DB84CDA" w14:textId="77777777" w:rsidR="00E579B9" w:rsidRDefault="006A1398">
            <w:pPr>
              <w:pStyle w:val="aa"/>
            </w:pPr>
            <w:r>
              <w:rPr>
                <w:rFonts w:ascii="宋体" w:hAnsi="宋体" w:cs="宋体" w:hint="eastAsia"/>
              </w:rPr>
              <w:t>①</w:t>
            </w:r>
            <w:r>
              <w:t>施工时选用低噪声的施工机械和工艺；</w:t>
            </w:r>
          </w:p>
          <w:p w14:paraId="22693318" w14:textId="77777777" w:rsidR="00E579B9" w:rsidRDefault="006A1398">
            <w:pPr>
              <w:pStyle w:val="aa"/>
            </w:pPr>
            <w:r>
              <w:rPr>
                <w:rFonts w:ascii="宋体" w:hAnsi="宋体" w:cs="宋体" w:hint="eastAsia"/>
              </w:rPr>
              <w:t>②</w:t>
            </w:r>
            <w:r>
              <w:t>施工点位尽量远离居住区，合理布置，办公室隔离等措施。</w:t>
            </w:r>
          </w:p>
        </w:tc>
      </w:tr>
      <w:tr w:rsidR="00E579B9" w14:paraId="525522CA" w14:textId="77777777">
        <w:trPr>
          <w:cantSplit/>
          <w:trHeight w:val="454"/>
          <w:jc w:val="center"/>
        </w:trPr>
        <w:tc>
          <w:tcPr>
            <w:tcW w:w="1077" w:type="dxa"/>
            <w:vMerge/>
            <w:tcMar>
              <w:left w:w="57" w:type="dxa"/>
              <w:right w:w="57" w:type="dxa"/>
            </w:tcMar>
            <w:vAlign w:val="center"/>
          </w:tcPr>
          <w:p w14:paraId="1AC3D198" w14:textId="77777777" w:rsidR="00E579B9" w:rsidRDefault="00E579B9">
            <w:pPr>
              <w:pStyle w:val="aa"/>
            </w:pPr>
          </w:p>
        </w:tc>
        <w:tc>
          <w:tcPr>
            <w:tcW w:w="1501" w:type="dxa"/>
            <w:gridSpan w:val="2"/>
            <w:tcMar>
              <w:left w:w="57" w:type="dxa"/>
              <w:right w:w="57" w:type="dxa"/>
            </w:tcMar>
            <w:vAlign w:val="center"/>
          </w:tcPr>
          <w:p w14:paraId="654C69A4" w14:textId="77777777" w:rsidR="00E579B9" w:rsidRDefault="006A1398">
            <w:pPr>
              <w:pStyle w:val="aa"/>
            </w:pPr>
            <w:r>
              <w:t>生态保护措施</w:t>
            </w:r>
          </w:p>
        </w:tc>
        <w:tc>
          <w:tcPr>
            <w:tcW w:w="5842" w:type="dxa"/>
            <w:tcMar>
              <w:left w:w="57" w:type="dxa"/>
              <w:right w:w="57" w:type="dxa"/>
            </w:tcMar>
            <w:vAlign w:val="center"/>
          </w:tcPr>
          <w:p w14:paraId="3F7DA5F9" w14:textId="77777777" w:rsidR="00E579B9" w:rsidRDefault="006A1398">
            <w:pPr>
              <w:pStyle w:val="aa"/>
            </w:pPr>
            <w:r>
              <w:rPr>
                <w:rFonts w:ascii="宋体" w:hAnsi="宋体" w:cs="宋体" w:hint="eastAsia"/>
              </w:rPr>
              <w:t>①</w:t>
            </w:r>
            <w:r>
              <w:t>工业场地、办公区四周及修建道路两侧及时、全面的绿化；</w:t>
            </w:r>
            <w:r>
              <w:rPr>
                <w:rFonts w:ascii="宋体" w:hAnsi="宋体" w:cs="宋体" w:hint="eastAsia"/>
              </w:rPr>
              <w:t>②</w:t>
            </w:r>
            <w:r>
              <w:rPr>
                <w:rFonts w:hint="eastAsia"/>
              </w:rPr>
              <w:t>临时堆场</w:t>
            </w:r>
            <w:r>
              <w:t>下游设置挡渣墙、四周设置截水沟，防止泥石流现象产生。</w:t>
            </w:r>
          </w:p>
        </w:tc>
      </w:tr>
    </w:tbl>
    <w:p w14:paraId="2724775A" w14:textId="77777777" w:rsidR="00E579B9" w:rsidRDefault="006A1398">
      <w:pPr>
        <w:pStyle w:val="3"/>
        <w:ind w:firstLine="560"/>
      </w:pPr>
      <w:r>
        <w:t>9.5.2</w:t>
      </w:r>
      <w:r>
        <w:t>营运期环境监控</w:t>
      </w:r>
    </w:p>
    <w:p w14:paraId="3D03749D" w14:textId="77777777" w:rsidR="00E579B9" w:rsidRDefault="006A1398">
      <w:pPr>
        <w:pStyle w:val="42"/>
        <w:ind w:firstLineChars="200" w:firstLine="480"/>
      </w:pPr>
      <w:r>
        <w:t>1</w:t>
      </w:r>
      <w:r>
        <w:t>、营运期生态保护及恢复措施监控</w:t>
      </w:r>
    </w:p>
    <w:p w14:paraId="489D785C" w14:textId="77777777" w:rsidR="00E579B9" w:rsidRDefault="006A1398">
      <w:pPr>
        <w:pStyle w:val="42"/>
        <w:ind w:firstLineChars="200" w:firstLine="480"/>
      </w:pPr>
      <w:r>
        <w:lastRenderedPageBreak/>
        <w:t>安排专人协助并督促生态恢复措施的落实，按环评要求做好</w:t>
      </w:r>
      <w:r>
        <w:rPr>
          <w:rFonts w:hint="eastAsia"/>
        </w:rPr>
        <w:t>“边生产、边恢复”的</w:t>
      </w:r>
      <w:r>
        <w:t>生态恢复</w:t>
      </w:r>
      <w:r>
        <w:rPr>
          <w:rFonts w:hint="eastAsia"/>
        </w:rPr>
        <w:t>方针</w:t>
      </w:r>
      <w:r>
        <w:t>，对生态恢复工程实施进度和</w:t>
      </w:r>
      <w:r>
        <w:rPr>
          <w:rFonts w:hint="eastAsia"/>
        </w:rPr>
        <w:t>恢复时序</w:t>
      </w:r>
      <w:r>
        <w:t>全过程监控，对实施中存在的问题协助实施单位解决，并负责定期向主管部门汇报工程进度和实施情况。</w:t>
      </w:r>
    </w:p>
    <w:p w14:paraId="5C1F4CA5" w14:textId="77777777" w:rsidR="00E579B9" w:rsidRDefault="006A1398">
      <w:pPr>
        <w:pStyle w:val="42"/>
        <w:ind w:firstLineChars="200" w:firstLine="480"/>
      </w:pPr>
      <w:r>
        <w:t>随着生产进程逐步完善工程护坡、防洪排水、挡土墙及其它生态保护措施工程，把好水保工程质量关和工程进度，对采区进行坡面绿化和监督落实水保方案提出的植被恢复措施的进行，并协助施工单位解决存在的技术问题。如遇到重大问题及时向主管部门汇报。</w:t>
      </w:r>
    </w:p>
    <w:p w14:paraId="37CC2D02" w14:textId="77777777" w:rsidR="00E579B9" w:rsidRDefault="006A1398">
      <w:pPr>
        <w:pStyle w:val="42"/>
        <w:ind w:firstLineChars="200" w:firstLine="480"/>
      </w:pPr>
      <w:r>
        <w:t>2</w:t>
      </w:r>
      <w:r>
        <w:t>、</w:t>
      </w:r>
      <w:r>
        <w:rPr>
          <w:rFonts w:hint="eastAsia"/>
        </w:rPr>
        <w:t>边生产边恢复的</w:t>
      </w:r>
      <w:r>
        <w:t>生态恢复措施监控</w:t>
      </w:r>
    </w:p>
    <w:p w14:paraId="2EE7821D" w14:textId="77777777" w:rsidR="00E579B9" w:rsidRDefault="006A1398">
      <w:pPr>
        <w:pStyle w:val="42"/>
        <w:ind w:firstLineChars="200" w:firstLine="480"/>
      </w:pPr>
      <w:r>
        <w:t>建设单位环保管理机构应派专人负责监督破碎加工区、采区工作面、工业场地进行平整植树种草或填土复耕，并协助有关部门对工程完成质量进行检查验收。</w:t>
      </w:r>
    </w:p>
    <w:p w14:paraId="02776AF4" w14:textId="77777777" w:rsidR="00E579B9" w:rsidRDefault="006A1398">
      <w:pPr>
        <w:pStyle w:val="42"/>
        <w:ind w:firstLineChars="200" w:firstLine="480"/>
      </w:pPr>
      <w:r>
        <w:t>3</w:t>
      </w:r>
      <w:r>
        <w:t>、污染源监控</w:t>
      </w:r>
    </w:p>
    <w:p w14:paraId="3A4ED301" w14:textId="77777777" w:rsidR="00E579B9" w:rsidRDefault="006A1398">
      <w:pPr>
        <w:pStyle w:val="42"/>
        <w:ind w:firstLineChars="200" w:firstLine="480"/>
      </w:pPr>
      <w:r>
        <w:t>定期检查督促扬尘、噪声控制措施的落实。对污染源治理设施的运行情况进行定期检查，发现问题，马上处理，做好记录。对重大污染源事故，要及时向主管部门汇报，并提出控制污染的建议。</w:t>
      </w:r>
    </w:p>
    <w:p w14:paraId="7D01A853" w14:textId="77777777" w:rsidR="00E579B9" w:rsidRDefault="00E579B9">
      <w:pPr>
        <w:ind w:firstLineChars="0" w:firstLine="0"/>
      </w:pPr>
    </w:p>
    <w:p w14:paraId="43A37CA0" w14:textId="77777777" w:rsidR="00E579B9" w:rsidRDefault="00E579B9">
      <w:pPr>
        <w:ind w:firstLineChars="0" w:firstLine="0"/>
      </w:pPr>
    </w:p>
    <w:p w14:paraId="71F0E55B" w14:textId="77777777" w:rsidR="00E579B9" w:rsidRDefault="00E579B9">
      <w:pPr>
        <w:ind w:firstLineChars="0" w:firstLine="0"/>
      </w:pPr>
    </w:p>
    <w:p w14:paraId="419BCF17" w14:textId="77777777" w:rsidR="00E579B9" w:rsidRDefault="00E579B9">
      <w:pPr>
        <w:ind w:firstLineChars="0" w:firstLine="0"/>
        <w:sectPr w:rsidR="00E579B9">
          <w:pgSz w:w="11906" w:h="16838"/>
          <w:pgMar w:top="1701" w:right="1588" w:bottom="1985" w:left="1588" w:header="1077" w:footer="680" w:gutter="0"/>
          <w:cols w:space="720"/>
          <w:docGrid w:type="lines" w:linePitch="326"/>
        </w:sectPr>
      </w:pPr>
    </w:p>
    <w:p w14:paraId="11648917" w14:textId="77777777" w:rsidR="00E579B9" w:rsidRDefault="006A1398">
      <w:pPr>
        <w:pStyle w:val="1"/>
      </w:pPr>
      <w:bookmarkStart w:id="485" w:name="_Toc33021832"/>
      <w:bookmarkStart w:id="486" w:name="_Toc3880"/>
      <w:bookmarkStart w:id="487" w:name="_Toc335031001"/>
      <w:bookmarkStart w:id="488" w:name="_Toc531939430"/>
      <w:r>
        <w:rPr>
          <w:rFonts w:hint="eastAsia"/>
        </w:rPr>
        <w:lastRenderedPageBreak/>
        <w:t>第十章产业</w:t>
      </w:r>
      <w:r>
        <w:t>政策及选址合理性分析</w:t>
      </w:r>
      <w:bookmarkEnd w:id="485"/>
    </w:p>
    <w:p w14:paraId="58EBE1C4" w14:textId="77777777" w:rsidR="00E579B9" w:rsidRDefault="006A1398">
      <w:pPr>
        <w:pStyle w:val="2"/>
        <w:ind w:firstLine="560"/>
      </w:pPr>
      <w:bookmarkStart w:id="489" w:name="_Toc33021833"/>
      <w:r>
        <w:rPr>
          <w:rFonts w:hint="eastAsia"/>
        </w:rPr>
        <w:t>10.1</w:t>
      </w:r>
      <w:r>
        <w:rPr>
          <w:rFonts w:hint="eastAsia"/>
        </w:rPr>
        <w:t>产业</w:t>
      </w:r>
      <w:r>
        <w:t>政策相符性分析</w:t>
      </w:r>
      <w:bookmarkEnd w:id="489"/>
    </w:p>
    <w:p w14:paraId="6C40EEB2" w14:textId="77777777" w:rsidR="00E579B9" w:rsidRDefault="006A1398">
      <w:pPr>
        <w:pStyle w:val="3"/>
        <w:ind w:firstLine="560"/>
      </w:pPr>
      <w:r>
        <w:t>10.1.1</w:t>
      </w:r>
      <w:r>
        <w:rPr>
          <w:rFonts w:hint="eastAsia"/>
        </w:rPr>
        <w:t>符合《产业结构调整指导目录（</w:t>
      </w:r>
      <w:r>
        <w:t>2019</w:t>
      </w:r>
      <w:r>
        <w:rPr>
          <w:rFonts w:hint="eastAsia"/>
        </w:rPr>
        <w:t>年本）》</w:t>
      </w:r>
    </w:p>
    <w:p w14:paraId="12122258" w14:textId="77777777" w:rsidR="00E579B9" w:rsidRDefault="006A1398">
      <w:r>
        <w:t>根据《产业结构调整指导目录（</w:t>
      </w:r>
      <w:r>
        <w:t>2019</w:t>
      </w:r>
      <w:r>
        <w:t>年本）》，本项目不属于鼓励类、限制类和淘汰类，</w:t>
      </w:r>
      <w:r>
        <w:rPr>
          <w:rFonts w:hint="eastAsia"/>
        </w:rPr>
        <w:t>即为允许类，符合国家产业政策。</w:t>
      </w:r>
    </w:p>
    <w:p w14:paraId="5CBC5139" w14:textId="77777777" w:rsidR="00E579B9" w:rsidRDefault="006A1398">
      <w:r>
        <w:rPr>
          <w:rFonts w:hint="eastAsia"/>
        </w:rPr>
        <w:t>对照</w:t>
      </w:r>
      <w:r>
        <w:t>《部分工业行业淘汰落后生产工艺装备和产品指导目录》、《高耗能落后机电设备（产品）淘汰目录》（第一批）（第二批）（第三批）（第四批）、《金属非金属矿山禁止使用的设备及工艺目录》（第一批）（第二批），本项目不涉及</w:t>
      </w:r>
      <w:r>
        <w:rPr>
          <w:rFonts w:hint="eastAsia"/>
        </w:rPr>
        <w:t>以上</w:t>
      </w:r>
      <w:r>
        <w:t>淘汰落后工艺、设备</w:t>
      </w:r>
      <w:r>
        <w:rPr>
          <w:rFonts w:hint="eastAsia"/>
        </w:rPr>
        <w:t>，符合国家淘汰落后工艺及设备的相关要求。</w:t>
      </w:r>
    </w:p>
    <w:p w14:paraId="3F84EDF2" w14:textId="77777777" w:rsidR="00E579B9" w:rsidRDefault="006A1398">
      <w:pPr>
        <w:pStyle w:val="3"/>
        <w:ind w:firstLine="560"/>
        <w:rPr>
          <w:snapToGrid w:val="0"/>
        </w:rPr>
      </w:pPr>
      <w:r>
        <w:rPr>
          <w:rFonts w:hint="eastAsia"/>
        </w:rPr>
        <w:t>10.1.2</w:t>
      </w:r>
      <w:r>
        <w:rPr>
          <w:rFonts w:hint="eastAsia"/>
          <w:snapToGrid w:val="0"/>
        </w:rPr>
        <w:t>本项目与《河南省环境保护厅关于深化建设项目环境影响评价审批制度改革的实施意见》（豫环文〔</w:t>
      </w:r>
      <w:r>
        <w:rPr>
          <w:rFonts w:hint="eastAsia"/>
          <w:snapToGrid w:val="0"/>
        </w:rPr>
        <w:t>2015</w:t>
      </w:r>
      <w:r>
        <w:rPr>
          <w:rFonts w:hint="eastAsia"/>
          <w:snapToGrid w:val="0"/>
        </w:rPr>
        <w:t>〕</w:t>
      </w:r>
      <w:r>
        <w:rPr>
          <w:rFonts w:hint="eastAsia"/>
          <w:snapToGrid w:val="0"/>
        </w:rPr>
        <w:t>33</w:t>
      </w:r>
      <w:r>
        <w:rPr>
          <w:rFonts w:hint="eastAsia"/>
          <w:snapToGrid w:val="0"/>
        </w:rPr>
        <w:t>号）相符性分析</w:t>
      </w:r>
    </w:p>
    <w:p w14:paraId="69A92884" w14:textId="77777777" w:rsidR="00E579B9" w:rsidRDefault="006A1398">
      <w:pPr>
        <w:pStyle w:val="21"/>
      </w:pPr>
      <w:r>
        <w:rPr>
          <w:rFonts w:hint="eastAsia"/>
        </w:rPr>
        <w:t>表</w:t>
      </w:r>
      <w:r>
        <w:t>10.1-1</w:t>
      </w:r>
      <w:r>
        <w:rPr>
          <w:rFonts w:hint="eastAsia"/>
        </w:rPr>
        <w:t>与（豫环文〔</w:t>
      </w:r>
      <w:r>
        <w:rPr>
          <w:rFonts w:hint="eastAsia"/>
        </w:rPr>
        <w:t>2015</w:t>
      </w:r>
      <w:r>
        <w:rPr>
          <w:rFonts w:hint="eastAsia"/>
        </w:rPr>
        <w:t>〕</w:t>
      </w:r>
      <w:r>
        <w:rPr>
          <w:rFonts w:hint="eastAsia"/>
        </w:rPr>
        <w:t>33</w:t>
      </w:r>
      <w:r>
        <w:rPr>
          <w:rFonts w:hint="eastAsia"/>
        </w:rPr>
        <w:t>号）相符性分析一览表</w:t>
      </w:r>
    </w:p>
    <w:tbl>
      <w:tblPr>
        <w:tblW w:w="868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4260"/>
        <w:gridCol w:w="3529"/>
        <w:gridCol w:w="896"/>
      </w:tblGrid>
      <w:tr w:rsidR="00E579B9" w14:paraId="5DC1D14E" w14:textId="77777777">
        <w:trPr>
          <w:trHeight w:val="695"/>
          <w:jc w:val="center"/>
        </w:trPr>
        <w:tc>
          <w:tcPr>
            <w:tcW w:w="4260" w:type="dxa"/>
            <w:vAlign w:val="center"/>
          </w:tcPr>
          <w:p w14:paraId="1984345C" w14:textId="77777777" w:rsidR="00E579B9" w:rsidRDefault="006A1398">
            <w:pPr>
              <w:pStyle w:val="aa"/>
              <w:rPr>
                <w:rFonts w:cs="Times New Roman"/>
              </w:rPr>
            </w:pPr>
            <w:r>
              <w:rPr>
                <w:rFonts w:cs="Times New Roman"/>
              </w:rPr>
              <w:t>豫环文</w:t>
            </w:r>
            <w:r>
              <w:rPr>
                <w:rFonts w:cs="Times New Roman"/>
              </w:rPr>
              <w:t>[2015]33</w:t>
            </w:r>
            <w:r>
              <w:rPr>
                <w:rFonts w:cs="Times New Roman"/>
              </w:rPr>
              <w:t>号相关要求</w:t>
            </w:r>
          </w:p>
        </w:tc>
        <w:tc>
          <w:tcPr>
            <w:tcW w:w="3529" w:type="dxa"/>
            <w:vAlign w:val="center"/>
          </w:tcPr>
          <w:p w14:paraId="7FD9702E" w14:textId="77777777" w:rsidR="00E579B9" w:rsidRDefault="006A1398">
            <w:pPr>
              <w:pStyle w:val="aa"/>
              <w:rPr>
                <w:rFonts w:cs="Times New Roman"/>
              </w:rPr>
            </w:pPr>
            <w:r>
              <w:rPr>
                <w:rFonts w:cs="Times New Roman"/>
              </w:rPr>
              <w:t>本项目特点</w:t>
            </w:r>
          </w:p>
        </w:tc>
        <w:tc>
          <w:tcPr>
            <w:tcW w:w="896" w:type="dxa"/>
            <w:vAlign w:val="center"/>
          </w:tcPr>
          <w:p w14:paraId="53B18ED8" w14:textId="77777777" w:rsidR="00E579B9" w:rsidRDefault="006A1398">
            <w:pPr>
              <w:pStyle w:val="aa"/>
              <w:rPr>
                <w:rFonts w:cs="Times New Roman"/>
              </w:rPr>
            </w:pPr>
            <w:r>
              <w:rPr>
                <w:rFonts w:cs="Times New Roman"/>
              </w:rPr>
              <w:t>相符性</w:t>
            </w:r>
          </w:p>
        </w:tc>
      </w:tr>
      <w:tr w:rsidR="00E579B9" w14:paraId="4D50AC6C" w14:textId="77777777">
        <w:trPr>
          <w:trHeight w:val="2905"/>
          <w:jc w:val="center"/>
        </w:trPr>
        <w:tc>
          <w:tcPr>
            <w:tcW w:w="4260" w:type="dxa"/>
            <w:vAlign w:val="center"/>
          </w:tcPr>
          <w:p w14:paraId="6F877932" w14:textId="77777777" w:rsidR="00E579B9" w:rsidRDefault="006A1398">
            <w:pPr>
              <w:pStyle w:val="aa"/>
              <w:rPr>
                <w:rFonts w:cs="Times New Roman"/>
              </w:rPr>
            </w:pPr>
            <w:r>
              <w:rPr>
                <w:rFonts w:cs="Times New Roman"/>
              </w:rPr>
              <w:t>驻马店市（驻马店市区、遂平县）属于重点开发区域。主体功能区划重点开发区域中城市、县城建成区，以及规划区中以居住、商贸、文教科研为主的区域，要以保障人居环境安全为目标，坚持重污染项目</w:t>
            </w:r>
            <w:r>
              <w:rPr>
                <w:rFonts w:cs="Times New Roman"/>
              </w:rPr>
              <w:t>“</w:t>
            </w:r>
            <w:r>
              <w:rPr>
                <w:rFonts w:cs="Times New Roman"/>
              </w:rPr>
              <w:t>只出不进</w:t>
            </w:r>
            <w:r>
              <w:rPr>
                <w:rFonts w:cs="Times New Roman"/>
              </w:rPr>
              <w:t>”</w:t>
            </w:r>
            <w:r>
              <w:rPr>
                <w:rFonts w:cs="Times New Roman"/>
              </w:rPr>
              <w:t>，严格控制工业开发活动，着力解决大气、水和噪声污染等城市突出环境问题，不断提升人居环境质量。</w:t>
            </w:r>
          </w:p>
        </w:tc>
        <w:tc>
          <w:tcPr>
            <w:tcW w:w="3529" w:type="dxa"/>
            <w:vAlign w:val="center"/>
          </w:tcPr>
          <w:p w14:paraId="3B416787" w14:textId="77777777" w:rsidR="00E579B9" w:rsidRDefault="006A1398">
            <w:pPr>
              <w:pStyle w:val="aa"/>
              <w:rPr>
                <w:rFonts w:cs="Times New Roman"/>
                <w:spacing w:val="-3"/>
              </w:rPr>
            </w:pPr>
            <w:r>
              <w:rPr>
                <w:rFonts w:cs="Times New Roman"/>
                <w:spacing w:val="-3"/>
              </w:rPr>
              <w:t>本项目位于驻马店市驿城区沙河店镇赵尧村。根据</w:t>
            </w:r>
            <w:r>
              <w:rPr>
                <w:rFonts w:cs="Times New Roman"/>
                <w:spacing w:val="-3"/>
              </w:rPr>
              <w:t>“</w:t>
            </w:r>
            <w:r>
              <w:rPr>
                <w:rFonts w:cs="Times New Roman"/>
                <w:spacing w:val="-3"/>
              </w:rPr>
              <w:t>豫环文</w:t>
            </w:r>
            <w:r>
              <w:rPr>
                <w:rFonts w:cs="Times New Roman"/>
                <w:spacing w:val="-3"/>
              </w:rPr>
              <w:t>[2015]33</w:t>
            </w:r>
            <w:r>
              <w:rPr>
                <w:rFonts w:cs="Times New Roman"/>
                <w:spacing w:val="-3"/>
              </w:rPr>
              <w:t>号</w:t>
            </w:r>
            <w:r>
              <w:rPr>
                <w:rFonts w:cs="Times New Roman"/>
                <w:spacing w:val="-3"/>
              </w:rPr>
              <w:t>”</w:t>
            </w:r>
            <w:r>
              <w:rPr>
                <w:rFonts w:cs="Times New Roman"/>
                <w:spacing w:val="-3"/>
              </w:rPr>
              <w:t>文中对河南省主体功能分区分类，属于重点开发区域。</w:t>
            </w:r>
          </w:p>
          <w:p w14:paraId="572D8354" w14:textId="77777777" w:rsidR="00E579B9" w:rsidRDefault="00E579B9">
            <w:pPr>
              <w:pStyle w:val="aa"/>
              <w:rPr>
                <w:rFonts w:cs="Times New Roman"/>
                <w:kern w:val="0"/>
              </w:rPr>
            </w:pPr>
          </w:p>
        </w:tc>
        <w:tc>
          <w:tcPr>
            <w:tcW w:w="896" w:type="dxa"/>
            <w:vAlign w:val="center"/>
          </w:tcPr>
          <w:p w14:paraId="08140CD4" w14:textId="77777777" w:rsidR="00E579B9" w:rsidRDefault="00E579B9">
            <w:pPr>
              <w:pStyle w:val="aa"/>
              <w:rPr>
                <w:rFonts w:cs="Times New Roman"/>
                <w:b/>
                <w:bCs/>
              </w:rPr>
            </w:pPr>
          </w:p>
          <w:p w14:paraId="043CD64B" w14:textId="77777777" w:rsidR="00E579B9" w:rsidRDefault="00E579B9">
            <w:pPr>
              <w:pStyle w:val="aa"/>
              <w:rPr>
                <w:rFonts w:cs="Times New Roman"/>
                <w:b/>
                <w:bCs/>
              </w:rPr>
            </w:pPr>
          </w:p>
          <w:p w14:paraId="2CF5B458" w14:textId="77777777" w:rsidR="00E579B9" w:rsidRDefault="00E579B9">
            <w:pPr>
              <w:pStyle w:val="aa"/>
              <w:rPr>
                <w:rFonts w:cs="Times New Roman"/>
                <w:b/>
                <w:bCs/>
              </w:rPr>
            </w:pPr>
          </w:p>
          <w:p w14:paraId="6914572D" w14:textId="77777777" w:rsidR="00E579B9" w:rsidRDefault="00E579B9">
            <w:pPr>
              <w:pStyle w:val="aa"/>
              <w:rPr>
                <w:rFonts w:cs="Times New Roman"/>
                <w:b/>
                <w:bCs/>
              </w:rPr>
            </w:pPr>
          </w:p>
          <w:p w14:paraId="4C6156ED" w14:textId="77777777" w:rsidR="00E579B9" w:rsidRDefault="006A1398">
            <w:pPr>
              <w:pStyle w:val="aa"/>
              <w:rPr>
                <w:rFonts w:cs="Times New Roman"/>
              </w:rPr>
            </w:pPr>
            <w:r>
              <w:rPr>
                <w:rFonts w:cs="Times New Roman"/>
              </w:rPr>
              <w:t>相符</w:t>
            </w:r>
          </w:p>
        </w:tc>
      </w:tr>
      <w:tr w:rsidR="00E579B9" w14:paraId="40ED4489" w14:textId="77777777">
        <w:trPr>
          <w:trHeight w:val="1210"/>
          <w:jc w:val="center"/>
        </w:trPr>
        <w:tc>
          <w:tcPr>
            <w:tcW w:w="4260" w:type="dxa"/>
            <w:vAlign w:val="center"/>
          </w:tcPr>
          <w:p w14:paraId="2AF37B69" w14:textId="77777777" w:rsidR="00E579B9" w:rsidRDefault="006A1398">
            <w:pPr>
              <w:pStyle w:val="aa"/>
              <w:rPr>
                <w:rFonts w:cs="Times New Roman"/>
              </w:rPr>
            </w:pPr>
            <w:r>
              <w:rPr>
                <w:rFonts w:cs="Times New Roman"/>
              </w:rPr>
              <w:t>取消部分审批事项。对《建设项目环境影响评价豁免管理名录》中的水利、农林牧渔、交通设施、社会事业与服务业等</w:t>
            </w:r>
            <w:r>
              <w:rPr>
                <w:rFonts w:cs="Times New Roman"/>
              </w:rPr>
              <w:t>4</w:t>
            </w:r>
            <w:r>
              <w:rPr>
                <w:rFonts w:cs="Times New Roman"/>
              </w:rPr>
              <w:t>类项目实施豁免，不需办理环评手续。</w:t>
            </w:r>
          </w:p>
        </w:tc>
        <w:tc>
          <w:tcPr>
            <w:tcW w:w="3529" w:type="dxa"/>
            <w:vAlign w:val="center"/>
          </w:tcPr>
          <w:p w14:paraId="59D22C42" w14:textId="77777777" w:rsidR="00E579B9" w:rsidRDefault="006A1398">
            <w:pPr>
              <w:pStyle w:val="aa"/>
              <w:rPr>
                <w:rFonts w:cs="Times New Roman"/>
              </w:rPr>
            </w:pPr>
            <w:r>
              <w:rPr>
                <w:rFonts w:cs="Times New Roman"/>
                <w:spacing w:val="-3"/>
              </w:rPr>
              <w:t>项目为矿山开采，不属于《建设项目环境影响评价豁免管理名录》中的豁</w:t>
            </w:r>
            <w:r>
              <w:rPr>
                <w:rFonts w:cs="Times New Roman"/>
              </w:rPr>
              <w:t>免项目</w:t>
            </w:r>
          </w:p>
        </w:tc>
        <w:tc>
          <w:tcPr>
            <w:tcW w:w="896" w:type="dxa"/>
            <w:vAlign w:val="center"/>
          </w:tcPr>
          <w:p w14:paraId="6EF8B3E5" w14:textId="77777777" w:rsidR="00E579B9" w:rsidRDefault="00E579B9">
            <w:pPr>
              <w:pStyle w:val="aa"/>
              <w:rPr>
                <w:rFonts w:cs="Times New Roman"/>
                <w:b/>
                <w:bCs/>
              </w:rPr>
            </w:pPr>
          </w:p>
          <w:p w14:paraId="561A42D0" w14:textId="77777777" w:rsidR="00E579B9" w:rsidRDefault="00E579B9">
            <w:pPr>
              <w:pStyle w:val="aa"/>
              <w:rPr>
                <w:rFonts w:cs="Times New Roman"/>
                <w:b/>
                <w:bCs/>
              </w:rPr>
            </w:pPr>
          </w:p>
          <w:p w14:paraId="488211AF" w14:textId="77777777" w:rsidR="00E579B9" w:rsidRDefault="006A1398">
            <w:pPr>
              <w:pStyle w:val="aa"/>
              <w:rPr>
                <w:rFonts w:cs="Times New Roman"/>
              </w:rPr>
            </w:pPr>
            <w:r>
              <w:rPr>
                <w:rFonts w:cs="Times New Roman"/>
              </w:rPr>
              <w:t>相符</w:t>
            </w:r>
          </w:p>
        </w:tc>
      </w:tr>
      <w:tr w:rsidR="00E579B9" w14:paraId="22D4991F" w14:textId="77777777">
        <w:trPr>
          <w:trHeight w:val="3295"/>
          <w:jc w:val="center"/>
        </w:trPr>
        <w:tc>
          <w:tcPr>
            <w:tcW w:w="4260" w:type="dxa"/>
            <w:vAlign w:val="center"/>
          </w:tcPr>
          <w:p w14:paraId="696B0D11" w14:textId="77777777" w:rsidR="00E579B9" w:rsidRDefault="006A1398">
            <w:pPr>
              <w:pStyle w:val="aa"/>
              <w:rPr>
                <w:rFonts w:cs="Times New Roman"/>
              </w:rPr>
            </w:pPr>
            <w:r>
              <w:rPr>
                <w:rFonts w:cs="Times New Roman"/>
              </w:rPr>
              <w:lastRenderedPageBreak/>
              <w:t>简化部分审批程序。对填报环境影响登记表的项目，环评文件由审批制改为备案制，即报即受理，现场办结。对编制环境影响报告表的项目，简化审批手续，即报即受理。</w:t>
            </w:r>
          </w:p>
        </w:tc>
        <w:tc>
          <w:tcPr>
            <w:tcW w:w="3529" w:type="dxa"/>
            <w:vAlign w:val="center"/>
          </w:tcPr>
          <w:p w14:paraId="4AE12216" w14:textId="77777777" w:rsidR="00E579B9" w:rsidRDefault="006A1398">
            <w:pPr>
              <w:pStyle w:val="aa"/>
              <w:rPr>
                <w:rFonts w:cs="Times New Roman"/>
              </w:rPr>
            </w:pPr>
            <w:r>
              <w:rPr>
                <w:rFonts w:cs="Times New Roman"/>
                <w:spacing w:val="-3"/>
              </w:rPr>
              <w:t>根据《建设项目环境影响评价分类管</w:t>
            </w:r>
          </w:p>
          <w:p w14:paraId="39E588D3" w14:textId="77777777" w:rsidR="00E579B9" w:rsidRDefault="006A1398">
            <w:pPr>
              <w:pStyle w:val="aa"/>
              <w:rPr>
                <w:rFonts w:cs="Times New Roman"/>
              </w:rPr>
            </w:pPr>
            <w:r>
              <w:rPr>
                <w:rFonts w:cs="Times New Roman"/>
                <w:spacing w:val="-3"/>
              </w:rPr>
              <w:t>理名录》（环境保护部令第</w:t>
            </w:r>
            <w:r>
              <w:rPr>
                <w:rFonts w:cs="Times New Roman"/>
                <w:spacing w:val="-3"/>
              </w:rPr>
              <w:t>44</w:t>
            </w:r>
            <w:r>
              <w:rPr>
                <w:rFonts w:cs="Times New Roman"/>
                <w:spacing w:val="-3"/>
              </w:rPr>
              <w:t>号）及</w:t>
            </w:r>
          </w:p>
          <w:p w14:paraId="35BED088" w14:textId="77777777" w:rsidR="00E579B9" w:rsidRDefault="006A1398">
            <w:pPr>
              <w:pStyle w:val="aa"/>
              <w:rPr>
                <w:rFonts w:cs="Times New Roman"/>
              </w:rPr>
            </w:pPr>
            <w:r>
              <w:rPr>
                <w:rFonts w:cs="Times New Roman"/>
              </w:rPr>
              <w:t>《关于修改</w:t>
            </w:r>
            <w:r>
              <w:rPr>
                <w:rFonts w:cs="Times New Roman"/>
              </w:rPr>
              <w:t>&lt;</w:t>
            </w:r>
            <w:r>
              <w:rPr>
                <w:rFonts w:cs="Times New Roman"/>
              </w:rPr>
              <w:t>建设项目环境影响评价</w:t>
            </w:r>
          </w:p>
          <w:p w14:paraId="7452CEFD" w14:textId="77777777" w:rsidR="00E579B9" w:rsidRDefault="006A1398">
            <w:pPr>
              <w:pStyle w:val="aa"/>
              <w:rPr>
                <w:rFonts w:cs="Times New Roman"/>
              </w:rPr>
            </w:pPr>
            <w:r>
              <w:rPr>
                <w:rFonts w:cs="Times New Roman"/>
                <w:spacing w:val="-10"/>
              </w:rPr>
              <w:t>分类管理名录</w:t>
            </w:r>
            <w:r>
              <w:rPr>
                <w:rFonts w:cs="Times New Roman"/>
                <w:spacing w:val="-10"/>
              </w:rPr>
              <w:t>&gt;</w:t>
            </w:r>
            <w:r>
              <w:rPr>
                <w:rFonts w:cs="Times New Roman"/>
                <w:spacing w:val="-10"/>
              </w:rPr>
              <w:t>部分内容的决定》（生</w:t>
            </w:r>
            <w:r>
              <w:rPr>
                <w:rFonts w:cs="Times New Roman"/>
              </w:rPr>
              <w:t>态环境部令第</w:t>
            </w:r>
            <w:r>
              <w:rPr>
                <w:rFonts w:cs="Times New Roman"/>
              </w:rPr>
              <w:t>1</w:t>
            </w:r>
            <w:r>
              <w:rPr>
                <w:rFonts w:cs="Times New Roman"/>
              </w:rPr>
              <w:t>号），本项目属于四十五非金属矿采选业</w:t>
            </w:r>
            <w:r>
              <w:rPr>
                <w:rFonts w:cs="Times New Roman"/>
              </w:rPr>
              <w:t>”</w:t>
            </w:r>
            <w:r>
              <w:rPr>
                <w:rFonts w:cs="Times New Roman"/>
              </w:rPr>
              <w:t>中的</w:t>
            </w:r>
            <w:r>
              <w:rPr>
                <w:rFonts w:cs="Times New Roman"/>
              </w:rPr>
              <w:t>140</w:t>
            </w:r>
            <w:r>
              <w:rPr>
                <w:rFonts w:eastAsiaTheme="minorEastAsia" w:cs="Times New Roman"/>
              </w:rPr>
              <w:t>、石棉及其他非金属矿采选</w:t>
            </w:r>
            <w:r>
              <w:rPr>
                <w:rFonts w:cs="Times New Roman"/>
                <w:spacing w:val="-3"/>
              </w:rPr>
              <w:t>，本项目应编制环境影</w:t>
            </w:r>
            <w:r>
              <w:rPr>
                <w:rFonts w:cs="Times New Roman"/>
              </w:rPr>
              <w:t>响报告书。</w:t>
            </w:r>
          </w:p>
        </w:tc>
        <w:tc>
          <w:tcPr>
            <w:tcW w:w="896" w:type="dxa"/>
            <w:vAlign w:val="center"/>
          </w:tcPr>
          <w:p w14:paraId="27DBBB18" w14:textId="77777777" w:rsidR="00E579B9" w:rsidRDefault="00E579B9">
            <w:pPr>
              <w:pStyle w:val="aa"/>
              <w:rPr>
                <w:rFonts w:cs="Times New Roman"/>
                <w:b/>
                <w:bCs/>
              </w:rPr>
            </w:pPr>
          </w:p>
          <w:p w14:paraId="33A552DF" w14:textId="77777777" w:rsidR="00E579B9" w:rsidRDefault="00E579B9">
            <w:pPr>
              <w:pStyle w:val="aa"/>
              <w:rPr>
                <w:rFonts w:cs="Times New Roman"/>
                <w:b/>
                <w:bCs/>
              </w:rPr>
            </w:pPr>
          </w:p>
          <w:p w14:paraId="686915F7" w14:textId="77777777" w:rsidR="00E579B9" w:rsidRDefault="00E579B9">
            <w:pPr>
              <w:pStyle w:val="aa"/>
              <w:rPr>
                <w:rFonts w:cs="Times New Roman"/>
                <w:b/>
                <w:bCs/>
              </w:rPr>
            </w:pPr>
          </w:p>
          <w:p w14:paraId="227CA695" w14:textId="77777777" w:rsidR="00E579B9" w:rsidRDefault="00E579B9">
            <w:pPr>
              <w:pStyle w:val="aa"/>
              <w:rPr>
                <w:rFonts w:cs="Times New Roman"/>
                <w:b/>
                <w:bCs/>
              </w:rPr>
            </w:pPr>
          </w:p>
          <w:p w14:paraId="230F73A7" w14:textId="77777777" w:rsidR="00E579B9" w:rsidRDefault="006A1398">
            <w:pPr>
              <w:pStyle w:val="aa"/>
              <w:rPr>
                <w:rFonts w:cs="Times New Roman"/>
              </w:rPr>
            </w:pPr>
            <w:r>
              <w:rPr>
                <w:rFonts w:cs="Times New Roman"/>
              </w:rPr>
              <w:t>相符</w:t>
            </w:r>
          </w:p>
        </w:tc>
      </w:tr>
    </w:tbl>
    <w:p w14:paraId="510310BA" w14:textId="77777777" w:rsidR="00E579B9" w:rsidRDefault="006A1398">
      <w:r>
        <w:rPr>
          <w:rFonts w:hint="eastAsia"/>
        </w:rPr>
        <w:t>经分析比较，本项目建设符合《河南省环境保护厅关于深化建设项目环境影响评价审批制度改革的实施意见》（豫</w:t>
      </w:r>
      <w:r>
        <w:t>环文〔</w:t>
      </w:r>
      <w:r>
        <w:t>2015</w:t>
      </w:r>
      <w:r>
        <w:t>〕</w:t>
      </w:r>
      <w:r>
        <w:t>33</w:t>
      </w:r>
      <w:r>
        <w:t>号</w:t>
      </w:r>
      <w:r>
        <w:rPr>
          <w:rFonts w:hint="eastAsia"/>
        </w:rPr>
        <w:t>）相关要求。</w:t>
      </w:r>
    </w:p>
    <w:p w14:paraId="7DA5A0EF" w14:textId="77777777" w:rsidR="00E579B9" w:rsidRDefault="006A1398">
      <w:pPr>
        <w:keepNext/>
        <w:keepLines/>
        <w:widowControl w:val="0"/>
        <w:spacing w:beforeLines="50" w:before="120" w:afterLines="50" w:after="120" w:line="520" w:lineRule="exact"/>
        <w:ind w:firstLineChars="0" w:firstLine="0"/>
        <w:jc w:val="both"/>
        <w:outlineLvl w:val="2"/>
        <w:rPr>
          <w:rFonts w:ascii="楷体_GB2312" w:eastAsia="楷体_GB2312" w:cs="Times New Roman"/>
          <w:kern w:val="0"/>
          <w:sz w:val="28"/>
          <w:szCs w:val="28"/>
        </w:rPr>
      </w:pPr>
      <w:r>
        <w:rPr>
          <w:rFonts w:ascii="楷体_GB2312" w:eastAsia="楷体_GB2312" w:cs="Times New Roman"/>
          <w:kern w:val="0"/>
          <w:sz w:val="28"/>
          <w:szCs w:val="28"/>
        </w:rPr>
        <w:t>10.1.</w:t>
      </w:r>
      <w:r>
        <w:rPr>
          <w:rFonts w:ascii="楷体_GB2312" w:eastAsia="楷体_GB2312" w:cs="Times New Roman" w:hint="eastAsia"/>
          <w:kern w:val="0"/>
          <w:sz w:val="28"/>
          <w:szCs w:val="28"/>
        </w:rPr>
        <w:t>3《河南省生态保护红线划定方案》</w:t>
      </w:r>
    </w:p>
    <w:p w14:paraId="561BEA35" w14:textId="77777777" w:rsidR="00E579B9" w:rsidRDefault="006A1398">
      <w:pPr>
        <w:widowControl w:val="0"/>
        <w:spacing w:line="520" w:lineRule="exact"/>
        <w:jc w:val="both"/>
        <w:rPr>
          <w:rFonts w:cs="Times New Roman"/>
          <w:szCs w:val="24"/>
        </w:rPr>
      </w:pPr>
      <w:r>
        <w:rPr>
          <w:rFonts w:ascii="宋体" w:hAnsi="宋体" w:cs="Times New Roman" w:hint="eastAsia"/>
          <w:szCs w:val="24"/>
        </w:rPr>
        <w:t>根据《河南省生态保护红线划定方案》，</w:t>
      </w:r>
      <w:r>
        <w:rPr>
          <w:rFonts w:ascii="宋体" w:hAnsi="宋体" w:cs="Times New Roman"/>
          <w:szCs w:val="24"/>
        </w:rPr>
        <w:t>按照国家要求，结合</w:t>
      </w:r>
      <w:r>
        <w:rPr>
          <w:rFonts w:ascii="宋体" w:hAnsi="宋体" w:cs="Times New Roman" w:hint="eastAsia"/>
          <w:szCs w:val="24"/>
        </w:rPr>
        <w:t>河南</w:t>
      </w:r>
      <w:r>
        <w:rPr>
          <w:rFonts w:ascii="宋体" w:hAnsi="宋体" w:cs="Times New Roman"/>
          <w:szCs w:val="24"/>
        </w:rPr>
        <w:t>省实际，根据生态系统服务功能类型及其空间分布特征，按</w:t>
      </w:r>
      <w:r>
        <w:rPr>
          <w:rFonts w:cs="Times New Roman"/>
          <w:szCs w:val="24"/>
        </w:rPr>
        <w:t>3</w:t>
      </w:r>
      <w:r>
        <w:rPr>
          <w:rFonts w:ascii="宋体" w:hAnsi="宋体" w:cs="Times New Roman"/>
          <w:szCs w:val="24"/>
        </w:rPr>
        <w:t>大类型划分生态保护红线区，分别为水源涵养生态保护红线类型区、生物多样性维护生态保护红线类型区和土壤保持生态保护红线类型区。</w:t>
      </w:r>
    </w:p>
    <w:p w14:paraId="07F4D6FD" w14:textId="77777777" w:rsidR="00E579B9" w:rsidRDefault="006A1398">
      <w:pPr>
        <w:widowControl w:val="0"/>
        <w:spacing w:line="520" w:lineRule="exact"/>
        <w:jc w:val="both"/>
        <w:rPr>
          <w:rFonts w:cs="Times New Roman"/>
          <w:szCs w:val="24"/>
        </w:rPr>
      </w:pPr>
      <w:r>
        <w:rPr>
          <w:rFonts w:ascii="宋体" w:hAnsi="宋体" w:cs="Times New Roman"/>
          <w:szCs w:val="24"/>
        </w:rPr>
        <w:t>水源涵养生态保护红线类型区为重要河流与湖库的水源补给区，主要包括有重要水源涵养功能的山地、森林、河流、大型水库、饮用水水源保护区等。</w:t>
      </w:r>
    </w:p>
    <w:p w14:paraId="56E85252" w14:textId="77777777" w:rsidR="00E579B9" w:rsidRDefault="006A1398">
      <w:pPr>
        <w:widowControl w:val="0"/>
        <w:spacing w:line="520" w:lineRule="exact"/>
        <w:jc w:val="both"/>
        <w:rPr>
          <w:rFonts w:cs="Times New Roman"/>
          <w:szCs w:val="24"/>
        </w:rPr>
      </w:pPr>
      <w:r>
        <w:rPr>
          <w:rFonts w:ascii="宋体" w:hAnsi="宋体" w:cs="Times New Roman"/>
          <w:szCs w:val="24"/>
        </w:rPr>
        <w:t>生物多样性维护生态保护红线类型区为重要保护动植物的集中分布区，以及典型生态系统分布区，主要包括自然保护区等生物多样性丰富的地区。</w:t>
      </w:r>
    </w:p>
    <w:p w14:paraId="29AAE649" w14:textId="77777777" w:rsidR="00E579B9" w:rsidRDefault="006A1398">
      <w:pPr>
        <w:widowControl w:val="0"/>
        <w:spacing w:line="520" w:lineRule="exact"/>
        <w:jc w:val="both"/>
        <w:rPr>
          <w:rFonts w:cs="Times New Roman"/>
          <w:szCs w:val="24"/>
        </w:rPr>
      </w:pPr>
      <w:r>
        <w:rPr>
          <w:rFonts w:ascii="宋体" w:hAnsi="宋体" w:cs="Times New Roman"/>
          <w:szCs w:val="24"/>
        </w:rPr>
        <w:t>土壤保持生态保护红线类型区为生态系统在保持水土、减少土壤侵蚀能力突出的区域。</w:t>
      </w:r>
    </w:p>
    <w:p w14:paraId="1C5157D6" w14:textId="77777777" w:rsidR="00E579B9" w:rsidRDefault="006A1398">
      <w:pPr>
        <w:widowControl w:val="0"/>
        <w:spacing w:line="520" w:lineRule="exact"/>
        <w:jc w:val="both"/>
        <w:rPr>
          <w:rFonts w:cs="Times New Roman"/>
          <w:szCs w:val="24"/>
        </w:rPr>
      </w:pPr>
      <w:r>
        <w:rPr>
          <w:rFonts w:ascii="宋体" w:hAnsi="宋体" w:cs="Times New Roman"/>
          <w:szCs w:val="24"/>
        </w:rPr>
        <w:t>根据保护和管理的严格程度，我省的生态保护红线区分为一类管控区和二类管控区。一类管控区包括饮用水水源保护区的一级区和自然保护区的核心区及缓冲区</w:t>
      </w:r>
      <w:r>
        <w:rPr>
          <w:rFonts w:ascii="宋体" w:hAnsi="宋体" w:cs="Times New Roman" w:hint="eastAsia"/>
          <w:szCs w:val="24"/>
        </w:rPr>
        <w:t>；</w:t>
      </w:r>
      <w:r>
        <w:rPr>
          <w:rFonts w:ascii="宋体" w:hAnsi="宋体" w:cs="Times New Roman"/>
          <w:szCs w:val="24"/>
        </w:rPr>
        <w:t>二类管控区包括一类管控区外的其他生态保护红线区。一类管控区是生态保护的核心，作为禁建区，一类管控区内，实行最严格的管控措施，除必要的科学实验、教学研究以及供水、防洪等民生工程需要外，禁止任何形式与生态保护无关的开发建</w:t>
      </w:r>
      <w:r>
        <w:rPr>
          <w:rFonts w:ascii="宋体" w:hAnsi="宋体" w:cs="Times New Roman"/>
          <w:szCs w:val="24"/>
        </w:rPr>
        <w:lastRenderedPageBreak/>
        <w:t>设活动。一类管控区内应逐步清退与生态保护无关的项目，并恢复生态功能，其中对生态保护存在不利影响、具有潜在威胁的项目，应立即清退。二类管控区是生态保护重要区域，应以生态维护为重点，作为限建区，禁止对主导生态功能产生破坏的开发建设活动。二类管控区内，实行负面清单管理制度，根据红线区主导生态功能维护需求，制定禁止性和限制性开发建设活动清单，确保二类管控区保护性质不转换、生态功能不降低、空间范围不减少。</w:t>
      </w:r>
    </w:p>
    <w:p w14:paraId="77A373FF" w14:textId="77777777" w:rsidR="00E579B9" w:rsidRDefault="006A1398">
      <w:r>
        <w:rPr>
          <w:rFonts w:hint="eastAsia"/>
        </w:rPr>
        <w:t>本项目位于驻马店市驿城区沙河店镇赵尧村，根据《河南省生态保护红线划定方案》（</w:t>
      </w:r>
      <w:r>
        <w:rPr>
          <w:rFonts w:hint="eastAsia"/>
        </w:rPr>
        <w:t>2</w:t>
      </w:r>
      <w:r>
        <w:t>018</w:t>
      </w:r>
      <w:r>
        <w:rPr>
          <w:rFonts w:hint="eastAsia"/>
        </w:rPr>
        <w:t>年</w:t>
      </w:r>
      <w:r>
        <w:rPr>
          <w:rFonts w:hint="eastAsia"/>
        </w:rPr>
        <w:t>1</w:t>
      </w:r>
      <w:r>
        <w:t>0</w:t>
      </w:r>
      <w:r>
        <w:rPr>
          <w:rFonts w:hint="eastAsia"/>
        </w:rPr>
        <w:t>月），距离本项目较近的生态红线保护区为洪河水源涵养生态保护红线区和汝河水源涵养生态保护红线区。</w:t>
      </w:r>
    </w:p>
    <w:p w14:paraId="54A5F3DF" w14:textId="77777777" w:rsidR="00E579B9" w:rsidRDefault="006A1398">
      <w:r>
        <w:rPr>
          <w:rFonts w:hint="eastAsia"/>
        </w:rPr>
        <w:t>洪河水源涵养生态保护红线区总面积</w:t>
      </w:r>
      <w:r>
        <w:t>187.94</w:t>
      </w:r>
      <w:r>
        <w:rPr>
          <w:rFonts w:hint="eastAsia"/>
        </w:rPr>
        <w:t>km</w:t>
      </w:r>
      <w:r>
        <w:rPr>
          <w:rFonts w:hint="eastAsia"/>
          <w:vertAlign w:val="superscript"/>
        </w:rPr>
        <w:t>2</w:t>
      </w:r>
      <w:r>
        <w:rPr>
          <w:rFonts w:hint="eastAsia"/>
        </w:rPr>
        <w:t>，红线区</w:t>
      </w:r>
      <w:r>
        <w:t>位置：</w:t>
      </w:r>
      <w:r>
        <w:rPr>
          <w:rFonts w:hint="eastAsia"/>
        </w:rPr>
        <w:t>平顶山市舞钢市，驻马店市西平县、遂平县境内田岗水库、石漫滩水库上游汇水区；主要包括田岗水库、石漫滩水库等饮用水水保护区及周边公益林。</w:t>
      </w:r>
    </w:p>
    <w:p w14:paraId="7D89A420" w14:textId="77777777" w:rsidR="00E579B9" w:rsidRDefault="006A1398">
      <w:pPr>
        <w:rPr>
          <w:color w:val="FF0000"/>
        </w:rPr>
      </w:pPr>
      <w:r>
        <w:rPr>
          <w:rFonts w:hint="eastAsia"/>
        </w:rPr>
        <w:t>汝河水源涵养生态保护红线区总面积</w:t>
      </w:r>
      <w:r>
        <w:t>560.89</w:t>
      </w:r>
      <w:r>
        <w:rPr>
          <w:rFonts w:hint="eastAsia"/>
        </w:rPr>
        <w:t>km</w:t>
      </w:r>
      <w:r>
        <w:rPr>
          <w:rFonts w:hint="eastAsia"/>
          <w:vertAlign w:val="superscript"/>
        </w:rPr>
        <w:t>2</w:t>
      </w:r>
      <w:r>
        <w:rPr>
          <w:rFonts w:hint="eastAsia"/>
        </w:rPr>
        <w:t>，红线区位置：驻马店市泌阳县、确山县、遂平县境内汝河汇水区；主要包括驻马店市板桥水库、确山县薄山水库等饮用水水源保护区，以及板桥水库上游生态公益林。</w:t>
      </w:r>
    </w:p>
    <w:p w14:paraId="246A51F8" w14:textId="77777777" w:rsidR="00E579B9" w:rsidRDefault="006A1398">
      <w:r>
        <w:rPr>
          <w:rFonts w:hint="eastAsia"/>
        </w:rPr>
        <w:t>本项目位于汝河水源涵养生态保护红线的南部，距离约</w:t>
      </w:r>
      <w:r>
        <w:rPr>
          <w:color w:val="FF0000"/>
        </w:rPr>
        <w:t>2</w:t>
      </w:r>
      <w:r>
        <w:rPr>
          <w:rFonts w:hint="eastAsia"/>
          <w:color w:val="FF0000"/>
        </w:rPr>
        <w:t>km</w:t>
      </w:r>
      <w:r>
        <w:rPr>
          <w:rFonts w:hint="eastAsia"/>
        </w:rPr>
        <w:t>。本项目不在管控区范围内。因此，本项目评价范围不涉及生态红线保护区域，不会导致生态红线区域生态服务功能下降。本项目符合河南省生态红线区域保护规划。</w:t>
      </w:r>
    </w:p>
    <w:p w14:paraId="1DD751C4" w14:textId="77777777" w:rsidR="00E579B9" w:rsidRDefault="006A1398">
      <w:pPr>
        <w:pStyle w:val="3"/>
        <w:ind w:firstLine="560"/>
      </w:pPr>
      <w:r>
        <w:rPr>
          <w:rFonts w:hint="eastAsia"/>
        </w:rPr>
        <w:t>10.1.4</w:t>
      </w:r>
      <w:bookmarkStart w:id="490" w:name="_Toc535847418"/>
      <w:r>
        <w:rPr>
          <w:rFonts w:hint="eastAsia"/>
        </w:rPr>
        <w:t>“三线一单”及环境准入条件的相符性分析</w:t>
      </w:r>
      <w:bookmarkEnd w:id="490"/>
    </w:p>
    <w:p w14:paraId="6868884B" w14:textId="77777777" w:rsidR="00E579B9" w:rsidRDefault="006A1398">
      <w:r>
        <w:t>根据环境保护部关于印发《</w:t>
      </w:r>
      <w:r>
        <w:t>“</w:t>
      </w:r>
      <w:r>
        <w:t>十三五</w:t>
      </w:r>
      <w:r>
        <w:t>”</w:t>
      </w:r>
      <w:r>
        <w:t>环境影响评价改革实施方案》</w:t>
      </w:r>
      <w:r>
        <w:rPr>
          <w:rFonts w:hint="eastAsia"/>
        </w:rPr>
        <w:t>（环环评</w:t>
      </w:r>
      <w:r>
        <w:rPr>
          <w:rFonts w:hint="eastAsia"/>
          <w:snapToGrid w:val="0"/>
          <w:szCs w:val="24"/>
        </w:rPr>
        <w:t>〔</w:t>
      </w:r>
      <w:r>
        <w:rPr>
          <w:rFonts w:hint="eastAsia"/>
          <w:snapToGrid w:val="0"/>
          <w:szCs w:val="24"/>
        </w:rPr>
        <w:t>201</w:t>
      </w:r>
      <w:r>
        <w:rPr>
          <w:snapToGrid w:val="0"/>
          <w:szCs w:val="24"/>
        </w:rPr>
        <w:t>6</w:t>
      </w:r>
      <w:r>
        <w:rPr>
          <w:rFonts w:hint="eastAsia"/>
          <w:snapToGrid w:val="0"/>
          <w:szCs w:val="24"/>
        </w:rPr>
        <w:t>〕</w:t>
      </w:r>
      <w:r>
        <w:rPr>
          <w:rFonts w:hint="eastAsia"/>
        </w:rPr>
        <w:t>95</w:t>
      </w:r>
      <w:r>
        <w:rPr>
          <w:rFonts w:hint="eastAsia"/>
        </w:rPr>
        <w:t>号）</w:t>
      </w:r>
      <w:r>
        <w:t>的通知，</w:t>
      </w:r>
      <w:r>
        <w:t>“</w:t>
      </w:r>
      <w:r>
        <w:t>以改善环境质量为核心，以全面提高环评有效性为主线，以创新体制机制</w:t>
      </w:r>
      <w:r>
        <w:t>”</w:t>
      </w:r>
      <w:r>
        <w:t>为动力，以</w:t>
      </w:r>
      <w:r>
        <w:t>“</w:t>
      </w:r>
      <w:r>
        <w:t>生态保护红线、环境质量底线、资源利用上线和环境准入负面清单</w:t>
      </w:r>
      <w:r>
        <w:t>”</w:t>
      </w:r>
      <w:r>
        <w:t>为手段，强化空间、总量、准入环境管理，划框子、定规则、查落实、强基础，不断改进和完善依法、科学、公开、廉洁、高效的环评管理体系。</w:t>
      </w:r>
    </w:p>
    <w:p w14:paraId="0D419904" w14:textId="77777777" w:rsidR="00E579B9" w:rsidRDefault="006A1398">
      <w:pPr>
        <w:rPr>
          <w:snapToGrid w:val="0"/>
        </w:rPr>
      </w:pPr>
      <w:r>
        <w:rPr>
          <w:snapToGrid w:val="0"/>
        </w:rPr>
        <w:t>10.1.4.1</w:t>
      </w:r>
      <w:r>
        <w:rPr>
          <w:rFonts w:hint="eastAsia"/>
          <w:snapToGrid w:val="0"/>
        </w:rPr>
        <w:t>生态保护红线</w:t>
      </w:r>
    </w:p>
    <w:p w14:paraId="2897D3EB" w14:textId="77777777" w:rsidR="00E579B9" w:rsidRDefault="006A1398">
      <w:r>
        <w:rPr>
          <w:rFonts w:hint="eastAsia"/>
        </w:rPr>
        <w:lastRenderedPageBreak/>
        <w:t>本项目评价范围不涉及生态红线保护区域，不会导致生态红线区域生态服务功能下降。本项目符合河南省生态红线区域保护规划。</w:t>
      </w:r>
    </w:p>
    <w:p w14:paraId="63A9B151" w14:textId="77777777" w:rsidR="00E579B9" w:rsidRDefault="006A1398">
      <w:pPr>
        <w:rPr>
          <w:snapToGrid w:val="0"/>
        </w:rPr>
      </w:pPr>
      <w:r>
        <w:rPr>
          <w:snapToGrid w:val="0"/>
        </w:rPr>
        <w:t>10.1.4.2</w:t>
      </w:r>
      <w:r>
        <w:rPr>
          <w:rFonts w:hint="eastAsia"/>
          <w:snapToGrid w:val="0"/>
        </w:rPr>
        <w:t>环境质量底线</w:t>
      </w:r>
    </w:p>
    <w:p w14:paraId="00044D31" w14:textId="77777777" w:rsidR="00E579B9" w:rsidRDefault="006A1398">
      <w:r>
        <w:t>201</w:t>
      </w:r>
      <w:r>
        <w:rPr>
          <w:rFonts w:hint="eastAsia"/>
        </w:rPr>
        <w:t>8</w:t>
      </w:r>
      <w:r>
        <w:t>年</w:t>
      </w:r>
      <w:r>
        <w:rPr>
          <w:rFonts w:hint="eastAsia"/>
        </w:rPr>
        <w:t>驻马店市大气环境质量中</w:t>
      </w:r>
      <w:r>
        <w:t>SO</w:t>
      </w:r>
      <w:r>
        <w:rPr>
          <w:vertAlign w:val="subscript"/>
        </w:rPr>
        <w:t>2</w:t>
      </w:r>
      <w:r>
        <w:t>、</w:t>
      </w:r>
      <w:r>
        <w:t>NO</w:t>
      </w:r>
      <w:r>
        <w:rPr>
          <w:vertAlign w:val="subscript"/>
        </w:rPr>
        <w:t>2</w:t>
      </w:r>
      <w:r>
        <w:t>、</w:t>
      </w:r>
      <w:r>
        <w:t>CO</w:t>
      </w:r>
      <w:r>
        <w:t>满足《环境空气质量标准》（</w:t>
      </w:r>
      <w:r>
        <w:t>GB3095-2012</w:t>
      </w:r>
      <w:r>
        <w:t>）二级标准</w:t>
      </w:r>
      <w:r>
        <w:rPr>
          <w:rFonts w:hint="eastAsia"/>
        </w:rPr>
        <w:t>限值要求</w:t>
      </w:r>
      <w:r>
        <w:t>，</w:t>
      </w:r>
      <w:r>
        <w:t>PM</w:t>
      </w:r>
      <w:r>
        <w:rPr>
          <w:vertAlign w:val="subscript"/>
        </w:rPr>
        <w:t>2.5</w:t>
      </w:r>
      <w:r>
        <w:t>、</w:t>
      </w:r>
      <w:r>
        <w:t>PM</w:t>
      </w:r>
      <w:r>
        <w:rPr>
          <w:vertAlign w:val="subscript"/>
        </w:rPr>
        <w:t>10</w:t>
      </w:r>
      <w:r>
        <w:t>、</w:t>
      </w:r>
      <w:r>
        <w:t>O</w:t>
      </w:r>
      <w:r>
        <w:rPr>
          <w:vertAlign w:val="subscript"/>
        </w:rPr>
        <w:t>3</w:t>
      </w:r>
      <w:r>
        <w:rPr>
          <w:rFonts w:hint="eastAsia"/>
        </w:rPr>
        <w:t>不满足标准要求；汝河板桥水库断面</w:t>
      </w:r>
      <w:r>
        <w:t>COD</w:t>
      </w:r>
      <w:r>
        <w:rPr>
          <w:rFonts w:hint="eastAsia"/>
        </w:rPr>
        <w:t>、氨氮、</w:t>
      </w:r>
      <w:r>
        <w:t>总磷</w:t>
      </w:r>
      <w:r>
        <w:rPr>
          <w:rFonts w:hint="eastAsia"/>
        </w:rPr>
        <w:t>均能</w:t>
      </w:r>
      <w:r>
        <w:t>满足</w:t>
      </w:r>
      <w:r>
        <w:rPr>
          <w:spacing w:val="-10"/>
        </w:rPr>
        <w:t>《地表水环境质量标准》</w:t>
      </w:r>
      <w:r>
        <w:rPr>
          <w:rFonts w:hint="eastAsia"/>
          <w:spacing w:val="-10"/>
        </w:rPr>
        <w:t>（</w:t>
      </w:r>
      <w:r>
        <w:rPr>
          <w:spacing w:val="-10"/>
        </w:rPr>
        <w:t>GB3838-2002</w:t>
      </w:r>
      <w:r>
        <w:rPr>
          <w:rFonts w:hint="eastAsia"/>
          <w:spacing w:val="-10"/>
        </w:rPr>
        <w:t>）</w:t>
      </w:r>
      <w:r>
        <w:rPr>
          <w:rFonts w:ascii="宋体" w:hAnsi="宋体" w:cs="宋体" w:hint="eastAsia"/>
          <w:spacing w:val="-10"/>
        </w:rPr>
        <w:t>Ⅲ</w:t>
      </w:r>
      <w:r>
        <w:rPr>
          <w:spacing w:val="-10"/>
        </w:rPr>
        <w:t>类标准要</w:t>
      </w:r>
      <w:r>
        <w:t>求</w:t>
      </w:r>
      <w:r>
        <w:rPr>
          <w:rFonts w:hint="eastAsia"/>
        </w:rPr>
        <w:t>；</w:t>
      </w:r>
      <w:r>
        <w:rPr>
          <w:rFonts w:ascii="宋体" w:hAnsi="宋体" w:cs="Times New Roman" w:hint="eastAsia"/>
          <w:szCs w:val="24"/>
        </w:rPr>
        <w:t>本次评价对傅</w:t>
      </w:r>
      <w:r>
        <w:rPr>
          <w:rFonts w:ascii="宋体" w:hAnsi="宋体" w:cs="Times New Roman"/>
          <w:szCs w:val="24"/>
        </w:rPr>
        <w:t>埂</w:t>
      </w:r>
      <w:r>
        <w:rPr>
          <w:rFonts w:ascii="宋体" w:hAnsi="宋体" w:cs="Times New Roman" w:hint="eastAsia"/>
          <w:szCs w:val="24"/>
        </w:rPr>
        <w:t>、西下庄</w:t>
      </w:r>
      <w:r>
        <w:rPr>
          <w:rFonts w:ascii="宋体" w:hAnsi="宋体" w:cs="Times New Roman"/>
          <w:szCs w:val="24"/>
        </w:rPr>
        <w:t>、平上</w:t>
      </w:r>
      <w:r>
        <w:rPr>
          <w:rFonts w:ascii="宋体" w:hAnsi="宋体" w:cs="Times New Roman" w:hint="eastAsia"/>
          <w:szCs w:val="24"/>
        </w:rPr>
        <w:t>水井地下水进行监测，</w:t>
      </w:r>
      <w:r>
        <w:rPr>
          <w:rFonts w:ascii="宋体" w:hAnsi="宋体" w:cs="Times New Roman"/>
          <w:szCs w:val="24"/>
        </w:rPr>
        <w:t>监测数据显示区域地下水能满足《地下水质量标准》（</w:t>
      </w:r>
      <w:r>
        <w:rPr>
          <w:rFonts w:cs="Times New Roman"/>
          <w:szCs w:val="24"/>
        </w:rPr>
        <w:t>GB/T14848-93</w:t>
      </w:r>
      <w:r>
        <w:rPr>
          <w:rFonts w:ascii="宋体" w:hAnsi="宋体" w:cs="Times New Roman"/>
          <w:szCs w:val="24"/>
        </w:rPr>
        <w:t>）</w:t>
      </w:r>
      <w:r>
        <w:rPr>
          <w:rFonts w:cs="Times New Roman"/>
          <w:szCs w:val="24"/>
        </w:rPr>
        <w:t>III</w:t>
      </w:r>
      <w:r>
        <w:rPr>
          <w:rFonts w:ascii="宋体" w:hAnsi="宋体" w:cs="Times New Roman"/>
          <w:szCs w:val="24"/>
        </w:rPr>
        <w:t>类标准的要求，表明区域地下水水质良好</w:t>
      </w:r>
      <w:r>
        <w:rPr>
          <w:rFonts w:ascii="宋体" w:hAnsi="宋体" w:cs="Times New Roman" w:hint="eastAsia"/>
          <w:szCs w:val="24"/>
        </w:rPr>
        <w:t>；</w:t>
      </w:r>
      <w:r>
        <w:rPr>
          <w:rFonts w:hint="eastAsia"/>
        </w:rPr>
        <w:t>评价区域各监测点位监测结果满足《声环境质量标准》（</w:t>
      </w:r>
      <w:r>
        <w:rPr>
          <w:rFonts w:hint="eastAsia"/>
        </w:rPr>
        <w:t>GB3096-2008</w:t>
      </w:r>
      <w:r>
        <w:rPr>
          <w:rFonts w:hint="eastAsia"/>
        </w:rPr>
        <w:t>）中</w:t>
      </w:r>
      <w:r>
        <w:rPr>
          <w:rFonts w:hint="eastAsia"/>
        </w:rPr>
        <w:t>2</w:t>
      </w:r>
      <w:r>
        <w:rPr>
          <w:rFonts w:hint="eastAsia"/>
        </w:rPr>
        <w:t>类标准，区域声环境质量现状良好。</w:t>
      </w:r>
    </w:p>
    <w:p w14:paraId="4011FF55" w14:textId="77777777" w:rsidR="00E579B9" w:rsidRDefault="006A1398">
      <w:pPr>
        <w:rPr>
          <w:snapToGrid w:val="0"/>
        </w:rPr>
      </w:pPr>
      <w:r>
        <w:rPr>
          <w:snapToGrid w:val="0"/>
        </w:rPr>
        <w:t>10.1.4.3</w:t>
      </w:r>
      <w:r>
        <w:rPr>
          <w:rFonts w:hint="eastAsia"/>
          <w:snapToGrid w:val="0"/>
        </w:rPr>
        <w:t>资源利用上线</w:t>
      </w:r>
    </w:p>
    <w:p w14:paraId="0D7D3201" w14:textId="77777777" w:rsidR="00E579B9" w:rsidRDefault="006A1398">
      <w:r>
        <w:rPr>
          <w:rFonts w:hint="eastAsia"/>
        </w:rPr>
        <w:t>本项目生产、生活用水主要来源于地下水，区域地下水水量丰富，可满足矿山开采、生产生活用水。本项目用电来源于省内电网，</w:t>
      </w:r>
      <w:r>
        <w:rPr>
          <w:rFonts w:hint="eastAsia"/>
        </w:rPr>
        <w:t>2</w:t>
      </w:r>
      <w:r>
        <w:t>20</w:t>
      </w:r>
      <w:r>
        <w:rPr>
          <w:rFonts w:hint="eastAsia"/>
        </w:rPr>
        <w:t>V</w:t>
      </w:r>
      <w:r>
        <w:rPr>
          <w:rFonts w:hint="eastAsia"/>
        </w:rPr>
        <w:t>照明电路直通矿区，电力充足，能够满足矿山生产、生活用电。本项目产生的废水主要为生活污水，生活污水经厂区处理设施处理后回用于厂区降尘、绿化，不外排。</w:t>
      </w:r>
    </w:p>
    <w:p w14:paraId="16F414B3" w14:textId="77777777" w:rsidR="00E579B9" w:rsidRDefault="006A1398">
      <w:r>
        <w:rPr>
          <w:rFonts w:hint="eastAsia"/>
        </w:rPr>
        <w:t>综上所述，本项目的建设不会突破资源利用上线。</w:t>
      </w:r>
    </w:p>
    <w:p w14:paraId="2CCAE3AE" w14:textId="77777777" w:rsidR="00E579B9" w:rsidRDefault="006A1398">
      <w:pPr>
        <w:rPr>
          <w:snapToGrid w:val="0"/>
        </w:rPr>
      </w:pPr>
      <w:r>
        <w:rPr>
          <w:snapToGrid w:val="0"/>
        </w:rPr>
        <w:t>10.1.4.4</w:t>
      </w:r>
      <w:r>
        <w:rPr>
          <w:rFonts w:hint="eastAsia"/>
          <w:snapToGrid w:val="0"/>
        </w:rPr>
        <w:t>环境准入负面清单</w:t>
      </w:r>
    </w:p>
    <w:p w14:paraId="7E8D5D14" w14:textId="77777777" w:rsidR="00E579B9" w:rsidRDefault="006A1398">
      <w:r>
        <w:rPr>
          <w:rFonts w:hint="eastAsia"/>
        </w:rPr>
        <w:t>本项目建设符合《河南省环境保护厅关于印发深化建设项目环境影响评价审</w:t>
      </w:r>
      <w:r>
        <w:rPr>
          <w:rFonts w:hint="eastAsia"/>
          <w:spacing w:val="-5"/>
        </w:rPr>
        <w:t>批制度改革实施意见的通知》（豫环文</w:t>
      </w:r>
      <w:r>
        <w:rPr>
          <w:spacing w:val="-5"/>
        </w:rPr>
        <w:t>[2015]33</w:t>
      </w:r>
      <w:r>
        <w:rPr>
          <w:rFonts w:hint="eastAsia"/>
        </w:rPr>
        <w:t>号）的要求，</w:t>
      </w:r>
      <w:r>
        <w:t>不在环境准入负面清单。</w:t>
      </w:r>
    </w:p>
    <w:p w14:paraId="1038C46D" w14:textId="77777777" w:rsidR="00E579B9" w:rsidRDefault="006A1398">
      <w:pPr>
        <w:pStyle w:val="3"/>
        <w:ind w:firstLine="560"/>
      </w:pPr>
      <w:r>
        <w:rPr>
          <w:rFonts w:hint="eastAsia"/>
        </w:rPr>
        <w:t>10.1.5</w:t>
      </w:r>
      <w:r>
        <w:t>《河南省</w:t>
      </w:r>
      <w:r>
        <w:t>2019</w:t>
      </w:r>
      <w:r>
        <w:t>年大气污染防治攻坚战实施方案》（豫环攻坚办</w:t>
      </w:r>
      <w:r>
        <w:t>[2019]25</w:t>
      </w:r>
      <w:r>
        <w:t>号）</w:t>
      </w:r>
    </w:p>
    <w:p w14:paraId="6CD43C52" w14:textId="77777777" w:rsidR="00E579B9" w:rsidRDefault="006A1398">
      <w:r>
        <w:t>2019</w:t>
      </w:r>
      <w:r>
        <w:t>年</w:t>
      </w:r>
      <w:r>
        <w:t>2</w:t>
      </w:r>
      <w:r>
        <w:t>月</w:t>
      </w:r>
      <w:r>
        <w:t>27</w:t>
      </w:r>
      <w:r>
        <w:t>日，河南省污染防治攻坚战领导小组办公室发布《关于印发河南省</w:t>
      </w:r>
      <w:r>
        <w:t>2019</w:t>
      </w:r>
      <w:r>
        <w:t>年大气污染防治攻坚战实施方案的通知》（豫环攻坚办</w:t>
      </w:r>
      <w:r>
        <w:t>[2019]25</w:t>
      </w:r>
      <w:r>
        <w:t>号），与项目相关内容主要为：</w:t>
      </w:r>
    </w:p>
    <w:p w14:paraId="251B14DF" w14:textId="77777777" w:rsidR="00E579B9" w:rsidRDefault="006A1398">
      <w:pPr>
        <w:widowControl w:val="0"/>
        <w:spacing w:line="480" w:lineRule="exact"/>
        <w:jc w:val="both"/>
        <w:rPr>
          <w:rFonts w:cs="Times New Roman"/>
          <w:szCs w:val="24"/>
        </w:rPr>
      </w:pPr>
      <w:r>
        <w:rPr>
          <w:rFonts w:cs="Times New Roman"/>
          <w:szCs w:val="24"/>
        </w:rPr>
        <w:t>27.</w:t>
      </w:r>
      <w:r>
        <w:rPr>
          <w:rFonts w:ascii="宋体" w:hAnsi="宋体" w:cs="Times New Roman"/>
          <w:szCs w:val="24"/>
        </w:rPr>
        <w:t>大力推进露天矿山整治。落实《河南省露天矿山综合整治三年行动计划（</w:t>
      </w:r>
      <w:r>
        <w:rPr>
          <w:rFonts w:cs="Times New Roman"/>
          <w:szCs w:val="24"/>
        </w:rPr>
        <w:t>2018-2020</w:t>
      </w:r>
      <w:r>
        <w:rPr>
          <w:rFonts w:ascii="宋体" w:hAnsi="宋体" w:cs="Times New Roman"/>
          <w:szCs w:val="24"/>
        </w:rPr>
        <w:t>年）实施方案》目标任务，以自然保护区、风景名胜区、水源保护区、</w:t>
      </w:r>
      <w:r>
        <w:rPr>
          <w:rFonts w:ascii="宋体" w:hAnsi="宋体" w:cs="Times New Roman"/>
          <w:szCs w:val="24"/>
        </w:rPr>
        <w:lastRenderedPageBreak/>
        <w:t>主要交通干线两侧和城市县城区周边为重点，对全省范围内所有露天矿山开展综合整治。在重点露天矿山企业采矿区、破碎站、废石场等重点扬尘环节安装视频监控设施，接入生态环境部门环境监测系统，视频数据与自然资源部门联网共享。对证照齐全，但污染治理不规范、排放不达标的露天矿山，依法责令停产整治，制定</w:t>
      </w:r>
      <w:r>
        <w:rPr>
          <w:rFonts w:cs="Times New Roman"/>
          <w:szCs w:val="24"/>
        </w:rPr>
        <w:t>“</w:t>
      </w:r>
      <w:r>
        <w:rPr>
          <w:rFonts w:ascii="宋体" w:hAnsi="宋体" w:cs="Times New Roman"/>
          <w:szCs w:val="24"/>
        </w:rPr>
        <w:t>一矿一策</w:t>
      </w:r>
      <w:r>
        <w:rPr>
          <w:rFonts w:cs="Times New Roman"/>
          <w:szCs w:val="24"/>
        </w:rPr>
        <w:t>”</w:t>
      </w:r>
      <w:r>
        <w:rPr>
          <w:rFonts w:ascii="宋体" w:hAnsi="宋体" w:cs="Times New Roman"/>
          <w:szCs w:val="24"/>
        </w:rPr>
        <w:t>整治方案，整治完成并经相关部门组织验收合格后方可恢复生产，未通过验收的一律不得恢复生产；对拒不停产或擅自恢复生产的，依法强制关闭，限期进行生态修复。对非法露天开采矿山（含证照过期的矿山），按照</w:t>
      </w:r>
      <w:r>
        <w:rPr>
          <w:rFonts w:cs="Times New Roman"/>
          <w:szCs w:val="24"/>
        </w:rPr>
        <w:t>“</w:t>
      </w:r>
      <w:r>
        <w:rPr>
          <w:rFonts w:ascii="宋体" w:hAnsi="宋体" w:cs="Times New Roman"/>
          <w:szCs w:val="24"/>
        </w:rPr>
        <w:t>三不留</w:t>
      </w:r>
      <w:r>
        <w:rPr>
          <w:rFonts w:cs="Times New Roman"/>
          <w:szCs w:val="24"/>
        </w:rPr>
        <w:t>”</w:t>
      </w:r>
      <w:r>
        <w:rPr>
          <w:rFonts w:ascii="宋体" w:hAnsi="宋体" w:cs="Times New Roman"/>
          <w:szCs w:val="24"/>
        </w:rPr>
        <w:t>（不留人员、不留采矿设备、不留建筑物）的标准，由所在地政府于</w:t>
      </w:r>
      <w:r>
        <w:rPr>
          <w:rFonts w:cs="Times New Roman"/>
          <w:szCs w:val="24"/>
        </w:rPr>
        <w:t>2019</w:t>
      </w:r>
      <w:r>
        <w:rPr>
          <w:rFonts w:ascii="宋体" w:hAnsi="宋体" w:cs="Times New Roman"/>
          <w:szCs w:val="24"/>
        </w:rPr>
        <w:t>年</w:t>
      </w:r>
      <w:r>
        <w:rPr>
          <w:rFonts w:cs="Times New Roman"/>
          <w:szCs w:val="24"/>
        </w:rPr>
        <w:t>12</w:t>
      </w:r>
      <w:r>
        <w:rPr>
          <w:rFonts w:ascii="宋体" w:hAnsi="宋体" w:cs="Times New Roman"/>
          <w:szCs w:val="24"/>
        </w:rPr>
        <w:t>月底前取缔完毕，限期进行生态修复。对责任主体灭失的露天矿山，各地按照</w:t>
      </w:r>
      <w:r>
        <w:rPr>
          <w:rFonts w:cs="Times New Roman"/>
          <w:szCs w:val="24"/>
        </w:rPr>
        <w:t>“</w:t>
      </w:r>
      <w:r>
        <w:rPr>
          <w:rFonts w:ascii="宋体" w:hAnsi="宋体" w:cs="Times New Roman"/>
          <w:szCs w:val="24"/>
        </w:rPr>
        <w:t>宜林则林、宜耕则耕、宜草则草、宜景则景</w:t>
      </w:r>
      <w:r>
        <w:rPr>
          <w:rFonts w:cs="Times New Roman"/>
          <w:szCs w:val="24"/>
        </w:rPr>
        <w:t>”</w:t>
      </w:r>
      <w:r>
        <w:rPr>
          <w:rFonts w:ascii="宋体" w:hAnsi="宋体" w:cs="Times New Roman"/>
          <w:szCs w:val="24"/>
        </w:rPr>
        <w:t>的原则，加快生态修复，减少扬尘污染。严格控制露天矿山矿业权审批，生态红线内的区域，新建露天矿山项目不予核准或备案、不予审批环境影响评价报告，已设露天矿山全面退出。</w:t>
      </w:r>
    </w:p>
    <w:p w14:paraId="1AFC64E3" w14:textId="77777777" w:rsidR="00E579B9" w:rsidRDefault="006A1398">
      <w:pPr>
        <w:widowControl w:val="0"/>
        <w:spacing w:line="480" w:lineRule="exact"/>
        <w:jc w:val="both"/>
        <w:rPr>
          <w:rFonts w:ascii="宋体" w:hAnsi="宋体" w:cs="Times New Roman"/>
          <w:szCs w:val="24"/>
        </w:rPr>
      </w:pPr>
      <w:r>
        <w:rPr>
          <w:rFonts w:ascii="宋体" w:hAnsi="宋体" w:cs="Times New Roman"/>
          <w:szCs w:val="24"/>
        </w:rPr>
        <w:t>相符性分析：本项目位于</w:t>
      </w:r>
      <w:r>
        <w:rPr>
          <w:rFonts w:ascii="宋体" w:hAnsi="宋体" w:cs="Times New Roman" w:hint="eastAsia"/>
          <w:szCs w:val="24"/>
        </w:rPr>
        <w:t>驻马店市驿城区沙河店镇赵尧村</w:t>
      </w:r>
      <w:r>
        <w:rPr>
          <w:rFonts w:ascii="宋体" w:hAnsi="宋体" w:cs="Times New Roman"/>
          <w:szCs w:val="24"/>
        </w:rPr>
        <w:t>，周边无特殊敏感目标，不在生态红线范围内。综合分析，项目建设符合《河南省</w:t>
      </w:r>
      <w:r>
        <w:rPr>
          <w:rFonts w:cs="Times New Roman"/>
          <w:szCs w:val="24"/>
        </w:rPr>
        <w:t>2019</w:t>
      </w:r>
      <w:r>
        <w:rPr>
          <w:rFonts w:ascii="宋体" w:hAnsi="宋体" w:cs="Times New Roman"/>
          <w:szCs w:val="24"/>
        </w:rPr>
        <w:t>年大气污染防治攻坚战实施方案》要求。</w:t>
      </w:r>
    </w:p>
    <w:p w14:paraId="5FB722F1" w14:textId="77777777" w:rsidR="00E579B9" w:rsidRDefault="006A1398">
      <w:pPr>
        <w:pStyle w:val="3"/>
        <w:ind w:firstLine="560"/>
      </w:pPr>
      <w:r>
        <w:t>10.1.6</w:t>
      </w:r>
      <w:r>
        <w:t>与《驻马店市人民政府关于印发驻马店市</w:t>
      </w:r>
      <w:r>
        <w:t>2019</w:t>
      </w:r>
      <w:r>
        <w:t>年大气污染防治攻坚战实施方案的通知》（驻政办</w:t>
      </w:r>
      <w:r>
        <w:t>[2019]39</w:t>
      </w:r>
      <w:r>
        <w:t>号）相符性</w:t>
      </w:r>
    </w:p>
    <w:p w14:paraId="0FC46686" w14:textId="77777777" w:rsidR="00E579B9" w:rsidRDefault="006A1398">
      <w:r>
        <w:t>2019</w:t>
      </w:r>
      <w:r>
        <w:t>年</w:t>
      </w:r>
      <w:r>
        <w:rPr>
          <w:rFonts w:hint="eastAsia"/>
        </w:rPr>
        <w:t>3</w:t>
      </w:r>
      <w:r>
        <w:t>月</w:t>
      </w:r>
      <w:r>
        <w:rPr>
          <w:rFonts w:hint="eastAsia"/>
        </w:rPr>
        <w:t>26</w:t>
      </w:r>
      <w:r>
        <w:t>日，</w:t>
      </w:r>
      <w:r>
        <w:rPr>
          <w:rFonts w:hint="eastAsia"/>
        </w:rPr>
        <w:t>驻马店人民政府办公室印发</w:t>
      </w:r>
      <w:r>
        <w:t>《</w:t>
      </w:r>
      <w:r>
        <w:rPr>
          <w:rFonts w:cs="Cambria Math" w:hint="eastAsia"/>
        </w:rPr>
        <w:t>驻马店市</w:t>
      </w:r>
      <w:r>
        <w:rPr>
          <w:rFonts w:ascii="Cambria Math" w:hAnsi="Cambria Math" w:cs="Cambria Math" w:hint="eastAsia"/>
        </w:rPr>
        <w:t>2019</w:t>
      </w:r>
      <w:r>
        <w:rPr>
          <w:rFonts w:cs="Cambria Math" w:hint="eastAsia"/>
        </w:rPr>
        <w:t>年大气污染防治攻坚战实施方案</w:t>
      </w:r>
      <w:r>
        <w:t>》（</w:t>
      </w:r>
      <w:r>
        <w:rPr>
          <w:rFonts w:hint="eastAsia"/>
        </w:rPr>
        <w:t>驻政办</w:t>
      </w:r>
      <w:r>
        <w:rPr>
          <w:rFonts w:hint="eastAsia"/>
        </w:rPr>
        <w:t>[2019]39</w:t>
      </w:r>
      <w:r>
        <w:rPr>
          <w:rFonts w:hint="eastAsia"/>
        </w:rPr>
        <w:t>号</w:t>
      </w:r>
      <w:r>
        <w:t>），与项目相关内容主要为：</w:t>
      </w:r>
    </w:p>
    <w:p w14:paraId="7C9DD687" w14:textId="77777777" w:rsidR="00E579B9" w:rsidRDefault="006A1398">
      <w:pPr>
        <w:widowControl w:val="0"/>
        <w:spacing w:line="480" w:lineRule="exact"/>
        <w:jc w:val="both"/>
        <w:rPr>
          <w:rFonts w:cs="Times New Roman"/>
          <w:szCs w:val="24"/>
        </w:rPr>
      </w:pPr>
      <w:r>
        <w:rPr>
          <w:rFonts w:cs="Times New Roman" w:hint="eastAsia"/>
          <w:szCs w:val="24"/>
        </w:rPr>
        <w:t>26.</w:t>
      </w:r>
      <w:r>
        <w:rPr>
          <w:rFonts w:ascii="宋体" w:hAnsi="宋体" w:cs="Times New Roman" w:hint="eastAsia"/>
          <w:szCs w:val="24"/>
        </w:rPr>
        <w:t>大力推进露天矿山整治</w:t>
      </w:r>
    </w:p>
    <w:p w14:paraId="4E3BED8E" w14:textId="77777777" w:rsidR="00E579B9" w:rsidRDefault="006A1398">
      <w:pPr>
        <w:widowControl w:val="0"/>
        <w:spacing w:line="480" w:lineRule="exact"/>
        <w:jc w:val="both"/>
        <w:rPr>
          <w:rFonts w:cs="Times New Roman"/>
          <w:szCs w:val="24"/>
        </w:rPr>
      </w:pPr>
      <w:r>
        <w:rPr>
          <w:rFonts w:ascii="宋体" w:hAnsi="宋体" w:cs="Times New Roman" w:hint="eastAsia"/>
          <w:szCs w:val="24"/>
        </w:rPr>
        <w:t>落实《河南省露天矿山综合整治三年行动计划（</w:t>
      </w:r>
      <w:r>
        <w:rPr>
          <w:rFonts w:cs="Times New Roman" w:hint="eastAsia"/>
          <w:szCs w:val="24"/>
        </w:rPr>
        <w:t>2018-2020</w:t>
      </w:r>
      <w:r>
        <w:rPr>
          <w:rFonts w:ascii="宋体" w:hAnsi="宋体" w:cs="Times New Roman" w:hint="eastAsia"/>
          <w:szCs w:val="24"/>
        </w:rPr>
        <w:t>年）实施方案》，以自然保护区、风景名胜区、水源保护区、主要交通干线两侧和城市建成区周边为重点，对全市范围内所有露天矿山开展综合整治。在重点露天矿山企业采矿区、破碎站、废石场等重点扬尘环节安装视频监控设施，接入生态环境部门环境监测系统，视频数据与自然资源部门联网共享。对证照齐全，但污染治理不规范、排放不达标的露天矿山，依法责令停产整治，制定“一矿一策”整治方案，整治完成并经相关</w:t>
      </w:r>
      <w:r>
        <w:rPr>
          <w:rFonts w:ascii="宋体" w:hAnsi="宋体" w:cs="Times New Roman" w:hint="eastAsia"/>
          <w:szCs w:val="24"/>
        </w:rPr>
        <w:lastRenderedPageBreak/>
        <w:t>部门组织验收合格后方可恢复生产，未通过验收的一律不得恢复生产，对拒不停产或擅自恢复生产的依法强制关闭并限期进行生态修复。对非法露天开采矿山（含证照过期的矿山），按照“三不留”（不留人员、不留采矿设备、不留建筑物）的标准，由所在地政府于</w:t>
      </w:r>
      <w:r>
        <w:rPr>
          <w:rFonts w:cs="Times New Roman" w:hint="eastAsia"/>
          <w:szCs w:val="24"/>
        </w:rPr>
        <w:t>2019</w:t>
      </w:r>
      <w:r>
        <w:rPr>
          <w:rFonts w:ascii="宋体" w:hAnsi="宋体" w:cs="Times New Roman" w:hint="eastAsia"/>
          <w:szCs w:val="24"/>
        </w:rPr>
        <w:t>年</w:t>
      </w:r>
      <w:r>
        <w:rPr>
          <w:rFonts w:cs="Times New Roman" w:hint="eastAsia"/>
          <w:szCs w:val="24"/>
        </w:rPr>
        <w:t>12</w:t>
      </w:r>
      <w:r>
        <w:rPr>
          <w:rFonts w:ascii="宋体" w:hAnsi="宋体" w:cs="Times New Roman" w:hint="eastAsia"/>
          <w:szCs w:val="24"/>
        </w:rPr>
        <w:t>月底前取缔完毕，限期进行生态修复。对责任主体灭失的露天矿山，各地按照“宜林则林、宜耕则耕、宜草则草、宜景则景”的原则，加快生态修复，减少扬尘污染。严格控制露天矿山矿业权审批，生态保护红线内的区域，新建露天矿山项目不予核准或备案、不予审批环境影响评价报告，已设露天矿山全面退出。</w:t>
      </w:r>
    </w:p>
    <w:p w14:paraId="6C154BCE" w14:textId="77777777" w:rsidR="00E579B9" w:rsidRDefault="006A1398">
      <w:pPr>
        <w:widowControl w:val="0"/>
        <w:spacing w:line="480" w:lineRule="exact"/>
        <w:jc w:val="both"/>
        <w:rPr>
          <w:rFonts w:cs="Times New Roman"/>
          <w:bCs/>
          <w:szCs w:val="24"/>
        </w:rPr>
      </w:pPr>
      <w:r>
        <w:rPr>
          <w:rFonts w:ascii="宋体" w:hAnsi="宋体" w:cs="Times New Roman"/>
          <w:bCs/>
          <w:szCs w:val="24"/>
        </w:rPr>
        <w:t>相符性分析：本项目位于</w:t>
      </w:r>
      <w:r>
        <w:rPr>
          <w:rFonts w:ascii="宋体" w:hAnsi="宋体" w:cs="Times New Roman" w:hint="eastAsia"/>
          <w:bCs/>
          <w:szCs w:val="24"/>
        </w:rPr>
        <w:t>驻马店市驿城区沙河店镇赵尧村附近</w:t>
      </w:r>
      <w:r>
        <w:rPr>
          <w:rFonts w:ascii="宋体" w:hAnsi="宋体" w:cs="Times New Roman"/>
          <w:bCs/>
          <w:szCs w:val="24"/>
        </w:rPr>
        <w:t>，周边无特殊敏感目标，不在生态红线范围内。综合分析，项目建设符合《</w:t>
      </w:r>
      <w:r>
        <w:rPr>
          <w:rFonts w:ascii="宋体" w:hAnsi="宋体" w:cs="Cambria Math" w:hint="eastAsia"/>
          <w:bCs/>
          <w:szCs w:val="24"/>
        </w:rPr>
        <w:t>驻马店市</w:t>
      </w:r>
      <w:r>
        <w:rPr>
          <w:rFonts w:ascii="Cambria Math" w:hAnsi="Cambria Math" w:cs="Cambria Math" w:hint="eastAsia"/>
          <w:bCs/>
          <w:szCs w:val="24"/>
        </w:rPr>
        <w:t>2019</w:t>
      </w:r>
      <w:r>
        <w:rPr>
          <w:rFonts w:ascii="宋体" w:hAnsi="宋体" w:cs="Cambria Math" w:hint="eastAsia"/>
          <w:bCs/>
          <w:szCs w:val="24"/>
        </w:rPr>
        <w:t>年大气污染防治攻坚战实施方案</w:t>
      </w:r>
      <w:r>
        <w:rPr>
          <w:rFonts w:ascii="宋体" w:hAnsi="宋体" w:cs="Times New Roman"/>
          <w:bCs/>
          <w:szCs w:val="24"/>
        </w:rPr>
        <w:t>》要求。</w:t>
      </w:r>
    </w:p>
    <w:p w14:paraId="080A1B45" w14:textId="77777777" w:rsidR="00E579B9" w:rsidRDefault="006A1398">
      <w:pPr>
        <w:pStyle w:val="3"/>
        <w:ind w:firstLine="560"/>
        <w:rPr>
          <w:snapToGrid w:val="0"/>
        </w:rPr>
      </w:pPr>
      <w:r>
        <w:rPr>
          <w:rFonts w:hint="eastAsia"/>
          <w:snapToGrid w:val="0"/>
        </w:rPr>
        <w:t>10.1.7</w:t>
      </w:r>
      <w:r>
        <w:rPr>
          <w:snapToGrid w:val="0"/>
        </w:rPr>
        <w:t>本项目与《河南省矿山采选建设项目环境影响评价文件审批原则</w:t>
      </w:r>
      <w:r>
        <w:rPr>
          <w:rFonts w:hint="eastAsia"/>
          <w:snapToGrid w:val="0"/>
        </w:rPr>
        <w:t>（修订）</w:t>
      </w:r>
      <w:r>
        <w:rPr>
          <w:snapToGrid w:val="0"/>
        </w:rPr>
        <w:t>》</w:t>
      </w:r>
      <w:r>
        <w:rPr>
          <w:rFonts w:hint="eastAsia"/>
          <w:snapToGrid w:val="0"/>
        </w:rPr>
        <w:t>（豫环办〔</w:t>
      </w:r>
      <w:r>
        <w:rPr>
          <w:rFonts w:hint="eastAsia"/>
          <w:snapToGrid w:val="0"/>
        </w:rPr>
        <w:t>2018</w:t>
      </w:r>
      <w:r>
        <w:rPr>
          <w:rFonts w:hint="eastAsia"/>
          <w:snapToGrid w:val="0"/>
        </w:rPr>
        <w:t>〕</w:t>
      </w:r>
      <w:r>
        <w:rPr>
          <w:rFonts w:hint="eastAsia"/>
          <w:snapToGrid w:val="0"/>
        </w:rPr>
        <w:t>209</w:t>
      </w:r>
      <w:r>
        <w:rPr>
          <w:rFonts w:hint="eastAsia"/>
          <w:snapToGrid w:val="0"/>
        </w:rPr>
        <w:t>号）</w:t>
      </w:r>
      <w:r>
        <w:rPr>
          <w:snapToGrid w:val="0"/>
        </w:rPr>
        <w:t>相符性分析</w:t>
      </w:r>
    </w:p>
    <w:p w14:paraId="06C4DC3E" w14:textId="77777777" w:rsidR="00E579B9" w:rsidRDefault="006A1398">
      <w:pPr>
        <w:pStyle w:val="21"/>
      </w:pPr>
      <w:r>
        <w:t>表</w:t>
      </w:r>
      <w:r>
        <w:t>10.1-2</w:t>
      </w:r>
      <w:r>
        <w:t>与</w:t>
      </w:r>
      <w:r>
        <w:rPr>
          <w:rFonts w:hint="eastAsia"/>
        </w:rPr>
        <w:t>（豫环办〔</w:t>
      </w:r>
      <w:r>
        <w:rPr>
          <w:rFonts w:hint="eastAsia"/>
        </w:rPr>
        <w:t>2018</w:t>
      </w:r>
      <w:r>
        <w:rPr>
          <w:rFonts w:hint="eastAsia"/>
        </w:rPr>
        <w:t>〕</w:t>
      </w:r>
      <w:r>
        <w:rPr>
          <w:rFonts w:hint="eastAsia"/>
        </w:rPr>
        <w:t>209</w:t>
      </w:r>
      <w:r>
        <w:rPr>
          <w:rFonts w:hint="eastAsia"/>
        </w:rPr>
        <w:t>号）</w:t>
      </w:r>
      <w:r>
        <w:t>相符性分析一览表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26"/>
        <w:gridCol w:w="636"/>
        <w:gridCol w:w="3095"/>
        <w:gridCol w:w="3979"/>
        <w:gridCol w:w="494"/>
      </w:tblGrid>
      <w:tr w:rsidR="00E579B9" w14:paraId="616158AA" w14:textId="77777777">
        <w:trPr>
          <w:trHeight w:val="20"/>
          <w:tblHeader/>
          <w:jc w:val="center"/>
        </w:trPr>
        <w:tc>
          <w:tcPr>
            <w:tcW w:w="426" w:type="dxa"/>
            <w:tcBorders>
              <w:top w:val="single" w:sz="4" w:space="0" w:color="auto"/>
              <w:left w:val="single" w:sz="4" w:space="0" w:color="auto"/>
              <w:bottom w:val="single" w:sz="4" w:space="0" w:color="auto"/>
              <w:right w:val="single" w:sz="4" w:space="0" w:color="auto"/>
            </w:tcBorders>
            <w:vAlign w:val="center"/>
          </w:tcPr>
          <w:p w14:paraId="4941F683" w14:textId="77777777" w:rsidR="00E579B9" w:rsidRDefault="006A1398">
            <w:pPr>
              <w:pStyle w:val="aa"/>
            </w:pPr>
            <w:r>
              <w:t>序号</w:t>
            </w:r>
          </w:p>
        </w:tc>
        <w:tc>
          <w:tcPr>
            <w:tcW w:w="636" w:type="dxa"/>
            <w:tcBorders>
              <w:top w:val="single" w:sz="4" w:space="0" w:color="auto"/>
              <w:left w:val="single" w:sz="4" w:space="0" w:color="auto"/>
              <w:bottom w:val="single" w:sz="4" w:space="0" w:color="auto"/>
              <w:right w:val="single" w:sz="4" w:space="0" w:color="auto"/>
            </w:tcBorders>
            <w:vAlign w:val="center"/>
          </w:tcPr>
          <w:p w14:paraId="029ADE14" w14:textId="77777777" w:rsidR="00E579B9" w:rsidRDefault="006A1398">
            <w:pPr>
              <w:pStyle w:val="aa"/>
            </w:pPr>
            <w:r>
              <w:t>类别</w:t>
            </w:r>
          </w:p>
        </w:tc>
        <w:tc>
          <w:tcPr>
            <w:tcW w:w="3095" w:type="dxa"/>
            <w:tcBorders>
              <w:top w:val="single" w:sz="4" w:space="0" w:color="auto"/>
              <w:left w:val="single" w:sz="4" w:space="0" w:color="auto"/>
              <w:bottom w:val="single" w:sz="4" w:space="0" w:color="auto"/>
              <w:right w:val="single" w:sz="4" w:space="0" w:color="auto"/>
            </w:tcBorders>
            <w:vAlign w:val="center"/>
          </w:tcPr>
          <w:p w14:paraId="0A465A9E" w14:textId="77777777" w:rsidR="00E579B9" w:rsidRDefault="006A1398">
            <w:pPr>
              <w:pStyle w:val="aa"/>
            </w:pPr>
            <w:r>
              <w:t>指导意见具体要求</w:t>
            </w:r>
          </w:p>
        </w:tc>
        <w:tc>
          <w:tcPr>
            <w:tcW w:w="3979" w:type="dxa"/>
            <w:tcBorders>
              <w:top w:val="single" w:sz="4" w:space="0" w:color="auto"/>
              <w:left w:val="single" w:sz="4" w:space="0" w:color="auto"/>
              <w:bottom w:val="single" w:sz="4" w:space="0" w:color="auto"/>
              <w:right w:val="single" w:sz="4" w:space="0" w:color="auto"/>
            </w:tcBorders>
            <w:vAlign w:val="center"/>
          </w:tcPr>
          <w:p w14:paraId="480F1F77" w14:textId="77777777" w:rsidR="00E579B9" w:rsidRDefault="006A1398">
            <w:pPr>
              <w:pStyle w:val="aa"/>
            </w:pPr>
            <w:r>
              <w:t>项目情况</w:t>
            </w:r>
          </w:p>
        </w:tc>
        <w:tc>
          <w:tcPr>
            <w:tcW w:w="494" w:type="dxa"/>
            <w:tcBorders>
              <w:top w:val="single" w:sz="4" w:space="0" w:color="auto"/>
              <w:left w:val="single" w:sz="4" w:space="0" w:color="auto"/>
              <w:bottom w:val="single" w:sz="4" w:space="0" w:color="auto"/>
              <w:right w:val="single" w:sz="4" w:space="0" w:color="auto"/>
            </w:tcBorders>
            <w:vAlign w:val="center"/>
          </w:tcPr>
          <w:p w14:paraId="0736EE51" w14:textId="77777777" w:rsidR="00E579B9" w:rsidRDefault="006A1398">
            <w:pPr>
              <w:pStyle w:val="aa"/>
            </w:pPr>
            <w:r>
              <w:t>相符性</w:t>
            </w:r>
          </w:p>
        </w:tc>
      </w:tr>
      <w:tr w:rsidR="00E579B9" w14:paraId="472A7333" w14:textId="77777777">
        <w:trPr>
          <w:trHeight w:val="995"/>
          <w:jc w:val="center"/>
        </w:trPr>
        <w:tc>
          <w:tcPr>
            <w:tcW w:w="426" w:type="dxa"/>
            <w:tcBorders>
              <w:top w:val="single" w:sz="4" w:space="0" w:color="auto"/>
              <w:left w:val="single" w:sz="4" w:space="0" w:color="auto"/>
              <w:bottom w:val="single" w:sz="4" w:space="0" w:color="auto"/>
              <w:right w:val="single" w:sz="4" w:space="0" w:color="auto"/>
            </w:tcBorders>
            <w:vAlign w:val="center"/>
          </w:tcPr>
          <w:p w14:paraId="6E935748" w14:textId="77777777" w:rsidR="00E579B9" w:rsidRDefault="006A1398">
            <w:pPr>
              <w:pStyle w:val="aa"/>
            </w:pPr>
            <w:r>
              <w:t>1</w:t>
            </w:r>
          </w:p>
        </w:tc>
        <w:tc>
          <w:tcPr>
            <w:tcW w:w="636" w:type="dxa"/>
            <w:tcBorders>
              <w:top w:val="single" w:sz="4" w:space="0" w:color="auto"/>
              <w:left w:val="single" w:sz="4" w:space="0" w:color="auto"/>
              <w:bottom w:val="single" w:sz="4" w:space="0" w:color="auto"/>
              <w:right w:val="single" w:sz="4" w:space="0" w:color="auto"/>
            </w:tcBorders>
            <w:vAlign w:val="center"/>
          </w:tcPr>
          <w:p w14:paraId="25886A15" w14:textId="77777777" w:rsidR="00E579B9" w:rsidRDefault="006A1398">
            <w:pPr>
              <w:pStyle w:val="aa"/>
            </w:pPr>
            <w:r>
              <w:t>一、总体要求</w:t>
            </w:r>
          </w:p>
        </w:tc>
        <w:tc>
          <w:tcPr>
            <w:tcW w:w="3095" w:type="dxa"/>
            <w:tcBorders>
              <w:top w:val="single" w:sz="4" w:space="0" w:color="auto"/>
              <w:left w:val="single" w:sz="4" w:space="0" w:color="auto"/>
              <w:bottom w:val="single" w:sz="4" w:space="0" w:color="auto"/>
              <w:right w:val="single" w:sz="4" w:space="0" w:color="auto"/>
            </w:tcBorders>
            <w:vAlign w:val="center"/>
          </w:tcPr>
          <w:p w14:paraId="7D5A6418" w14:textId="77777777" w:rsidR="00E579B9" w:rsidRDefault="006A1398">
            <w:pPr>
              <w:pStyle w:val="aa"/>
            </w:pPr>
            <w:r>
              <w:t>矿山采选项目</w:t>
            </w:r>
            <w:r>
              <w:rPr>
                <w:rFonts w:hint="eastAsia"/>
              </w:rPr>
              <w:t>应符合</w:t>
            </w:r>
            <w:r>
              <w:t>《产业结构调整指导目录</w:t>
            </w:r>
            <w:r>
              <w:rPr>
                <w:rFonts w:hint="eastAsia"/>
              </w:rPr>
              <w:t>（</w:t>
            </w:r>
            <w:r>
              <w:rPr>
                <w:rFonts w:hint="eastAsia"/>
              </w:rPr>
              <w:t>2</w:t>
            </w:r>
            <w:r>
              <w:t>011</w:t>
            </w:r>
            <w:r>
              <w:rPr>
                <w:rFonts w:hint="eastAsia"/>
              </w:rPr>
              <w:t>年本）（修正）</w:t>
            </w:r>
            <w:r>
              <w:t>》、行业准入条件</w:t>
            </w:r>
            <w:r>
              <w:rPr>
                <w:rFonts w:hint="eastAsia"/>
              </w:rPr>
              <w:t>、</w:t>
            </w:r>
            <w:r>
              <w:t>河南省和地方矿产资源规划</w:t>
            </w:r>
            <w:r>
              <w:rPr>
                <w:rFonts w:hint="eastAsia"/>
              </w:rPr>
              <w:t>及规划环评</w:t>
            </w:r>
            <w:r>
              <w:t>、</w:t>
            </w:r>
            <w:r>
              <w:rPr>
                <w:rFonts w:hint="eastAsia"/>
              </w:rPr>
              <w:t>国家和河南省的绿色矿山建设规范及污染防治技术政策等相关要求</w:t>
            </w:r>
            <w:r>
              <w:t>。</w:t>
            </w:r>
          </w:p>
        </w:tc>
        <w:tc>
          <w:tcPr>
            <w:tcW w:w="3979" w:type="dxa"/>
            <w:tcBorders>
              <w:top w:val="single" w:sz="4" w:space="0" w:color="auto"/>
              <w:left w:val="single" w:sz="4" w:space="0" w:color="auto"/>
              <w:bottom w:val="single" w:sz="4" w:space="0" w:color="auto"/>
              <w:right w:val="single" w:sz="4" w:space="0" w:color="auto"/>
            </w:tcBorders>
            <w:vAlign w:val="center"/>
          </w:tcPr>
          <w:p w14:paraId="0FBEDCF7" w14:textId="77777777" w:rsidR="00E579B9" w:rsidRDefault="006A1398">
            <w:pPr>
              <w:pStyle w:val="aa"/>
            </w:pPr>
            <w:r>
              <w:t>根据</w:t>
            </w:r>
            <w:r>
              <w:rPr>
                <w:rFonts w:hint="eastAsia"/>
              </w:rPr>
              <w:t>《产业结构调整指导目录（</w:t>
            </w:r>
            <w:r>
              <w:rPr>
                <w:rFonts w:hint="eastAsia"/>
              </w:rPr>
              <w:t>2011</w:t>
            </w:r>
            <w:r>
              <w:rPr>
                <w:rFonts w:hint="eastAsia"/>
              </w:rPr>
              <w:t>年本）（修正）》</w:t>
            </w:r>
            <w:r>
              <w:t>，本项目不属于鼓励类、限制类和淘汰类，为允许</w:t>
            </w:r>
            <w:r>
              <w:rPr>
                <w:rFonts w:hint="eastAsia"/>
              </w:rPr>
              <w:t>类</w:t>
            </w:r>
            <w:r>
              <w:t>。本项目建筑石料用大理岩矿项目生产规模等均满足《河南省矿产资源总体规划》（</w:t>
            </w:r>
            <w:r>
              <w:t>2016-2020</w:t>
            </w:r>
            <w:r>
              <w:t>）中开采准入管理要求。矿区内废水不外排</w:t>
            </w:r>
            <w:r>
              <w:rPr>
                <w:rFonts w:hint="eastAsia"/>
              </w:rPr>
              <w:t>，</w:t>
            </w:r>
            <w:r>
              <w:t>废气、噪声经过相应措施处理后均可达标，固废均得到综合利用。</w:t>
            </w:r>
          </w:p>
        </w:tc>
        <w:tc>
          <w:tcPr>
            <w:tcW w:w="494" w:type="dxa"/>
            <w:tcBorders>
              <w:top w:val="single" w:sz="4" w:space="0" w:color="auto"/>
              <w:left w:val="single" w:sz="4" w:space="0" w:color="auto"/>
              <w:bottom w:val="single" w:sz="4" w:space="0" w:color="auto"/>
              <w:right w:val="single" w:sz="4" w:space="0" w:color="auto"/>
            </w:tcBorders>
            <w:vAlign w:val="center"/>
          </w:tcPr>
          <w:p w14:paraId="282FA71B" w14:textId="77777777" w:rsidR="00E579B9" w:rsidRDefault="006A1398">
            <w:pPr>
              <w:pStyle w:val="aa"/>
            </w:pPr>
            <w:r>
              <w:t>相符</w:t>
            </w:r>
          </w:p>
        </w:tc>
      </w:tr>
      <w:tr w:rsidR="00E579B9" w14:paraId="335A63EC"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429254CD" w14:textId="77777777" w:rsidR="00E579B9" w:rsidRDefault="006A1398">
            <w:pPr>
              <w:pStyle w:val="aa"/>
            </w:pPr>
            <w:r>
              <w:t>2</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02CC1E2F" w14:textId="77777777" w:rsidR="00E579B9" w:rsidRDefault="006A1398">
            <w:pPr>
              <w:pStyle w:val="aa"/>
            </w:pPr>
            <w:r>
              <w:t>二、建设布局要求</w:t>
            </w:r>
          </w:p>
        </w:tc>
        <w:tc>
          <w:tcPr>
            <w:tcW w:w="3095" w:type="dxa"/>
            <w:tcBorders>
              <w:top w:val="single" w:sz="4" w:space="0" w:color="auto"/>
              <w:left w:val="single" w:sz="4" w:space="0" w:color="auto"/>
              <w:bottom w:val="single" w:sz="4" w:space="0" w:color="auto"/>
              <w:right w:val="single" w:sz="4" w:space="0" w:color="auto"/>
            </w:tcBorders>
            <w:vAlign w:val="center"/>
          </w:tcPr>
          <w:p w14:paraId="6BAE9F27" w14:textId="77777777" w:rsidR="00E579B9" w:rsidRDefault="006A1398">
            <w:pPr>
              <w:pStyle w:val="aa"/>
            </w:pPr>
            <w:r>
              <w:rPr>
                <w:rFonts w:hint="eastAsia"/>
              </w:rPr>
              <w:t>新建（改、扩建）矿山采选项目应符合生态保护红线、主体功能区划、环境功能区划、国家重点生态功能区产业准入负</w:t>
            </w:r>
            <w:r>
              <w:rPr>
                <w:rFonts w:hint="eastAsia"/>
              </w:rPr>
              <w:lastRenderedPageBreak/>
              <w:t>面清单等要求。</w:t>
            </w:r>
            <w:bookmarkStart w:id="491" w:name="_Hlk535831344"/>
            <w:r>
              <w:rPr>
                <w:rFonts w:hint="eastAsia"/>
              </w:rPr>
              <w:t>禁止在依法划定的自然保护区、风景名胜区、饮用水水源保护区等重要生态保护地以及其他法律法规规定的禁采区域内建设矿山采选项目</w:t>
            </w:r>
            <w:bookmarkEnd w:id="491"/>
            <w:r>
              <w:rPr>
                <w:rFonts w:hint="eastAsia"/>
              </w:rPr>
              <w:t>。</w:t>
            </w:r>
          </w:p>
        </w:tc>
        <w:tc>
          <w:tcPr>
            <w:tcW w:w="3979" w:type="dxa"/>
            <w:tcBorders>
              <w:top w:val="single" w:sz="4" w:space="0" w:color="auto"/>
              <w:left w:val="single" w:sz="4" w:space="0" w:color="auto"/>
              <w:bottom w:val="single" w:sz="4" w:space="0" w:color="auto"/>
              <w:right w:val="single" w:sz="4" w:space="0" w:color="auto"/>
            </w:tcBorders>
            <w:vAlign w:val="center"/>
          </w:tcPr>
          <w:p w14:paraId="251C9036" w14:textId="77777777" w:rsidR="00E579B9" w:rsidRDefault="006A1398">
            <w:pPr>
              <w:pStyle w:val="aa"/>
            </w:pPr>
            <w:r>
              <w:lastRenderedPageBreak/>
              <w:t>根据《河南省生态保护红线划定方案》（</w:t>
            </w:r>
            <w:r>
              <w:t>2018</w:t>
            </w:r>
            <w:r>
              <w:t>年</w:t>
            </w:r>
            <w:r>
              <w:t>10</w:t>
            </w:r>
            <w:r>
              <w:t>月），</w:t>
            </w:r>
            <w:r>
              <w:rPr>
                <w:rFonts w:hint="eastAsia"/>
              </w:rPr>
              <w:t>本项目</w:t>
            </w:r>
            <w:r>
              <w:t>不在生态保护红线内。根据《河南省主体生态功能区划》、本项目符合主体功能区划、国家</w:t>
            </w:r>
            <w:r>
              <w:lastRenderedPageBreak/>
              <w:t>重点生态功能区产业准入负面清单，且本项目不在</w:t>
            </w:r>
            <w:r>
              <w:rPr>
                <w:kern w:val="0"/>
              </w:rPr>
              <w:t>依法划定的自然保护区、风景名胜区、饮用水水源保护区等重要生态保护地以及其他法律法规规定的禁采区域内。另外，</w:t>
            </w:r>
            <w:r>
              <w:t>评价区域范围内环境质量现状均满足相关标准，符合环境功能区划。</w:t>
            </w:r>
          </w:p>
        </w:tc>
        <w:tc>
          <w:tcPr>
            <w:tcW w:w="494" w:type="dxa"/>
            <w:tcBorders>
              <w:top w:val="single" w:sz="4" w:space="0" w:color="auto"/>
              <w:left w:val="single" w:sz="4" w:space="0" w:color="auto"/>
              <w:bottom w:val="single" w:sz="4" w:space="0" w:color="auto"/>
              <w:right w:val="single" w:sz="4" w:space="0" w:color="auto"/>
            </w:tcBorders>
            <w:vAlign w:val="center"/>
          </w:tcPr>
          <w:p w14:paraId="53D52788" w14:textId="77777777" w:rsidR="00E579B9" w:rsidRDefault="006A1398">
            <w:pPr>
              <w:pStyle w:val="aa"/>
            </w:pPr>
            <w:r>
              <w:lastRenderedPageBreak/>
              <w:t>相符</w:t>
            </w:r>
          </w:p>
        </w:tc>
      </w:tr>
      <w:tr w:rsidR="00E579B9" w14:paraId="0DF1EFB0" w14:textId="77777777">
        <w:trPr>
          <w:trHeight w:val="671"/>
          <w:jc w:val="center"/>
        </w:trPr>
        <w:tc>
          <w:tcPr>
            <w:tcW w:w="426" w:type="dxa"/>
            <w:tcBorders>
              <w:top w:val="single" w:sz="4" w:space="0" w:color="auto"/>
              <w:left w:val="single" w:sz="4" w:space="0" w:color="auto"/>
              <w:right w:val="single" w:sz="4" w:space="0" w:color="auto"/>
            </w:tcBorders>
            <w:vAlign w:val="center"/>
          </w:tcPr>
          <w:p w14:paraId="2DB83492" w14:textId="77777777" w:rsidR="00E579B9" w:rsidRDefault="006A1398">
            <w:pPr>
              <w:pStyle w:val="aa"/>
            </w:pPr>
            <w:r>
              <w:t>3</w:t>
            </w:r>
          </w:p>
        </w:tc>
        <w:tc>
          <w:tcPr>
            <w:tcW w:w="636" w:type="dxa"/>
            <w:vMerge/>
            <w:tcBorders>
              <w:top w:val="single" w:sz="4" w:space="0" w:color="auto"/>
              <w:left w:val="single" w:sz="4" w:space="0" w:color="auto"/>
              <w:bottom w:val="single" w:sz="4" w:space="0" w:color="auto"/>
              <w:right w:val="single" w:sz="4" w:space="0" w:color="auto"/>
            </w:tcBorders>
            <w:vAlign w:val="center"/>
          </w:tcPr>
          <w:p w14:paraId="0EC584BB" w14:textId="77777777" w:rsidR="00E579B9" w:rsidRDefault="00E579B9">
            <w:pPr>
              <w:pStyle w:val="aa"/>
            </w:pPr>
          </w:p>
        </w:tc>
        <w:tc>
          <w:tcPr>
            <w:tcW w:w="3095" w:type="dxa"/>
            <w:tcBorders>
              <w:top w:val="single" w:sz="4" w:space="0" w:color="auto"/>
              <w:left w:val="single" w:sz="4" w:space="0" w:color="auto"/>
              <w:right w:val="single" w:sz="4" w:space="0" w:color="auto"/>
            </w:tcBorders>
            <w:vAlign w:val="center"/>
          </w:tcPr>
          <w:p w14:paraId="4A81BC8B" w14:textId="6822534B" w:rsidR="00E579B9" w:rsidRPr="00DB1034" w:rsidRDefault="00964748">
            <w:pPr>
              <w:pStyle w:val="aa"/>
              <w:rPr>
                <w:szCs w:val="21"/>
              </w:rPr>
            </w:pPr>
            <w:r w:rsidRPr="00DB1034">
              <w:rPr>
                <w:rFonts w:cs="Times New Roman" w:hint="eastAsia"/>
                <w:color w:val="FF0000"/>
                <w:szCs w:val="21"/>
              </w:rPr>
              <w:t>严格控制新建露天矿山项目环境影响评价文件审批，原则上禁止新建露天矿山建设项目；</w:t>
            </w:r>
            <w:r w:rsidR="006A1398" w:rsidRPr="00DB1034">
              <w:rPr>
                <w:rFonts w:hint="eastAsia"/>
                <w:szCs w:val="21"/>
              </w:rPr>
              <w:t>矿山开采范围、废石场、表土场、尾矿库等应明确拐点坐标。鼓励采选一体化项目建设。矿石、废石、尾矿应尽量采用皮带廊道及管道输送，运矿专用线路应尽量避开学校、医院、集中居民区等环境敏感区域。</w:t>
            </w:r>
          </w:p>
        </w:tc>
        <w:tc>
          <w:tcPr>
            <w:tcW w:w="3979" w:type="dxa"/>
            <w:tcBorders>
              <w:top w:val="single" w:sz="4" w:space="0" w:color="auto"/>
              <w:left w:val="single" w:sz="4" w:space="0" w:color="auto"/>
              <w:right w:val="single" w:sz="4" w:space="0" w:color="auto"/>
            </w:tcBorders>
            <w:vAlign w:val="center"/>
          </w:tcPr>
          <w:p w14:paraId="6E2B0CB1" w14:textId="4682CA48" w:rsidR="00E579B9" w:rsidRDefault="000F7AFE">
            <w:pPr>
              <w:pStyle w:val="aa"/>
            </w:pPr>
            <w:r w:rsidRPr="000F7AFE">
              <w:rPr>
                <w:rFonts w:hint="eastAsia"/>
                <w:color w:val="FF0000"/>
              </w:rPr>
              <w:t>本项目为资源整合项目，</w:t>
            </w:r>
            <w:r w:rsidR="006A1398">
              <w:t>露天采场等拐点坐标已明确；运矿线路主要集中在矿区范围内，两侧</w:t>
            </w:r>
            <w:r w:rsidR="006A1398">
              <w:t>300m</w:t>
            </w:r>
            <w:r w:rsidR="006A1398">
              <w:t>范围内无学校、医院、集中居民区等环境敏感区域；</w:t>
            </w:r>
            <w:r w:rsidR="006A1398">
              <w:rPr>
                <w:rFonts w:hint="eastAsia"/>
              </w:rPr>
              <w:t>本项目无尾矿库</w:t>
            </w:r>
            <w:r w:rsidR="006A1398">
              <w:t>。</w:t>
            </w:r>
          </w:p>
        </w:tc>
        <w:tc>
          <w:tcPr>
            <w:tcW w:w="494" w:type="dxa"/>
            <w:tcBorders>
              <w:top w:val="single" w:sz="4" w:space="0" w:color="auto"/>
              <w:left w:val="single" w:sz="4" w:space="0" w:color="auto"/>
              <w:right w:val="single" w:sz="4" w:space="0" w:color="auto"/>
            </w:tcBorders>
            <w:vAlign w:val="center"/>
          </w:tcPr>
          <w:p w14:paraId="0492C73C" w14:textId="77777777" w:rsidR="00E579B9" w:rsidRDefault="006A1398">
            <w:pPr>
              <w:pStyle w:val="aa"/>
            </w:pPr>
            <w:r>
              <w:t>相符</w:t>
            </w:r>
          </w:p>
        </w:tc>
      </w:tr>
      <w:tr w:rsidR="00E579B9" w14:paraId="382D7122" w14:textId="77777777">
        <w:trPr>
          <w:trHeight w:val="20"/>
          <w:jc w:val="center"/>
        </w:trPr>
        <w:tc>
          <w:tcPr>
            <w:tcW w:w="426" w:type="dxa"/>
            <w:tcBorders>
              <w:top w:val="single" w:sz="4" w:space="0" w:color="auto"/>
              <w:left w:val="single" w:sz="4" w:space="0" w:color="auto"/>
              <w:bottom w:val="single" w:sz="4" w:space="0" w:color="auto"/>
              <w:right w:val="single" w:sz="4" w:space="0" w:color="auto"/>
            </w:tcBorders>
            <w:vAlign w:val="center"/>
          </w:tcPr>
          <w:p w14:paraId="1584F0D5" w14:textId="77777777" w:rsidR="00E579B9" w:rsidRDefault="006A1398">
            <w:pPr>
              <w:pStyle w:val="aa"/>
            </w:pPr>
            <w:r>
              <w:t>4</w:t>
            </w:r>
          </w:p>
        </w:tc>
        <w:tc>
          <w:tcPr>
            <w:tcW w:w="636" w:type="dxa"/>
            <w:tcBorders>
              <w:top w:val="single" w:sz="4" w:space="0" w:color="auto"/>
              <w:left w:val="single" w:sz="4" w:space="0" w:color="auto"/>
              <w:bottom w:val="single" w:sz="4" w:space="0" w:color="auto"/>
              <w:right w:val="single" w:sz="4" w:space="0" w:color="auto"/>
            </w:tcBorders>
            <w:vAlign w:val="center"/>
          </w:tcPr>
          <w:p w14:paraId="2817D035" w14:textId="77777777" w:rsidR="00E579B9" w:rsidRDefault="006A1398">
            <w:pPr>
              <w:pStyle w:val="aa"/>
            </w:pPr>
            <w:r>
              <w:t>三、环境质量要求</w:t>
            </w:r>
          </w:p>
        </w:tc>
        <w:tc>
          <w:tcPr>
            <w:tcW w:w="3095" w:type="dxa"/>
            <w:tcBorders>
              <w:top w:val="single" w:sz="4" w:space="0" w:color="auto"/>
              <w:left w:val="single" w:sz="4" w:space="0" w:color="auto"/>
              <w:bottom w:val="single" w:sz="4" w:space="0" w:color="auto"/>
              <w:right w:val="single" w:sz="4" w:space="0" w:color="auto"/>
            </w:tcBorders>
            <w:vAlign w:val="center"/>
          </w:tcPr>
          <w:p w14:paraId="349B36E7" w14:textId="77777777" w:rsidR="00E579B9" w:rsidRDefault="006A1398">
            <w:pPr>
              <w:pStyle w:val="aa"/>
            </w:pPr>
            <w:r>
              <w:rPr>
                <w:rFonts w:hint="eastAsia"/>
              </w:rPr>
              <w:t>环境质量现状满足环境功能区要求的区域，项目实施后环境质量仍应满足功能区要求；环境质量现状不能满足环境功能区要求的区域，应强化项目污染防治措施、并提出有效的区域削减措施，改善区域环境质量。</w:t>
            </w:r>
          </w:p>
        </w:tc>
        <w:tc>
          <w:tcPr>
            <w:tcW w:w="3979" w:type="dxa"/>
            <w:tcBorders>
              <w:top w:val="single" w:sz="4" w:space="0" w:color="auto"/>
              <w:left w:val="single" w:sz="4" w:space="0" w:color="auto"/>
              <w:bottom w:val="single" w:sz="4" w:space="0" w:color="auto"/>
              <w:right w:val="single" w:sz="4" w:space="0" w:color="auto"/>
            </w:tcBorders>
            <w:vAlign w:val="center"/>
          </w:tcPr>
          <w:p w14:paraId="419617DB" w14:textId="77777777" w:rsidR="00E579B9" w:rsidRDefault="006A1398">
            <w:pPr>
              <w:pStyle w:val="aa"/>
            </w:pPr>
            <w:r>
              <w:t>本项目区域环境质量现状</w:t>
            </w:r>
            <w:r>
              <w:rPr>
                <w:rFonts w:hint="eastAsia"/>
              </w:rPr>
              <w:t>满足环境功能区要求</w:t>
            </w:r>
            <w:r>
              <w:t>，根据环境影响预测结果，项目实施后各污染物均能达标排放，能够确保环境质量达标。本项目实施过程中严格遵循国家、省、市相关法规、政策及环境管理要求。</w:t>
            </w:r>
          </w:p>
        </w:tc>
        <w:tc>
          <w:tcPr>
            <w:tcW w:w="494" w:type="dxa"/>
            <w:tcBorders>
              <w:top w:val="single" w:sz="4" w:space="0" w:color="auto"/>
              <w:left w:val="single" w:sz="4" w:space="0" w:color="auto"/>
              <w:bottom w:val="single" w:sz="4" w:space="0" w:color="auto"/>
              <w:right w:val="single" w:sz="4" w:space="0" w:color="auto"/>
            </w:tcBorders>
            <w:vAlign w:val="center"/>
          </w:tcPr>
          <w:p w14:paraId="361E0187" w14:textId="77777777" w:rsidR="00E579B9" w:rsidRDefault="006A1398">
            <w:pPr>
              <w:pStyle w:val="aa"/>
            </w:pPr>
            <w:r>
              <w:t>相符</w:t>
            </w:r>
          </w:p>
        </w:tc>
      </w:tr>
      <w:tr w:rsidR="00E579B9" w14:paraId="086545C6" w14:textId="77777777">
        <w:trPr>
          <w:trHeight w:val="20"/>
          <w:jc w:val="center"/>
        </w:trPr>
        <w:tc>
          <w:tcPr>
            <w:tcW w:w="426" w:type="dxa"/>
            <w:tcBorders>
              <w:top w:val="single" w:sz="4" w:space="0" w:color="auto"/>
              <w:left w:val="single" w:sz="4" w:space="0" w:color="auto"/>
              <w:bottom w:val="single" w:sz="4" w:space="0" w:color="auto"/>
              <w:right w:val="single" w:sz="4" w:space="0" w:color="auto"/>
            </w:tcBorders>
            <w:vAlign w:val="center"/>
          </w:tcPr>
          <w:p w14:paraId="4259FE11" w14:textId="77777777" w:rsidR="00E579B9" w:rsidRDefault="006A1398">
            <w:pPr>
              <w:pStyle w:val="aa"/>
            </w:pPr>
            <w:r>
              <w:t>5</w:t>
            </w:r>
          </w:p>
        </w:tc>
        <w:tc>
          <w:tcPr>
            <w:tcW w:w="636" w:type="dxa"/>
            <w:tcBorders>
              <w:top w:val="single" w:sz="4" w:space="0" w:color="auto"/>
              <w:left w:val="single" w:sz="4" w:space="0" w:color="auto"/>
              <w:bottom w:val="single" w:sz="4" w:space="0" w:color="auto"/>
              <w:right w:val="single" w:sz="4" w:space="0" w:color="auto"/>
            </w:tcBorders>
            <w:vAlign w:val="center"/>
          </w:tcPr>
          <w:p w14:paraId="1174AE6A" w14:textId="77777777" w:rsidR="00E579B9" w:rsidRDefault="006A1398">
            <w:pPr>
              <w:pStyle w:val="aa"/>
            </w:pPr>
            <w:r>
              <w:t>四、防护距离要求</w:t>
            </w:r>
          </w:p>
        </w:tc>
        <w:tc>
          <w:tcPr>
            <w:tcW w:w="3095" w:type="dxa"/>
            <w:tcBorders>
              <w:top w:val="single" w:sz="4" w:space="0" w:color="auto"/>
              <w:left w:val="single" w:sz="4" w:space="0" w:color="auto"/>
              <w:bottom w:val="single" w:sz="4" w:space="0" w:color="auto"/>
              <w:right w:val="single" w:sz="4" w:space="0" w:color="auto"/>
            </w:tcBorders>
            <w:vAlign w:val="center"/>
          </w:tcPr>
          <w:p w14:paraId="4453E2FD" w14:textId="77777777" w:rsidR="00E579B9" w:rsidRDefault="006A1398">
            <w:pPr>
              <w:pStyle w:val="aa"/>
            </w:pPr>
            <w:r>
              <w:t>结合环境质量要求</w:t>
            </w:r>
            <w:r>
              <w:rPr>
                <w:rFonts w:hint="eastAsia"/>
              </w:rPr>
              <w:t>合理设置环境防护距离，环境防护距离内禁止布局新的环境敏感目标。环境防护距离内已有居民集中</w:t>
            </w:r>
            <w:r>
              <w:rPr>
                <w:rFonts w:hint="eastAsia"/>
              </w:rPr>
              <w:lastRenderedPageBreak/>
              <w:t>区、学校、医院等环境敏感目标的，应提出可行的处置方案。</w:t>
            </w:r>
          </w:p>
        </w:tc>
        <w:tc>
          <w:tcPr>
            <w:tcW w:w="3979" w:type="dxa"/>
            <w:tcBorders>
              <w:top w:val="single" w:sz="4" w:space="0" w:color="auto"/>
              <w:left w:val="single" w:sz="4" w:space="0" w:color="auto"/>
              <w:bottom w:val="single" w:sz="4" w:space="0" w:color="auto"/>
              <w:right w:val="single" w:sz="4" w:space="0" w:color="auto"/>
            </w:tcBorders>
            <w:vAlign w:val="center"/>
          </w:tcPr>
          <w:p w14:paraId="6137CC84" w14:textId="77777777" w:rsidR="00E579B9" w:rsidRDefault="006A1398">
            <w:pPr>
              <w:pStyle w:val="aa"/>
            </w:pPr>
            <w:r>
              <w:lastRenderedPageBreak/>
              <w:t>本项目已结合环境质量要求对露采场</w:t>
            </w:r>
            <w:r>
              <w:rPr>
                <w:rFonts w:hint="eastAsia"/>
              </w:rPr>
              <w:t>及表土场</w:t>
            </w:r>
            <w:r>
              <w:t>提出</w:t>
            </w:r>
            <w:r>
              <w:t>300m</w:t>
            </w:r>
            <w:r>
              <w:t>环境防护距离，环境防护距离内无村庄、学校、医院等敏感点。</w:t>
            </w:r>
          </w:p>
        </w:tc>
        <w:tc>
          <w:tcPr>
            <w:tcW w:w="494" w:type="dxa"/>
            <w:tcBorders>
              <w:top w:val="single" w:sz="4" w:space="0" w:color="auto"/>
              <w:left w:val="single" w:sz="4" w:space="0" w:color="auto"/>
              <w:bottom w:val="single" w:sz="4" w:space="0" w:color="auto"/>
              <w:right w:val="single" w:sz="4" w:space="0" w:color="auto"/>
            </w:tcBorders>
            <w:vAlign w:val="center"/>
          </w:tcPr>
          <w:p w14:paraId="34ADBE2B" w14:textId="77777777" w:rsidR="00E579B9" w:rsidRDefault="006A1398">
            <w:pPr>
              <w:pStyle w:val="aa"/>
            </w:pPr>
            <w:r>
              <w:t>相符</w:t>
            </w:r>
          </w:p>
        </w:tc>
      </w:tr>
      <w:tr w:rsidR="00E579B9" w14:paraId="2990C4AD" w14:textId="77777777">
        <w:trPr>
          <w:trHeight w:val="20"/>
          <w:jc w:val="center"/>
        </w:trPr>
        <w:tc>
          <w:tcPr>
            <w:tcW w:w="426" w:type="dxa"/>
            <w:tcBorders>
              <w:top w:val="single" w:sz="4" w:space="0" w:color="auto"/>
              <w:left w:val="single" w:sz="4" w:space="0" w:color="auto"/>
              <w:bottom w:val="single" w:sz="4" w:space="0" w:color="auto"/>
              <w:right w:val="single" w:sz="4" w:space="0" w:color="auto"/>
            </w:tcBorders>
            <w:vAlign w:val="center"/>
          </w:tcPr>
          <w:p w14:paraId="303281B7" w14:textId="77777777" w:rsidR="00E579B9" w:rsidRDefault="006A1398">
            <w:pPr>
              <w:pStyle w:val="aa"/>
            </w:pPr>
            <w:r>
              <w:t>6</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1CA71995" w14:textId="77777777" w:rsidR="00E579B9" w:rsidRDefault="006A1398">
            <w:pPr>
              <w:pStyle w:val="aa"/>
            </w:pPr>
            <w:r>
              <w:t>五、工艺装备要求</w:t>
            </w:r>
          </w:p>
        </w:tc>
        <w:tc>
          <w:tcPr>
            <w:tcW w:w="3095" w:type="dxa"/>
            <w:tcBorders>
              <w:top w:val="single" w:sz="4" w:space="0" w:color="auto"/>
              <w:left w:val="single" w:sz="4" w:space="0" w:color="auto"/>
              <w:bottom w:val="single" w:sz="4" w:space="0" w:color="auto"/>
              <w:right w:val="single" w:sz="4" w:space="0" w:color="auto"/>
            </w:tcBorders>
            <w:vAlign w:val="center"/>
          </w:tcPr>
          <w:p w14:paraId="518D2346" w14:textId="77777777" w:rsidR="00E579B9" w:rsidRDefault="006A1398">
            <w:pPr>
              <w:pStyle w:val="aa"/>
            </w:pPr>
            <w:r>
              <w:t>矿山采选</w:t>
            </w:r>
            <w:r>
              <w:rPr>
                <w:rFonts w:hint="eastAsia"/>
              </w:rPr>
              <w:t>建设</w:t>
            </w:r>
            <w:r>
              <w:t>项目的生产工艺和装备选择应符合《矿产资源节约与综合利用鼓励、限制和淘汰技术目录（修订稿）》、《金属非金属矿山禁止使用的设备及工艺目录》及《高耗能落后机电设备（产品）淘汰目录》的相关要求。</w:t>
            </w:r>
            <w:r>
              <w:rPr>
                <w:rFonts w:hint="eastAsia"/>
              </w:rPr>
              <w:t>矿产资源开采回采率、选矿回收率、综合利用率应符合相应的矿产资源合理开发利用“三率”指标要求。</w:t>
            </w:r>
          </w:p>
        </w:tc>
        <w:tc>
          <w:tcPr>
            <w:tcW w:w="3979" w:type="dxa"/>
            <w:tcBorders>
              <w:top w:val="single" w:sz="4" w:space="0" w:color="auto"/>
              <w:left w:val="single" w:sz="4" w:space="0" w:color="auto"/>
              <w:bottom w:val="single" w:sz="4" w:space="0" w:color="auto"/>
              <w:right w:val="single" w:sz="4" w:space="0" w:color="auto"/>
            </w:tcBorders>
            <w:vAlign w:val="center"/>
          </w:tcPr>
          <w:p w14:paraId="2E8F0C79" w14:textId="77777777" w:rsidR="00E579B9" w:rsidRDefault="006A1398">
            <w:pPr>
              <w:pStyle w:val="aa"/>
            </w:pPr>
            <w:r>
              <w:t>经查阅，本项目生产工艺和装备不在《矿产资源节约与综合利用鼓励、限制和淘汰技术目录（修订稿）》、《金属非金属矿山禁止使用的设备及工艺目录》及《高耗能落后机电设备（产品）淘汰目录》目录中。</w:t>
            </w:r>
            <w:r>
              <w:rPr>
                <w:rFonts w:hint="eastAsia"/>
              </w:rPr>
              <w:t>且本项目矿产资源开采回采率为</w:t>
            </w:r>
            <w:r>
              <w:rPr>
                <w:rFonts w:hint="eastAsia"/>
              </w:rPr>
              <w:t>9</w:t>
            </w:r>
            <w:r>
              <w:t>5%</w:t>
            </w:r>
            <w:r>
              <w:t>（满足</w:t>
            </w:r>
            <w:r>
              <w:t>90%</w:t>
            </w:r>
            <w:r>
              <w:t>的最低要求），</w:t>
            </w:r>
            <w:r>
              <w:rPr>
                <w:rFonts w:hint="eastAsia"/>
              </w:rPr>
              <w:t>表土、</w:t>
            </w:r>
            <w:r>
              <w:t>废石等固废综合利用率</w:t>
            </w:r>
            <w:r>
              <w:t>100%</w:t>
            </w:r>
            <w:r>
              <w:t>（满足</w:t>
            </w:r>
            <w:r>
              <w:t>60%</w:t>
            </w:r>
            <w:r>
              <w:t>的最低要求）</w:t>
            </w:r>
            <w:r>
              <w:rPr>
                <w:rFonts w:hint="eastAsia"/>
              </w:rPr>
              <w:t>，选矿回收率</w:t>
            </w:r>
            <w:r>
              <w:rPr>
                <w:rFonts w:hint="eastAsia"/>
              </w:rPr>
              <w:t>100</w:t>
            </w:r>
            <w:r>
              <w:t>%</w:t>
            </w:r>
          </w:p>
        </w:tc>
        <w:tc>
          <w:tcPr>
            <w:tcW w:w="494" w:type="dxa"/>
            <w:tcBorders>
              <w:top w:val="single" w:sz="4" w:space="0" w:color="auto"/>
              <w:left w:val="single" w:sz="4" w:space="0" w:color="auto"/>
              <w:bottom w:val="single" w:sz="4" w:space="0" w:color="auto"/>
              <w:right w:val="single" w:sz="4" w:space="0" w:color="auto"/>
            </w:tcBorders>
            <w:vAlign w:val="center"/>
          </w:tcPr>
          <w:p w14:paraId="40DE41D8" w14:textId="77777777" w:rsidR="00E579B9" w:rsidRDefault="006A1398">
            <w:pPr>
              <w:pStyle w:val="aa"/>
            </w:pPr>
            <w:r>
              <w:t>相符</w:t>
            </w:r>
          </w:p>
        </w:tc>
      </w:tr>
      <w:tr w:rsidR="00E579B9" w14:paraId="4EE41E53" w14:textId="77777777">
        <w:trPr>
          <w:trHeight w:val="20"/>
          <w:jc w:val="center"/>
        </w:trPr>
        <w:tc>
          <w:tcPr>
            <w:tcW w:w="426" w:type="dxa"/>
            <w:tcBorders>
              <w:top w:val="single" w:sz="4" w:space="0" w:color="auto"/>
              <w:left w:val="single" w:sz="4" w:space="0" w:color="auto"/>
              <w:bottom w:val="single" w:sz="4" w:space="0" w:color="auto"/>
              <w:right w:val="single" w:sz="4" w:space="0" w:color="auto"/>
            </w:tcBorders>
            <w:vAlign w:val="center"/>
          </w:tcPr>
          <w:p w14:paraId="31D5E615" w14:textId="77777777" w:rsidR="00E579B9" w:rsidRDefault="006A1398">
            <w:pPr>
              <w:pStyle w:val="aa"/>
            </w:pPr>
            <w:r>
              <w:t>7</w:t>
            </w:r>
          </w:p>
        </w:tc>
        <w:tc>
          <w:tcPr>
            <w:tcW w:w="636" w:type="dxa"/>
            <w:vMerge/>
            <w:tcBorders>
              <w:top w:val="single" w:sz="4" w:space="0" w:color="auto"/>
              <w:left w:val="single" w:sz="4" w:space="0" w:color="auto"/>
              <w:bottom w:val="single" w:sz="4" w:space="0" w:color="auto"/>
              <w:right w:val="single" w:sz="4" w:space="0" w:color="auto"/>
            </w:tcBorders>
            <w:vAlign w:val="center"/>
          </w:tcPr>
          <w:p w14:paraId="75E8872C" w14:textId="77777777" w:rsidR="00E579B9" w:rsidRDefault="00E579B9">
            <w:pPr>
              <w:pStyle w:val="aa"/>
            </w:pPr>
          </w:p>
        </w:tc>
        <w:tc>
          <w:tcPr>
            <w:tcW w:w="3095" w:type="dxa"/>
            <w:tcBorders>
              <w:top w:val="single" w:sz="4" w:space="0" w:color="auto"/>
              <w:left w:val="single" w:sz="4" w:space="0" w:color="auto"/>
              <w:bottom w:val="single" w:sz="4" w:space="0" w:color="auto"/>
              <w:right w:val="single" w:sz="4" w:space="0" w:color="auto"/>
            </w:tcBorders>
            <w:vAlign w:val="center"/>
          </w:tcPr>
          <w:p w14:paraId="74969120" w14:textId="77777777" w:rsidR="00E579B9" w:rsidRDefault="006A1398">
            <w:pPr>
              <w:pStyle w:val="aa"/>
            </w:pPr>
            <w:r>
              <w:rPr>
                <w:rFonts w:hint="eastAsia"/>
              </w:rPr>
              <w:t>改扩建露天矿山项目必须采用</w:t>
            </w:r>
            <w:r>
              <w:t>深孔爆破作业和台阶式开采方法</w:t>
            </w:r>
            <w:r>
              <w:rPr>
                <w:rFonts w:hint="eastAsia"/>
              </w:rPr>
              <w:t>，</w:t>
            </w:r>
            <w:r>
              <w:t>地下采矿</w:t>
            </w:r>
            <w:r>
              <w:rPr>
                <w:rFonts w:hint="eastAsia"/>
              </w:rPr>
              <w:t>项目</w:t>
            </w:r>
            <w:r>
              <w:t>具备充填开采条件的要积极推行充填法开采</w:t>
            </w:r>
            <w:r>
              <w:rPr>
                <w:rFonts w:hint="eastAsia"/>
              </w:rPr>
              <w:t>，</w:t>
            </w:r>
            <w:r>
              <w:t>鼓励尾矿干式堆存。</w:t>
            </w:r>
          </w:p>
        </w:tc>
        <w:tc>
          <w:tcPr>
            <w:tcW w:w="3979" w:type="dxa"/>
            <w:tcBorders>
              <w:top w:val="single" w:sz="4" w:space="0" w:color="auto"/>
              <w:left w:val="single" w:sz="4" w:space="0" w:color="auto"/>
              <w:bottom w:val="single" w:sz="4" w:space="0" w:color="auto"/>
              <w:right w:val="single" w:sz="4" w:space="0" w:color="auto"/>
            </w:tcBorders>
            <w:vAlign w:val="center"/>
          </w:tcPr>
          <w:p w14:paraId="4F4A796D" w14:textId="77777777" w:rsidR="00E579B9" w:rsidRDefault="006A1398">
            <w:pPr>
              <w:pStyle w:val="aa"/>
            </w:pPr>
            <w:r>
              <w:t>本项目建筑石料用</w:t>
            </w:r>
            <w:r>
              <w:rPr>
                <w:rFonts w:hint="eastAsia"/>
              </w:rPr>
              <w:t>大理</w:t>
            </w:r>
            <w:r>
              <w:t>岩露天矿山开采采用深孔多排孔微差挤压爆破作业和自上而下台阶式开采方法，设计年开采量</w:t>
            </w:r>
            <w:r>
              <w:t>230</w:t>
            </w:r>
            <w:r>
              <w:t>万吨，设计年限</w:t>
            </w:r>
            <w:r>
              <w:t>9.5</w:t>
            </w:r>
            <w:r>
              <w:t>年，可一次性采完，不留或少留边批。矿山开采方式为露天开采</w:t>
            </w:r>
            <w:r>
              <w:rPr>
                <w:rFonts w:hint="eastAsia"/>
              </w:rPr>
              <w:t>，本项目无尾矿库。</w:t>
            </w:r>
          </w:p>
        </w:tc>
        <w:tc>
          <w:tcPr>
            <w:tcW w:w="494" w:type="dxa"/>
            <w:tcBorders>
              <w:top w:val="single" w:sz="4" w:space="0" w:color="auto"/>
              <w:left w:val="single" w:sz="4" w:space="0" w:color="auto"/>
              <w:bottom w:val="single" w:sz="4" w:space="0" w:color="auto"/>
              <w:right w:val="single" w:sz="4" w:space="0" w:color="auto"/>
            </w:tcBorders>
            <w:vAlign w:val="center"/>
          </w:tcPr>
          <w:p w14:paraId="77212DBA" w14:textId="77777777" w:rsidR="00E579B9" w:rsidRDefault="006A1398">
            <w:pPr>
              <w:pStyle w:val="aa"/>
            </w:pPr>
            <w:r>
              <w:t>相符</w:t>
            </w:r>
          </w:p>
        </w:tc>
      </w:tr>
      <w:tr w:rsidR="00E579B9" w14:paraId="5C916CC3" w14:textId="77777777">
        <w:trPr>
          <w:trHeight w:val="20"/>
          <w:jc w:val="center"/>
        </w:trPr>
        <w:tc>
          <w:tcPr>
            <w:tcW w:w="426" w:type="dxa"/>
            <w:tcBorders>
              <w:top w:val="single" w:sz="4" w:space="0" w:color="auto"/>
              <w:left w:val="single" w:sz="4" w:space="0" w:color="auto"/>
              <w:bottom w:val="single" w:sz="4" w:space="0" w:color="auto"/>
              <w:right w:val="single" w:sz="4" w:space="0" w:color="auto"/>
            </w:tcBorders>
            <w:vAlign w:val="center"/>
          </w:tcPr>
          <w:p w14:paraId="206C2368" w14:textId="77777777" w:rsidR="00E579B9" w:rsidRDefault="006A1398">
            <w:pPr>
              <w:pStyle w:val="aa"/>
            </w:pPr>
            <w:r>
              <w:t>8</w:t>
            </w:r>
          </w:p>
        </w:tc>
        <w:tc>
          <w:tcPr>
            <w:tcW w:w="636" w:type="dxa"/>
            <w:tcBorders>
              <w:top w:val="single" w:sz="4" w:space="0" w:color="auto"/>
              <w:left w:val="single" w:sz="4" w:space="0" w:color="auto"/>
              <w:bottom w:val="single" w:sz="4" w:space="0" w:color="auto"/>
              <w:right w:val="single" w:sz="4" w:space="0" w:color="auto"/>
            </w:tcBorders>
            <w:vAlign w:val="center"/>
          </w:tcPr>
          <w:p w14:paraId="6F970AAB" w14:textId="77777777" w:rsidR="00E579B9" w:rsidRDefault="006A1398">
            <w:pPr>
              <w:pStyle w:val="aa"/>
            </w:pPr>
            <w:r>
              <w:t>六、生态保护要求</w:t>
            </w:r>
          </w:p>
        </w:tc>
        <w:tc>
          <w:tcPr>
            <w:tcW w:w="3095" w:type="dxa"/>
            <w:tcBorders>
              <w:top w:val="single" w:sz="4" w:space="0" w:color="auto"/>
              <w:left w:val="single" w:sz="4" w:space="0" w:color="auto"/>
              <w:bottom w:val="single" w:sz="4" w:space="0" w:color="auto"/>
              <w:right w:val="single" w:sz="4" w:space="0" w:color="auto"/>
            </w:tcBorders>
            <w:vAlign w:val="center"/>
          </w:tcPr>
          <w:p w14:paraId="108143AD" w14:textId="77777777" w:rsidR="00E579B9" w:rsidRDefault="006A1398">
            <w:pPr>
              <w:pStyle w:val="aa"/>
            </w:pPr>
            <w:r>
              <w:rPr>
                <w:rFonts w:hint="eastAsia"/>
              </w:rPr>
              <w:t>矿山采选项目生态环境保护应</w:t>
            </w:r>
            <w:r>
              <w:t>满足《矿山生态环境保护与恢复治理技术规范》的相关要求，按</w:t>
            </w:r>
            <w:r>
              <w:rPr>
                <w:rFonts w:hint="eastAsia"/>
              </w:rPr>
              <w:t>“</w:t>
            </w:r>
            <w:r>
              <w:t>边开采、边治理</w:t>
            </w:r>
            <w:r>
              <w:rPr>
                <w:rFonts w:hint="eastAsia"/>
              </w:rPr>
              <w:t>”</w:t>
            </w:r>
            <w:r>
              <w:t>的原则，分区域、分时段制定生态恢复计划。</w:t>
            </w:r>
            <w:r>
              <w:rPr>
                <w:rFonts w:hint="eastAsia"/>
              </w:rPr>
              <w:t>开采矿体临近有特殊环境敏感目标的，应通过优化采矿工艺、预留安全矿柱等措施，确保不影响环境敏感</w:t>
            </w:r>
            <w:r>
              <w:rPr>
                <w:rFonts w:hint="eastAsia"/>
              </w:rPr>
              <w:lastRenderedPageBreak/>
              <w:t>目标的功能，必要时提出禁采、限采要求。对矿山施工可能影响的、具有保护价值的动、植物资源。应根据其生态习性，采取就地、就近或宜地安置等保护措施。</w:t>
            </w:r>
          </w:p>
        </w:tc>
        <w:tc>
          <w:tcPr>
            <w:tcW w:w="3979" w:type="dxa"/>
            <w:tcBorders>
              <w:top w:val="single" w:sz="4" w:space="0" w:color="auto"/>
              <w:left w:val="single" w:sz="4" w:space="0" w:color="auto"/>
              <w:bottom w:val="single" w:sz="4" w:space="0" w:color="auto"/>
              <w:right w:val="single" w:sz="4" w:space="0" w:color="auto"/>
            </w:tcBorders>
            <w:vAlign w:val="center"/>
          </w:tcPr>
          <w:p w14:paraId="4A0DF992" w14:textId="77777777" w:rsidR="00E579B9" w:rsidRDefault="006A1398">
            <w:pPr>
              <w:pStyle w:val="aa"/>
            </w:pPr>
            <w:r>
              <w:lastRenderedPageBreak/>
              <w:t>本项目生态环境保护满足《矿山生态环境保护与恢复治理技术规范》的相关要求，按</w:t>
            </w:r>
            <w:r>
              <w:rPr>
                <w:rFonts w:hint="eastAsia"/>
              </w:rPr>
              <w:t>“</w:t>
            </w:r>
            <w:r>
              <w:t>边开采、边治理</w:t>
            </w:r>
            <w:r>
              <w:rPr>
                <w:rFonts w:hint="eastAsia"/>
              </w:rPr>
              <w:t>”</w:t>
            </w:r>
            <w:r>
              <w:t>的原则，分区域、分时段制定生态恢复计划</w:t>
            </w:r>
          </w:p>
        </w:tc>
        <w:tc>
          <w:tcPr>
            <w:tcW w:w="494" w:type="dxa"/>
            <w:tcBorders>
              <w:top w:val="single" w:sz="4" w:space="0" w:color="auto"/>
              <w:left w:val="single" w:sz="4" w:space="0" w:color="auto"/>
              <w:bottom w:val="single" w:sz="4" w:space="0" w:color="auto"/>
              <w:right w:val="single" w:sz="4" w:space="0" w:color="auto"/>
            </w:tcBorders>
            <w:vAlign w:val="center"/>
          </w:tcPr>
          <w:p w14:paraId="152C38F3" w14:textId="77777777" w:rsidR="00E579B9" w:rsidRDefault="006A1398">
            <w:pPr>
              <w:pStyle w:val="aa"/>
            </w:pPr>
            <w:r>
              <w:t>相符</w:t>
            </w:r>
          </w:p>
        </w:tc>
      </w:tr>
      <w:tr w:rsidR="00E579B9" w14:paraId="2D3F458F" w14:textId="77777777">
        <w:trPr>
          <w:trHeight w:val="246"/>
          <w:jc w:val="center"/>
        </w:trPr>
        <w:tc>
          <w:tcPr>
            <w:tcW w:w="426" w:type="dxa"/>
            <w:tcBorders>
              <w:top w:val="single" w:sz="4" w:space="0" w:color="auto"/>
              <w:left w:val="single" w:sz="4" w:space="0" w:color="auto"/>
              <w:bottom w:val="single" w:sz="4" w:space="0" w:color="auto"/>
              <w:right w:val="single" w:sz="4" w:space="0" w:color="auto"/>
            </w:tcBorders>
            <w:vAlign w:val="center"/>
          </w:tcPr>
          <w:p w14:paraId="52064E4E" w14:textId="77777777" w:rsidR="00E579B9" w:rsidRDefault="006A1398">
            <w:pPr>
              <w:pStyle w:val="aa"/>
            </w:pPr>
            <w:r>
              <w:t>9</w:t>
            </w:r>
          </w:p>
        </w:tc>
        <w:tc>
          <w:tcPr>
            <w:tcW w:w="636" w:type="dxa"/>
            <w:tcBorders>
              <w:top w:val="single" w:sz="4" w:space="0" w:color="auto"/>
              <w:left w:val="single" w:sz="4" w:space="0" w:color="auto"/>
              <w:bottom w:val="single" w:sz="4" w:space="0" w:color="auto"/>
              <w:right w:val="single" w:sz="4" w:space="0" w:color="auto"/>
            </w:tcBorders>
            <w:vAlign w:val="center"/>
          </w:tcPr>
          <w:p w14:paraId="56F6DB87" w14:textId="77777777" w:rsidR="00E579B9" w:rsidRDefault="006A1398">
            <w:pPr>
              <w:pStyle w:val="aa"/>
            </w:pPr>
            <w:r>
              <w:t>七、大气污染防治要求</w:t>
            </w:r>
          </w:p>
        </w:tc>
        <w:tc>
          <w:tcPr>
            <w:tcW w:w="3095" w:type="dxa"/>
            <w:tcBorders>
              <w:top w:val="single" w:sz="4" w:space="0" w:color="auto"/>
              <w:left w:val="single" w:sz="4" w:space="0" w:color="auto"/>
              <w:bottom w:val="single" w:sz="4" w:space="0" w:color="auto"/>
              <w:right w:val="single" w:sz="4" w:space="0" w:color="auto"/>
            </w:tcBorders>
            <w:vAlign w:val="center"/>
          </w:tcPr>
          <w:p w14:paraId="5750B809" w14:textId="77777777" w:rsidR="00E579B9" w:rsidRDefault="006A1398">
            <w:pPr>
              <w:pStyle w:val="aa"/>
            </w:pPr>
            <w:r>
              <w:rPr>
                <w:rFonts w:hint="eastAsia"/>
              </w:rPr>
              <w:t>废气防治措施应符合大气污染防治攻坚战相关要求。改扩建露天矿山项目应采取低尘爆破、机械采装、洒水作业等防尘措施。矿山采选项目的矿石、选矿产品、尾矿等输送廊道应实行全封闭，矿石及产品堆场应采取围挡及洒水抑尘措施。尾矿库、废石场、表土场应采取洒水抑尘措施。运输车辆加盖篷布，并设立车辆冲洗设施。矿山采选项目废气的无组织排放应满足相应污染物排放要求，并按国家及河南省有关规定满足相应特别排放限值要求。</w:t>
            </w:r>
          </w:p>
        </w:tc>
        <w:tc>
          <w:tcPr>
            <w:tcW w:w="3979" w:type="dxa"/>
            <w:tcBorders>
              <w:top w:val="single" w:sz="4" w:space="0" w:color="auto"/>
              <w:left w:val="single" w:sz="4" w:space="0" w:color="auto"/>
              <w:bottom w:val="single" w:sz="4" w:space="0" w:color="auto"/>
              <w:right w:val="single" w:sz="4" w:space="0" w:color="auto"/>
            </w:tcBorders>
            <w:vAlign w:val="center"/>
          </w:tcPr>
          <w:p w14:paraId="4EB123FC" w14:textId="77777777" w:rsidR="00E579B9" w:rsidRDefault="006A1398">
            <w:pPr>
              <w:pStyle w:val="aa"/>
            </w:pPr>
            <w:r>
              <w:t>本项目爆破采用先进的深孔多排孔微差挤压爆破，产生的大块较少，可有效降低爆破无组织粉尘的产生量。项目采用机械采装。装卸作业采用洒水降尘。钻孔作业采用自带捕尘器和压风器的潜孔钻机进行作业。本项目</w:t>
            </w:r>
            <w:r>
              <w:rPr>
                <w:rFonts w:hint="eastAsia"/>
              </w:rPr>
              <w:t>表土场周围</w:t>
            </w:r>
            <w:r>
              <w:t>设置围挡，采用防尘网覆盖并定期进行洒水抑尘，同时进行绿色设计，可有效降低扬尘污染。本项目环评提出运矿道路进行硬化，企业将积极配合，尽快完成道路硬化。选矿区内运输道路硬化，运输车辆加盖篷布，并设立车辆进出轮胎冲洗设施。</w:t>
            </w:r>
          </w:p>
        </w:tc>
        <w:tc>
          <w:tcPr>
            <w:tcW w:w="494" w:type="dxa"/>
            <w:tcBorders>
              <w:top w:val="single" w:sz="4" w:space="0" w:color="auto"/>
              <w:left w:val="single" w:sz="4" w:space="0" w:color="auto"/>
              <w:bottom w:val="single" w:sz="4" w:space="0" w:color="auto"/>
              <w:right w:val="single" w:sz="4" w:space="0" w:color="auto"/>
            </w:tcBorders>
            <w:vAlign w:val="center"/>
          </w:tcPr>
          <w:p w14:paraId="7CBE57E7" w14:textId="77777777" w:rsidR="00E579B9" w:rsidRDefault="006A1398">
            <w:pPr>
              <w:pStyle w:val="aa"/>
            </w:pPr>
            <w:r>
              <w:t>相符</w:t>
            </w:r>
          </w:p>
        </w:tc>
      </w:tr>
      <w:tr w:rsidR="00E579B9" w14:paraId="6E5EA8E4" w14:textId="77777777">
        <w:trPr>
          <w:trHeight w:val="20"/>
          <w:jc w:val="center"/>
        </w:trPr>
        <w:tc>
          <w:tcPr>
            <w:tcW w:w="426" w:type="dxa"/>
            <w:tcBorders>
              <w:top w:val="single" w:sz="4" w:space="0" w:color="auto"/>
              <w:left w:val="single" w:sz="4" w:space="0" w:color="auto"/>
              <w:bottom w:val="single" w:sz="4" w:space="0" w:color="auto"/>
              <w:right w:val="single" w:sz="4" w:space="0" w:color="auto"/>
            </w:tcBorders>
            <w:vAlign w:val="center"/>
          </w:tcPr>
          <w:p w14:paraId="6F5C568A" w14:textId="77777777" w:rsidR="00E579B9" w:rsidRDefault="006A1398">
            <w:pPr>
              <w:pStyle w:val="aa"/>
            </w:pPr>
            <w:r>
              <w:t>10</w:t>
            </w:r>
          </w:p>
        </w:tc>
        <w:tc>
          <w:tcPr>
            <w:tcW w:w="636" w:type="dxa"/>
            <w:tcBorders>
              <w:top w:val="single" w:sz="4" w:space="0" w:color="auto"/>
              <w:left w:val="single" w:sz="4" w:space="0" w:color="auto"/>
              <w:bottom w:val="single" w:sz="4" w:space="0" w:color="auto"/>
              <w:right w:val="single" w:sz="4" w:space="0" w:color="auto"/>
            </w:tcBorders>
            <w:vAlign w:val="center"/>
          </w:tcPr>
          <w:p w14:paraId="4470D2EF" w14:textId="77777777" w:rsidR="00E579B9" w:rsidRDefault="006A1398">
            <w:pPr>
              <w:pStyle w:val="aa"/>
            </w:pPr>
            <w:r>
              <w:t>八、水污染防治要求</w:t>
            </w:r>
          </w:p>
        </w:tc>
        <w:tc>
          <w:tcPr>
            <w:tcW w:w="3095" w:type="dxa"/>
            <w:tcBorders>
              <w:top w:val="single" w:sz="4" w:space="0" w:color="auto"/>
              <w:left w:val="single" w:sz="4" w:space="0" w:color="auto"/>
              <w:bottom w:val="single" w:sz="4" w:space="0" w:color="auto"/>
              <w:right w:val="single" w:sz="4" w:space="0" w:color="auto"/>
            </w:tcBorders>
            <w:vAlign w:val="center"/>
          </w:tcPr>
          <w:p w14:paraId="3758FCC2" w14:textId="77777777" w:rsidR="00E579B9" w:rsidRDefault="006A1398">
            <w:pPr>
              <w:pStyle w:val="aa"/>
            </w:pPr>
            <w:r>
              <w:rPr>
                <w:rFonts w:hint="eastAsia"/>
              </w:rPr>
              <w:t>采矿项目矿井涌水应尽可能回用生产或综合利用，剩余部分处理达标后可外排。矿山开采区、选厂等应采取必要的防渗措施，防治地下水污染。选厂的生产废水及初期雨水、矿石及废石场的淋溶水、尾矿库澄清水及渗滤水应收集回用，不外排。</w:t>
            </w:r>
          </w:p>
        </w:tc>
        <w:tc>
          <w:tcPr>
            <w:tcW w:w="3979" w:type="dxa"/>
            <w:tcBorders>
              <w:top w:val="single" w:sz="4" w:space="0" w:color="auto"/>
              <w:left w:val="single" w:sz="4" w:space="0" w:color="auto"/>
              <w:bottom w:val="single" w:sz="4" w:space="0" w:color="auto"/>
              <w:right w:val="single" w:sz="4" w:space="0" w:color="auto"/>
            </w:tcBorders>
            <w:vAlign w:val="center"/>
          </w:tcPr>
          <w:p w14:paraId="6BE56176" w14:textId="77777777" w:rsidR="00E579B9" w:rsidRDefault="006A1398">
            <w:pPr>
              <w:pStyle w:val="aa"/>
            </w:pPr>
            <w:r>
              <w:t>项目开采方式为露天开采，无矿井涌水。</w:t>
            </w:r>
            <w:r>
              <w:rPr>
                <w:rFonts w:hint="eastAsia"/>
              </w:rPr>
              <w:t>项目生产过程无废水产生，生活污水，经处理后用于降尘洒水</w:t>
            </w:r>
            <w:r>
              <w:t>。采矿工业场地设置</w:t>
            </w:r>
            <w:r>
              <w:rPr>
                <w:rFonts w:hint="eastAsia"/>
              </w:rPr>
              <w:t>4</w:t>
            </w:r>
            <w:r>
              <w:t>00</w:t>
            </w:r>
            <w:r>
              <w:rPr>
                <w:rFonts w:hint="eastAsia"/>
              </w:rPr>
              <w:t>m</w:t>
            </w:r>
            <w:r>
              <w:rPr>
                <w:vertAlign w:val="superscript"/>
              </w:rPr>
              <w:t>3</w:t>
            </w:r>
            <w:r>
              <w:rPr>
                <w:rFonts w:hint="eastAsia"/>
              </w:rPr>
              <w:t>的沉淀池一座</w:t>
            </w:r>
            <w:r>
              <w:t>，</w:t>
            </w:r>
            <w:r>
              <w:rPr>
                <w:rFonts w:hint="eastAsia"/>
              </w:rPr>
              <w:t>用于</w:t>
            </w:r>
            <w:r>
              <w:t>收集</w:t>
            </w:r>
            <w:r>
              <w:rPr>
                <w:rFonts w:hint="eastAsia"/>
              </w:rPr>
              <w:t>雨水，</w:t>
            </w:r>
            <w:r>
              <w:t>用于洒水抑尘，不外排</w:t>
            </w:r>
            <w:r>
              <w:rPr>
                <w:rFonts w:hint="eastAsia"/>
              </w:rPr>
              <w:t>，本项目无尾矿库。选厂的生产废水及初期雨水收集回用，不外排。</w:t>
            </w:r>
          </w:p>
        </w:tc>
        <w:tc>
          <w:tcPr>
            <w:tcW w:w="494" w:type="dxa"/>
            <w:tcBorders>
              <w:top w:val="single" w:sz="4" w:space="0" w:color="auto"/>
              <w:left w:val="single" w:sz="4" w:space="0" w:color="auto"/>
              <w:bottom w:val="single" w:sz="4" w:space="0" w:color="auto"/>
              <w:right w:val="single" w:sz="4" w:space="0" w:color="auto"/>
            </w:tcBorders>
            <w:vAlign w:val="center"/>
          </w:tcPr>
          <w:p w14:paraId="59D8D48A" w14:textId="77777777" w:rsidR="00E579B9" w:rsidRDefault="006A1398">
            <w:pPr>
              <w:pStyle w:val="aa"/>
            </w:pPr>
            <w:r>
              <w:t>相符</w:t>
            </w:r>
          </w:p>
        </w:tc>
      </w:tr>
      <w:tr w:rsidR="00E579B9" w14:paraId="7E6FBF2E" w14:textId="77777777">
        <w:trPr>
          <w:trHeight w:val="20"/>
          <w:jc w:val="center"/>
        </w:trPr>
        <w:tc>
          <w:tcPr>
            <w:tcW w:w="426" w:type="dxa"/>
            <w:tcBorders>
              <w:top w:val="single" w:sz="4" w:space="0" w:color="auto"/>
              <w:left w:val="single" w:sz="4" w:space="0" w:color="auto"/>
              <w:bottom w:val="single" w:sz="4" w:space="0" w:color="auto"/>
              <w:right w:val="single" w:sz="4" w:space="0" w:color="auto"/>
            </w:tcBorders>
            <w:vAlign w:val="center"/>
          </w:tcPr>
          <w:p w14:paraId="40822F36" w14:textId="77777777" w:rsidR="00E579B9" w:rsidRDefault="006A1398">
            <w:pPr>
              <w:pStyle w:val="aa"/>
            </w:pPr>
            <w:r>
              <w:lastRenderedPageBreak/>
              <w:t>11</w:t>
            </w:r>
          </w:p>
        </w:tc>
        <w:tc>
          <w:tcPr>
            <w:tcW w:w="636" w:type="dxa"/>
            <w:tcBorders>
              <w:top w:val="single" w:sz="4" w:space="0" w:color="auto"/>
              <w:left w:val="single" w:sz="4" w:space="0" w:color="auto"/>
              <w:bottom w:val="single" w:sz="4" w:space="0" w:color="auto"/>
              <w:right w:val="single" w:sz="4" w:space="0" w:color="auto"/>
            </w:tcBorders>
            <w:vAlign w:val="center"/>
          </w:tcPr>
          <w:p w14:paraId="5D59F22C" w14:textId="77777777" w:rsidR="00E579B9" w:rsidRDefault="006A1398">
            <w:pPr>
              <w:pStyle w:val="aa"/>
            </w:pPr>
            <w:r>
              <w:t>九、噪声污染防治要求</w:t>
            </w:r>
          </w:p>
        </w:tc>
        <w:tc>
          <w:tcPr>
            <w:tcW w:w="3095" w:type="dxa"/>
            <w:tcBorders>
              <w:top w:val="single" w:sz="4" w:space="0" w:color="auto"/>
              <w:left w:val="single" w:sz="4" w:space="0" w:color="auto"/>
              <w:bottom w:val="single" w:sz="4" w:space="0" w:color="auto"/>
              <w:right w:val="single" w:sz="4" w:space="0" w:color="auto"/>
            </w:tcBorders>
            <w:vAlign w:val="center"/>
          </w:tcPr>
          <w:p w14:paraId="5EAC6DBB" w14:textId="77777777" w:rsidR="00E579B9" w:rsidRDefault="006A1398">
            <w:pPr>
              <w:pStyle w:val="aa"/>
            </w:pPr>
            <w:r>
              <w:rPr>
                <w:rFonts w:hint="eastAsia"/>
              </w:rPr>
              <w:t>矿山采选建设项目施工期及运营期场界噪声应分别符合</w:t>
            </w:r>
            <w:r>
              <w:t>《建筑施工场界环境噪声排放标准》（</w:t>
            </w:r>
            <w:r>
              <w:t>GB12523</w:t>
            </w:r>
            <w:r>
              <w:t>）</w:t>
            </w:r>
            <w:r>
              <w:rPr>
                <w:rFonts w:hint="eastAsia"/>
              </w:rPr>
              <w:t>及《工业企业厂界环境噪声排放标准》（</w:t>
            </w:r>
            <w:r>
              <w:rPr>
                <w:rFonts w:hint="eastAsia"/>
              </w:rPr>
              <w:t>GB</w:t>
            </w:r>
            <w:r>
              <w:t>12348</w:t>
            </w:r>
            <w:r>
              <w:rPr>
                <w:rFonts w:hint="eastAsia"/>
              </w:rPr>
              <w:t>）</w:t>
            </w:r>
            <w:r>
              <w:t>要求</w:t>
            </w:r>
            <w:r>
              <w:rPr>
                <w:rFonts w:hint="eastAsia"/>
              </w:rPr>
              <w:t>。运输专用线路经过声环境敏感目标路段的，应分情况采取降噪措施，有效控制运输噪声影响。</w:t>
            </w:r>
          </w:p>
        </w:tc>
        <w:tc>
          <w:tcPr>
            <w:tcW w:w="3979" w:type="dxa"/>
            <w:tcBorders>
              <w:top w:val="single" w:sz="4" w:space="0" w:color="auto"/>
              <w:left w:val="single" w:sz="4" w:space="0" w:color="auto"/>
              <w:bottom w:val="single" w:sz="4" w:space="0" w:color="auto"/>
              <w:right w:val="single" w:sz="4" w:space="0" w:color="auto"/>
            </w:tcBorders>
            <w:vAlign w:val="center"/>
          </w:tcPr>
          <w:p w14:paraId="17FA806B" w14:textId="77777777" w:rsidR="00E579B9" w:rsidRDefault="006A1398">
            <w:pPr>
              <w:pStyle w:val="aa"/>
            </w:pPr>
            <w:r>
              <w:t>本项目采取优选低噪设备、安装减振基座、加装消声器等措施，结合地势的屏蔽和距离的阻隔等天然条件，项目施工期场界噪声应符合《建筑施工场界环境噪声排放标准》（</w:t>
            </w:r>
            <w:r>
              <w:t>GB12523-2011</w:t>
            </w:r>
            <w:r>
              <w:t>）要求，运营后矿山爆破时只产生瞬时强噪声，但爆破的时间间隔较长而爆破的持续时间短，因此对外界的声环境影响不大。主要露采设备工作时产生的噪声略高于国家规定的工业噪声标准，采取工人戴护耳器等措施解决。经以上措施处理过后区域环境噪声能，维持在原有的较低水平，能符合《工业企业厂界环境噪声排放标准》（</w:t>
            </w:r>
            <w:r>
              <w:t>GB12348-2008</w:t>
            </w:r>
            <w:r>
              <w:t>）要求；项目矿区道路设计双车道，运输优化路线，经过声环境敏感目标路段时，减速慢行，禁止鸣笛。</w:t>
            </w:r>
          </w:p>
        </w:tc>
        <w:tc>
          <w:tcPr>
            <w:tcW w:w="494" w:type="dxa"/>
            <w:tcBorders>
              <w:top w:val="single" w:sz="4" w:space="0" w:color="auto"/>
              <w:left w:val="single" w:sz="4" w:space="0" w:color="auto"/>
              <w:bottom w:val="single" w:sz="4" w:space="0" w:color="auto"/>
              <w:right w:val="single" w:sz="4" w:space="0" w:color="auto"/>
            </w:tcBorders>
            <w:vAlign w:val="center"/>
          </w:tcPr>
          <w:p w14:paraId="001D486A" w14:textId="77777777" w:rsidR="00E579B9" w:rsidRDefault="006A1398">
            <w:pPr>
              <w:pStyle w:val="aa"/>
            </w:pPr>
            <w:r>
              <w:t>相符</w:t>
            </w:r>
          </w:p>
        </w:tc>
      </w:tr>
      <w:tr w:rsidR="00E579B9" w14:paraId="7CF2DF2C" w14:textId="77777777">
        <w:trPr>
          <w:trHeight w:val="20"/>
          <w:jc w:val="center"/>
        </w:trPr>
        <w:tc>
          <w:tcPr>
            <w:tcW w:w="426" w:type="dxa"/>
            <w:tcBorders>
              <w:top w:val="single" w:sz="4" w:space="0" w:color="auto"/>
              <w:left w:val="single" w:sz="4" w:space="0" w:color="auto"/>
              <w:bottom w:val="single" w:sz="4" w:space="0" w:color="auto"/>
              <w:right w:val="single" w:sz="4" w:space="0" w:color="auto"/>
            </w:tcBorders>
            <w:vAlign w:val="center"/>
          </w:tcPr>
          <w:p w14:paraId="20063C27" w14:textId="77777777" w:rsidR="00E579B9" w:rsidRDefault="006A1398">
            <w:pPr>
              <w:pStyle w:val="aa"/>
            </w:pPr>
            <w:r>
              <w:t>12</w:t>
            </w:r>
          </w:p>
        </w:tc>
        <w:tc>
          <w:tcPr>
            <w:tcW w:w="636" w:type="dxa"/>
            <w:tcBorders>
              <w:top w:val="single" w:sz="4" w:space="0" w:color="auto"/>
              <w:left w:val="single" w:sz="4" w:space="0" w:color="auto"/>
              <w:bottom w:val="single" w:sz="4" w:space="0" w:color="auto"/>
              <w:right w:val="single" w:sz="4" w:space="0" w:color="auto"/>
            </w:tcBorders>
            <w:vAlign w:val="center"/>
          </w:tcPr>
          <w:p w14:paraId="2A3E705F" w14:textId="77777777" w:rsidR="00E579B9" w:rsidRDefault="006A1398">
            <w:pPr>
              <w:pStyle w:val="aa"/>
            </w:pPr>
            <w:r>
              <w:t>十、固废污染防治要求</w:t>
            </w:r>
          </w:p>
        </w:tc>
        <w:tc>
          <w:tcPr>
            <w:tcW w:w="3095" w:type="dxa"/>
            <w:tcBorders>
              <w:top w:val="single" w:sz="4" w:space="0" w:color="auto"/>
              <w:left w:val="single" w:sz="4" w:space="0" w:color="auto"/>
              <w:bottom w:val="single" w:sz="4" w:space="0" w:color="auto"/>
              <w:right w:val="single" w:sz="4" w:space="0" w:color="auto"/>
            </w:tcBorders>
            <w:vAlign w:val="center"/>
          </w:tcPr>
          <w:p w14:paraId="3869BBF0" w14:textId="77777777" w:rsidR="00E579B9" w:rsidRDefault="006A1398">
            <w:pPr>
              <w:pStyle w:val="aa"/>
            </w:pPr>
            <w:r>
              <w:t>按照</w:t>
            </w:r>
            <w:r>
              <w:t>“</w:t>
            </w:r>
            <w:r>
              <w:t>减量化、资源化、无害化</w:t>
            </w:r>
            <w:r>
              <w:t>”</w:t>
            </w:r>
            <w:r>
              <w:t>原则，根据废石</w:t>
            </w:r>
            <w:r>
              <w:rPr>
                <w:rFonts w:hint="eastAsia"/>
              </w:rPr>
              <w:t>、</w:t>
            </w:r>
            <w:r>
              <w:t>尾矿毒性浸出试验结果，妥善处置固体废物</w:t>
            </w:r>
            <w:r>
              <w:rPr>
                <w:rFonts w:hint="eastAsia"/>
              </w:rPr>
              <w:t>，鼓励废石、尾矿等资源化利用。废石场及尾矿库的选址、建设等应符合</w:t>
            </w:r>
            <w:r>
              <w:t>《一般工业固体废物贮存、处置场污染控制标准》（</w:t>
            </w:r>
            <w:r>
              <w:t>GB18599</w:t>
            </w:r>
            <w:r>
              <w:t>）、《危险废物贮存污染控制标准》（</w:t>
            </w:r>
            <w:r>
              <w:t>GB18597-2001</w:t>
            </w:r>
            <w:r>
              <w:t>）要求。</w:t>
            </w:r>
          </w:p>
        </w:tc>
        <w:tc>
          <w:tcPr>
            <w:tcW w:w="3979" w:type="dxa"/>
            <w:tcBorders>
              <w:top w:val="single" w:sz="4" w:space="0" w:color="auto"/>
              <w:left w:val="single" w:sz="4" w:space="0" w:color="auto"/>
              <w:bottom w:val="single" w:sz="4" w:space="0" w:color="auto"/>
              <w:right w:val="single" w:sz="4" w:space="0" w:color="auto"/>
            </w:tcBorders>
            <w:vAlign w:val="center"/>
          </w:tcPr>
          <w:p w14:paraId="4B5BAE58" w14:textId="77777777" w:rsidR="00E579B9" w:rsidRDefault="006A1398">
            <w:pPr>
              <w:pStyle w:val="aa"/>
            </w:pPr>
            <w:r>
              <w:t>项目固废主要为露天采出的表土</w:t>
            </w:r>
            <w:r>
              <w:rPr>
                <w:rFonts w:hint="eastAsia"/>
              </w:rPr>
              <w:t>、</w:t>
            </w:r>
            <w:r>
              <w:t>风化层</w:t>
            </w:r>
            <w:r>
              <w:rPr>
                <w:rFonts w:hint="eastAsia"/>
              </w:rPr>
              <w:t>和生活垃圾</w:t>
            </w:r>
            <w:r>
              <w:t>。前者运营期暂时堆存于</w:t>
            </w:r>
            <w:r>
              <w:rPr>
                <w:rFonts w:hint="eastAsia"/>
              </w:rPr>
              <w:t>表土场</w:t>
            </w:r>
            <w:r>
              <w:t>，</w:t>
            </w:r>
            <w:r>
              <w:rPr>
                <w:rFonts w:hint="eastAsia"/>
              </w:rPr>
              <w:t>后</w:t>
            </w:r>
            <w:r>
              <w:t>期用于生态恢复；</w:t>
            </w:r>
            <w:r>
              <w:rPr>
                <w:rFonts w:hint="eastAsia"/>
              </w:rPr>
              <w:t>风化层</w:t>
            </w:r>
            <w:r>
              <w:t>出售给砖厂，</w:t>
            </w:r>
            <w:r>
              <w:rPr>
                <w:rFonts w:hint="eastAsia"/>
              </w:rPr>
              <w:t>生活垃圾经集中收集后运至垃圾中转站，</w:t>
            </w:r>
            <w:r>
              <w:t>固体废物均得到妥善处置。</w:t>
            </w:r>
            <w:r>
              <w:rPr>
                <w:rFonts w:hint="eastAsia"/>
              </w:rPr>
              <w:t>表土场周围</w:t>
            </w:r>
            <w:r>
              <w:t>设置围挡、排水、防渗等设施，符合《一般工业固体废物贮存、处置场污染控制标准》（</w:t>
            </w:r>
            <w:r>
              <w:t>GB18599-2001</w:t>
            </w:r>
            <w:r>
              <w:t>）</w:t>
            </w:r>
            <w:r>
              <w:rPr>
                <w:rFonts w:hint="eastAsia"/>
              </w:rPr>
              <w:t>。</w:t>
            </w:r>
          </w:p>
        </w:tc>
        <w:tc>
          <w:tcPr>
            <w:tcW w:w="494" w:type="dxa"/>
            <w:tcBorders>
              <w:top w:val="single" w:sz="4" w:space="0" w:color="auto"/>
              <w:left w:val="single" w:sz="4" w:space="0" w:color="auto"/>
              <w:bottom w:val="single" w:sz="4" w:space="0" w:color="auto"/>
              <w:right w:val="single" w:sz="4" w:space="0" w:color="auto"/>
            </w:tcBorders>
            <w:vAlign w:val="center"/>
          </w:tcPr>
          <w:p w14:paraId="173C3CBD" w14:textId="77777777" w:rsidR="00E579B9" w:rsidRDefault="006A1398">
            <w:pPr>
              <w:pStyle w:val="aa"/>
            </w:pPr>
            <w:r>
              <w:t>相符</w:t>
            </w:r>
          </w:p>
        </w:tc>
      </w:tr>
      <w:tr w:rsidR="00E579B9" w14:paraId="628F988A" w14:textId="77777777">
        <w:trPr>
          <w:trHeight w:val="20"/>
          <w:jc w:val="center"/>
        </w:trPr>
        <w:tc>
          <w:tcPr>
            <w:tcW w:w="426" w:type="dxa"/>
            <w:tcBorders>
              <w:top w:val="single" w:sz="4" w:space="0" w:color="auto"/>
              <w:left w:val="single" w:sz="4" w:space="0" w:color="auto"/>
              <w:bottom w:val="single" w:sz="4" w:space="0" w:color="auto"/>
              <w:right w:val="single" w:sz="4" w:space="0" w:color="auto"/>
            </w:tcBorders>
            <w:vAlign w:val="center"/>
          </w:tcPr>
          <w:p w14:paraId="0C6883E3" w14:textId="77777777" w:rsidR="00E579B9" w:rsidRDefault="006A1398">
            <w:pPr>
              <w:pStyle w:val="aa"/>
            </w:pPr>
            <w:r>
              <w:t>13</w:t>
            </w:r>
          </w:p>
        </w:tc>
        <w:tc>
          <w:tcPr>
            <w:tcW w:w="636" w:type="dxa"/>
            <w:tcBorders>
              <w:top w:val="single" w:sz="4" w:space="0" w:color="auto"/>
              <w:left w:val="single" w:sz="4" w:space="0" w:color="auto"/>
              <w:bottom w:val="single" w:sz="4" w:space="0" w:color="auto"/>
              <w:right w:val="single" w:sz="4" w:space="0" w:color="auto"/>
            </w:tcBorders>
            <w:vAlign w:val="center"/>
          </w:tcPr>
          <w:p w14:paraId="20985A55" w14:textId="77777777" w:rsidR="00E579B9" w:rsidRDefault="006A1398">
            <w:pPr>
              <w:pStyle w:val="aa"/>
            </w:pPr>
            <w:r>
              <w:t>十一、环境风险</w:t>
            </w:r>
            <w:r>
              <w:lastRenderedPageBreak/>
              <w:t>防范要求</w:t>
            </w:r>
          </w:p>
        </w:tc>
        <w:tc>
          <w:tcPr>
            <w:tcW w:w="3095" w:type="dxa"/>
            <w:tcBorders>
              <w:top w:val="single" w:sz="4" w:space="0" w:color="auto"/>
              <w:left w:val="single" w:sz="4" w:space="0" w:color="auto"/>
              <w:bottom w:val="single" w:sz="4" w:space="0" w:color="auto"/>
              <w:right w:val="single" w:sz="4" w:space="0" w:color="auto"/>
            </w:tcBorders>
            <w:vAlign w:val="center"/>
          </w:tcPr>
          <w:p w14:paraId="0FCE3191" w14:textId="77777777" w:rsidR="00E579B9" w:rsidRDefault="006A1398">
            <w:pPr>
              <w:pStyle w:val="aa"/>
            </w:pPr>
            <w:r>
              <w:rPr>
                <w:rFonts w:hint="eastAsia"/>
              </w:rPr>
              <w:lastRenderedPageBreak/>
              <w:t>科学评价存在的环境风险，全面分析突发环境事件（事故）可能对环境造成的影响，提出风险防范及应急处置措施，并</w:t>
            </w:r>
            <w:r>
              <w:rPr>
                <w:rFonts w:hint="eastAsia"/>
              </w:rPr>
              <w:lastRenderedPageBreak/>
              <w:t>编制突发环境事件应急预案要求，纳入区域环境风险防范、应急应对联动机制。</w:t>
            </w:r>
          </w:p>
        </w:tc>
        <w:tc>
          <w:tcPr>
            <w:tcW w:w="3979" w:type="dxa"/>
            <w:tcBorders>
              <w:top w:val="single" w:sz="4" w:space="0" w:color="auto"/>
              <w:left w:val="single" w:sz="4" w:space="0" w:color="auto"/>
              <w:bottom w:val="single" w:sz="4" w:space="0" w:color="auto"/>
              <w:right w:val="single" w:sz="4" w:space="0" w:color="auto"/>
            </w:tcBorders>
            <w:vAlign w:val="center"/>
          </w:tcPr>
          <w:p w14:paraId="74505479" w14:textId="77777777" w:rsidR="00E579B9" w:rsidRDefault="006A1398">
            <w:pPr>
              <w:pStyle w:val="aa"/>
            </w:pPr>
            <w:r>
              <w:rPr>
                <w:rFonts w:hint="eastAsia"/>
              </w:rPr>
              <w:lastRenderedPageBreak/>
              <w:t>本次环评提出企业应编制</w:t>
            </w:r>
            <w:r>
              <w:t>环境风险应急预案</w:t>
            </w:r>
            <w:r>
              <w:rPr>
                <w:rFonts w:hint="eastAsia"/>
              </w:rPr>
              <w:t>，</w:t>
            </w:r>
            <w:r>
              <w:t>预案</w:t>
            </w:r>
            <w:r>
              <w:rPr>
                <w:rFonts w:hint="eastAsia"/>
              </w:rPr>
              <w:t>中将包含</w:t>
            </w:r>
            <w:r>
              <w:t>有效的环境风险防范及应急措施</w:t>
            </w:r>
            <w:r>
              <w:rPr>
                <w:rFonts w:hint="eastAsia"/>
              </w:rPr>
              <w:t>，并将其</w:t>
            </w:r>
            <w:r>
              <w:t>纳入区域环境风险应急联动机制</w:t>
            </w:r>
            <w:r>
              <w:rPr>
                <w:rFonts w:hint="eastAsia"/>
              </w:rPr>
              <w:t>。</w:t>
            </w:r>
          </w:p>
        </w:tc>
        <w:tc>
          <w:tcPr>
            <w:tcW w:w="494" w:type="dxa"/>
            <w:tcBorders>
              <w:top w:val="single" w:sz="4" w:space="0" w:color="auto"/>
              <w:left w:val="single" w:sz="4" w:space="0" w:color="auto"/>
              <w:bottom w:val="single" w:sz="4" w:space="0" w:color="auto"/>
              <w:right w:val="single" w:sz="4" w:space="0" w:color="auto"/>
            </w:tcBorders>
            <w:vAlign w:val="center"/>
          </w:tcPr>
          <w:p w14:paraId="48C5AD21" w14:textId="77777777" w:rsidR="00E579B9" w:rsidRDefault="006A1398">
            <w:pPr>
              <w:pStyle w:val="aa"/>
            </w:pPr>
            <w:r>
              <w:t>相符</w:t>
            </w:r>
          </w:p>
        </w:tc>
      </w:tr>
    </w:tbl>
    <w:p w14:paraId="39DBBFE6" w14:textId="77777777" w:rsidR="00E579B9" w:rsidRDefault="006A1398">
      <w:pPr>
        <w:rPr>
          <w:szCs w:val="24"/>
        </w:rPr>
      </w:pPr>
      <w:r>
        <w:rPr>
          <w:szCs w:val="24"/>
        </w:rPr>
        <w:t>经分析比较，评价认为本项目建设符合</w:t>
      </w:r>
      <w:r>
        <w:rPr>
          <w:rFonts w:hint="eastAsia"/>
        </w:rPr>
        <w:t>《河南省矿山采选建设项目环境影响评价文件审批原则（修订）》（豫环办〔</w:t>
      </w:r>
      <w:r>
        <w:rPr>
          <w:rFonts w:hint="eastAsia"/>
        </w:rPr>
        <w:t>2018</w:t>
      </w:r>
      <w:r>
        <w:rPr>
          <w:rFonts w:hint="eastAsia"/>
        </w:rPr>
        <w:t>〕</w:t>
      </w:r>
      <w:r>
        <w:rPr>
          <w:rFonts w:hint="eastAsia"/>
        </w:rPr>
        <w:t>209</w:t>
      </w:r>
      <w:r>
        <w:rPr>
          <w:rFonts w:hint="eastAsia"/>
        </w:rPr>
        <w:t>号）相关</w:t>
      </w:r>
      <w:r>
        <w:rPr>
          <w:szCs w:val="24"/>
        </w:rPr>
        <w:t>要求。</w:t>
      </w:r>
    </w:p>
    <w:p w14:paraId="3E5DA542" w14:textId="77777777" w:rsidR="00E579B9" w:rsidRDefault="006A1398">
      <w:pPr>
        <w:pStyle w:val="3"/>
        <w:ind w:firstLine="560"/>
        <w:rPr>
          <w:snapToGrid w:val="0"/>
        </w:rPr>
      </w:pPr>
      <w:r>
        <w:rPr>
          <w:rFonts w:hint="eastAsia"/>
        </w:rPr>
        <w:t>10.1.8</w:t>
      </w:r>
      <w:r>
        <w:rPr>
          <w:snapToGrid w:val="0"/>
        </w:rPr>
        <w:t>本项目与《河南省露天矿山综合整治三年行动计划（</w:t>
      </w:r>
      <w:r>
        <w:rPr>
          <w:snapToGrid w:val="0"/>
        </w:rPr>
        <w:t>2018-2020</w:t>
      </w:r>
      <w:r>
        <w:rPr>
          <w:snapToGrid w:val="0"/>
        </w:rPr>
        <w:t>年）实施方案》相符性分析</w:t>
      </w:r>
    </w:p>
    <w:p w14:paraId="2999B27D" w14:textId="77777777" w:rsidR="00E579B9" w:rsidRDefault="006A1398">
      <w:pPr>
        <w:pStyle w:val="21"/>
        <w:ind w:firstLineChars="0" w:firstLine="0"/>
        <w:jc w:val="center"/>
        <w:rPr>
          <w:snapToGrid w:val="0"/>
        </w:rPr>
      </w:pPr>
      <w:r>
        <w:t>表</w:t>
      </w:r>
      <w:r>
        <w:t>10.1-3</w:t>
      </w:r>
      <w:r>
        <w:t>与《河南省露天矿山综合整治三年行动计划（</w:t>
      </w:r>
      <w:r>
        <w:t>2018-2020</w:t>
      </w:r>
      <w:r>
        <w:t>年）实施方案》相符性</w:t>
      </w:r>
      <w:r>
        <w:rPr>
          <w:rFonts w:hint="eastAsia"/>
        </w:rPr>
        <w:t>分析</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91"/>
        <w:gridCol w:w="636"/>
        <w:gridCol w:w="846"/>
        <w:gridCol w:w="3641"/>
        <w:gridCol w:w="2365"/>
        <w:gridCol w:w="651"/>
      </w:tblGrid>
      <w:tr w:rsidR="00E579B9" w14:paraId="076CB23A" w14:textId="77777777">
        <w:trPr>
          <w:jc w:val="center"/>
        </w:trPr>
        <w:tc>
          <w:tcPr>
            <w:tcW w:w="491" w:type="dxa"/>
            <w:tcBorders>
              <w:top w:val="single" w:sz="4" w:space="0" w:color="auto"/>
              <w:left w:val="single" w:sz="4" w:space="0" w:color="auto"/>
              <w:bottom w:val="single" w:sz="4" w:space="0" w:color="auto"/>
              <w:right w:val="single" w:sz="4" w:space="0" w:color="auto"/>
            </w:tcBorders>
            <w:vAlign w:val="center"/>
          </w:tcPr>
          <w:p w14:paraId="08613344" w14:textId="77777777" w:rsidR="00E579B9" w:rsidRDefault="006A1398">
            <w:pPr>
              <w:pStyle w:val="aa"/>
            </w:pPr>
            <w:r>
              <w:t>序号</w:t>
            </w:r>
          </w:p>
        </w:tc>
        <w:tc>
          <w:tcPr>
            <w:tcW w:w="1482" w:type="dxa"/>
            <w:gridSpan w:val="2"/>
            <w:tcBorders>
              <w:top w:val="single" w:sz="4" w:space="0" w:color="auto"/>
              <w:left w:val="single" w:sz="4" w:space="0" w:color="auto"/>
              <w:bottom w:val="single" w:sz="4" w:space="0" w:color="auto"/>
              <w:right w:val="single" w:sz="4" w:space="0" w:color="auto"/>
            </w:tcBorders>
            <w:vAlign w:val="center"/>
          </w:tcPr>
          <w:p w14:paraId="13F8609E" w14:textId="77777777" w:rsidR="00E579B9" w:rsidRDefault="006A1398">
            <w:pPr>
              <w:pStyle w:val="aa"/>
            </w:pPr>
            <w:r>
              <w:rPr>
                <w:rFonts w:hint="eastAsia"/>
              </w:rPr>
              <w:t>类别</w:t>
            </w:r>
          </w:p>
        </w:tc>
        <w:tc>
          <w:tcPr>
            <w:tcW w:w="3641" w:type="dxa"/>
            <w:tcBorders>
              <w:top w:val="single" w:sz="4" w:space="0" w:color="auto"/>
              <w:left w:val="single" w:sz="4" w:space="0" w:color="auto"/>
              <w:bottom w:val="single" w:sz="4" w:space="0" w:color="auto"/>
              <w:right w:val="single" w:sz="4" w:space="0" w:color="auto"/>
            </w:tcBorders>
            <w:vAlign w:val="center"/>
          </w:tcPr>
          <w:p w14:paraId="3A9F479E" w14:textId="77777777" w:rsidR="00E579B9" w:rsidRDefault="006A1398">
            <w:pPr>
              <w:pStyle w:val="aa"/>
            </w:pPr>
            <w:r>
              <w:t>相关要求</w:t>
            </w:r>
          </w:p>
        </w:tc>
        <w:tc>
          <w:tcPr>
            <w:tcW w:w="2365" w:type="dxa"/>
            <w:tcBorders>
              <w:top w:val="single" w:sz="4" w:space="0" w:color="auto"/>
              <w:left w:val="single" w:sz="4" w:space="0" w:color="auto"/>
              <w:bottom w:val="single" w:sz="4" w:space="0" w:color="auto"/>
              <w:right w:val="single" w:sz="4" w:space="0" w:color="auto"/>
            </w:tcBorders>
            <w:vAlign w:val="center"/>
          </w:tcPr>
          <w:p w14:paraId="0B8B5769" w14:textId="77777777" w:rsidR="00E579B9" w:rsidRDefault="006A1398">
            <w:pPr>
              <w:pStyle w:val="aa"/>
            </w:pPr>
            <w:r>
              <w:t>本项目情况</w:t>
            </w:r>
          </w:p>
        </w:tc>
        <w:tc>
          <w:tcPr>
            <w:tcW w:w="651" w:type="dxa"/>
            <w:tcBorders>
              <w:top w:val="single" w:sz="4" w:space="0" w:color="auto"/>
              <w:left w:val="single" w:sz="4" w:space="0" w:color="auto"/>
              <w:bottom w:val="single" w:sz="4" w:space="0" w:color="auto"/>
              <w:right w:val="single" w:sz="4" w:space="0" w:color="auto"/>
            </w:tcBorders>
            <w:vAlign w:val="center"/>
          </w:tcPr>
          <w:p w14:paraId="7BA516E8" w14:textId="77777777" w:rsidR="00E579B9" w:rsidRDefault="006A1398">
            <w:pPr>
              <w:pStyle w:val="aa"/>
            </w:pPr>
            <w:r>
              <w:t>相符性</w:t>
            </w:r>
          </w:p>
        </w:tc>
      </w:tr>
      <w:tr w:rsidR="00E579B9" w14:paraId="6423835A" w14:textId="77777777">
        <w:trPr>
          <w:trHeight w:val="1065"/>
          <w:jc w:val="center"/>
        </w:trPr>
        <w:tc>
          <w:tcPr>
            <w:tcW w:w="491" w:type="dxa"/>
            <w:tcBorders>
              <w:top w:val="single" w:sz="4" w:space="0" w:color="auto"/>
              <w:left w:val="single" w:sz="4" w:space="0" w:color="auto"/>
              <w:bottom w:val="single" w:sz="4" w:space="0" w:color="auto"/>
              <w:right w:val="single" w:sz="4" w:space="0" w:color="auto"/>
            </w:tcBorders>
            <w:vAlign w:val="center"/>
          </w:tcPr>
          <w:p w14:paraId="6FFE1CEE" w14:textId="77777777" w:rsidR="00E579B9" w:rsidRDefault="006A1398">
            <w:pPr>
              <w:pStyle w:val="aa"/>
            </w:pPr>
            <w:r>
              <w:t>1</w:t>
            </w:r>
          </w:p>
        </w:tc>
        <w:tc>
          <w:tcPr>
            <w:tcW w:w="1482" w:type="dxa"/>
            <w:gridSpan w:val="2"/>
            <w:tcBorders>
              <w:top w:val="single" w:sz="4" w:space="0" w:color="auto"/>
              <w:left w:val="single" w:sz="4" w:space="0" w:color="auto"/>
              <w:bottom w:val="single" w:sz="4" w:space="0" w:color="auto"/>
              <w:right w:val="single" w:sz="4" w:space="0" w:color="auto"/>
            </w:tcBorders>
            <w:vAlign w:val="center"/>
          </w:tcPr>
          <w:p w14:paraId="02A8C9B4" w14:textId="77777777" w:rsidR="00E579B9" w:rsidRDefault="006A1398">
            <w:pPr>
              <w:pStyle w:val="aa"/>
            </w:pPr>
            <w:r>
              <w:rPr>
                <w:rFonts w:hint="eastAsia"/>
              </w:rPr>
              <w:t>一、总体要求</w:t>
            </w:r>
          </w:p>
        </w:tc>
        <w:tc>
          <w:tcPr>
            <w:tcW w:w="3641" w:type="dxa"/>
            <w:tcBorders>
              <w:top w:val="single" w:sz="4" w:space="0" w:color="auto"/>
              <w:left w:val="single" w:sz="4" w:space="0" w:color="auto"/>
              <w:bottom w:val="single" w:sz="4" w:space="0" w:color="auto"/>
              <w:right w:val="single" w:sz="4" w:space="0" w:color="auto"/>
            </w:tcBorders>
            <w:vAlign w:val="center"/>
          </w:tcPr>
          <w:p w14:paraId="204EBFF5" w14:textId="77777777" w:rsidR="00E579B9" w:rsidRDefault="006A1398">
            <w:pPr>
              <w:pStyle w:val="aa"/>
            </w:pPr>
            <w:r>
              <w:t>生态保护红线内的区域，禁止新建露天矿山项目，已设露天矿山全面退出</w:t>
            </w:r>
          </w:p>
        </w:tc>
        <w:tc>
          <w:tcPr>
            <w:tcW w:w="2365" w:type="dxa"/>
            <w:tcBorders>
              <w:top w:val="single" w:sz="4" w:space="0" w:color="auto"/>
              <w:left w:val="single" w:sz="4" w:space="0" w:color="auto"/>
              <w:bottom w:val="single" w:sz="4" w:space="0" w:color="auto"/>
              <w:right w:val="single" w:sz="4" w:space="0" w:color="auto"/>
            </w:tcBorders>
            <w:vAlign w:val="center"/>
          </w:tcPr>
          <w:p w14:paraId="0826CB03" w14:textId="77777777" w:rsidR="00E579B9" w:rsidRDefault="006A1398">
            <w:pPr>
              <w:pStyle w:val="aa"/>
            </w:pPr>
            <w:r>
              <w:rPr>
                <w:rFonts w:hint="eastAsia"/>
              </w:rPr>
              <w:t>根据驻马店市生态红线示意图，</w:t>
            </w:r>
            <w:r>
              <w:t>本项目不在生态保护区红线内。</w:t>
            </w:r>
          </w:p>
        </w:tc>
        <w:tc>
          <w:tcPr>
            <w:tcW w:w="651" w:type="dxa"/>
            <w:tcBorders>
              <w:top w:val="single" w:sz="4" w:space="0" w:color="auto"/>
              <w:left w:val="single" w:sz="4" w:space="0" w:color="auto"/>
              <w:bottom w:val="single" w:sz="4" w:space="0" w:color="auto"/>
              <w:right w:val="single" w:sz="4" w:space="0" w:color="auto"/>
            </w:tcBorders>
            <w:vAlign w:val="center"/>
          </w:tcPr>
          <w:p w14:paraId="5346F4A0" w14:textId="77777777" w:rsidR="00E579B9" w:rsidRDefault="006A1398">
            <w:pPr>
              <w:pStyle w:val="aa"/>
            </w:pPr>
            <w:r>
              <w:t>相符</w:t>
            </w:r>
          </w:p>
        </w:tc>
      </w:tr>
      <w:tr w:rsidR="00E579B9" w14:paraId="1EACE9FB" w14:textId="77777777">
        <w:trPr>
          <w:jc w:val="center"/>
        </w:trPr>
        <w:tc>
          <w:tcPr>
            <w:tcW w:w="491" w:type="dxa"/>
            <w:tcBorders>
              <w:top w:val="single" w:sz="4" w:space="0" w:color="auto"/>
              <w:left w:val="single" w:sz="4" w:space="0" w:color="auto"/>
              <w:right w:val="single" w:sz="4" w:space="0" w:color="auto"/>
            </w:tcBorders>
            <w:vAlign w:val="center"/>
          </w:tcPr>
          <w:p w14:paraId="4172FCBF" w14:textId="77777777" w:rsidR="00E579B9" w:rsidRDefault="006A1398">
            <w:pPr>
              <w:pStyle w:val="aa"/>
            </w:pPr>
            <w:r>
              <w:t>2</w:t>
            </w:r>
          </w:p>
        </w:tc>
        <w:tc>
          <w:tcPr>
            <w:tcW w:w="636" w:type="dxa"/>
            <w:vMerge w:val="restart"/>
            <w:tcBorders>
              <w:top w:val="single" w:sz="4" w:space="0" w:color="auto"/>
              <w:left w:val="single" w:sz="4" w:space="0" w:color="auto"/>
              <w:right w:val="single" w:sz="4" w:space="0" w:color="auto"/>
            </w:tcBorders>
            <w:vAlign w:val="center"/>
          </w:tcPr>
          <w:p w14:paraId="7356F82F" w14:textId="77777777" w:rsidR="00E579B9" w:rsidRDefault="006A1398">
            <w:pPr>
              <w:pStyle w:val="aa"/>
            </w:pPr>
            <w:r>
              <w:rPr>
                <w:rFonts w:hint="eastAsia"/>
              </w:rPr>
              <w:t>二、主要任务</w:t>
            </w:r>
          </w:p>
        </w:tc>
        <w:tc>
          <w:tcPr>
            <w:tcW w:w="846" w:type="dxa"/>
            <w:tcBorders>
              <w:top w:val="single" w:sz="4" w:space="0" w:color="auto"/>
              <w:left w:val="single" w:sz="4" w:space="0" w:color="auto"/>
              <w:bottom w:val="single" w:sz="4" w:space="0" w:color="auto"/>
              <w:right w:val="single" w:sz="4" w:space="0" w:color="auto"/>
            </w:tcBorders>
            <w:vAlign w:val="center"/>
          </w:tcPr>
          <w:p w14:paraId="6A7C2A3E" w14:textId="77777777" w:rsidR="00E579B9" w:rsidRDefault="006A1398">
            <w:pPr>
              <w:pStyle w:val="aa"/>
            </w:pPr>
            <w:r>
              <w:rPr>
                <w:rFonts w:hint="eastAsia"/>
              </w:rPr>
              <w:t>（五）生态修复</w:t>
            </w:r>
          </w:p>
        </w:tc>
        <w:tc>
          <w:tcPr>
            <w:tcW w:w="3641" w:type="dxa"/>
            <w:tcBorders>
              <w:top w:val="single" w:sz="4" w:space="0" w:color="auto"/>
              <w:left w:val="single" w:sz="4" w:space="0" w:color="auto"/>
              <w:right w:val="single" w:sz="4" w:space="0" w:color="auto"/>
            </w:tcBorders>
            <w:vAlign w:val="center"/>
          </w:tcPr>
          <w:p w14:paraId="386D8070" w14:textId="77777777" w:rsidR="00E579B9" w:rsidRDefault="006A1398">
            <w:pPr>
              <w:pStyle w:val="aa"/>
            </w:pPr>
            <w:r>
              <w:rPr>
                <w:rFonts w:hint="eastAsia"/>
              </w:rPr>
              <w:t>露天矿山要按照“谁开采、谁保护、边开采、边治理”原则，加大矿山环境保护和生态修复的力度，按照绿色矿山建设的标准，以环境影响评价报告、地质环境保护与土地复垦方案和水土保持方案等设计内容和批复要求，认真开展生态修复，努力恢复绿水青山。对主动退出或政策性强制关闭的露天矿山，按照“谁破坏、谁治理”的原则，责令限期履行生态环境治理恢复的义务。</w:t>
            </w:r>
          </w:p>
        </w:tc>
        <w:tc>
          <w:tcPr>
            <w:tcW w:w="2365" w:type="dxa"/>
            <w:tcBorders>
              <w:top w:val="single" w:sz="4" w:space="0" w:color="auto"/>
              <w:left w:val="single" w:sz="4" w:space="0" w:color="auto"/>
              <w:right w:val="single" w:sz="4" w:space="0" w:color="auto"/>
            </w:tcBorders>
            <w:vAlign w:val="center"/>
          </w:tcPr>
          <w:p w14:paraId="5BE52273" w14:textId="77777777" w:rsidR="00E579B9" w:rsidRDefault="006A1398">
            <w:pPr>
              <w:pStyle w:val="aa"/>
            </w:pPr>
            <w:r>
              <w:t>企业目前正在积极创建</w:t>
            </w:r>
            <w:r>
              <w:rPr>
                <w:rFonts w:hint="eastAsia"/>
              </w:rPr>
              <w:t>“</w:t>
            </w:r>
            <w:r>
              <w:t>绿色矿山</w:t>
            </w:r>
            <w:r>
              <w:rPr>
                <w:rFonts w:hint="eastAsia"/>
              </w:rPr>
              <w:t>”</w:t>
            </w:r>
            <w:r>
              <w:t>，在不断提高矿产开发综合利用水平的基础上，已投资对矿区边坡、运输道路等区域进行了生态恢复。企业拟在后期运营以及闭矿期内进一步完善矿区绿化，改善生态环境，防治水土流失。</w:t>
            </w:r>
          </w:p>
        </w:tc>
        <w:tc>
          <w:tcPr>
            <w:tcW w:w="651" w:type="dxa"/>
            <w:vMerge w:val="restart"/>
            <w:tcBorders>
              <w:top w:val="single" w:sz="4" w:space="0" w:color="auto"/>
              <w:left w:val="single" w:sz="4" w:space="0" w:color="auto"/>
              <w:right w:val="single" w:sz="4" w:space="0" w:color="auto"/>
            </w:tcBorders>
            <w:vAlign w:val="center"/>
          </w:tcPr>
          <w:p w14:paraId="006786D9" w14:textId="77777777" w:rsidR="00E579B9" w:rsidRDefault="006A1398">
            <w:pPr>
              <w:pStyle w:val="aa"/>
            </w:pPr>
            <w:r>
              <w:t>相符</w:t>
            </w:r>
          </w:p>
        </w:tc>
      </w:tr>
      <w:tr w:rsidR="00E579B9" w14:paraId="0E9320BA" w14:textId="77777777">
        <w:trPr>
          <w:trHeight w:val="711"/>
          <w:jc w:val="center"/>
        </w:trPr>
        <w:tc>
          <w:tcPr>
            <w:tcW w:w="491" w:type="dxa"/>
            <w:tcBorders>
              <w:left w:val="single" w:sz="4" w:space="0" w:color="auto"/>
              <w:bottom w:val="single" w:sz="4" w:space="0" w:color="auto"/>
              <w:right w:val="single" w:sz="4" w:space="0" w:color="auto"/>
            </w:tcBorders>
            <w:vAlign w:val="center"/>
          </w:tcPr>
          <w:p w14:paraId="6A991009" w14:textId="77777777" w:rsidR="00E579B9" w:rsidRDefault="006A1398">
            <w:pPr>
              <w:pStyle w:val="aa"/>
            </w:pPr>
            <w:r>
              <w:rPr>
                <w:rFonts w:hint="eastAsia"/>
              </w:rPr>
              <w:t>3</w:t>
            </w:r>
          </w:p>
        </w:tc>
        <w:tc>
          <w:tcPr>
            <w:tcW w:w="636" w:type="dxa"/>
            <w:vMerge/>
            <w:tcBorders>
              <w:left w:val="single" w:sz="4" w:space="0" w:color="auto"/>
              <w:bottom w:val="single" w:sz="4" w:space="0" w:color="auto"/>
              <w:right w:val="single" w:sz="4" w:space="0" w:color="auto"/>
            </w:tcBorders>
            <w:vAlign w:val="center"/>
          </w:tcPr>
          <w:p w14:paraId="0D0906EF" w14:textId="77777777" w:rsidR="00E579B9" w:rsidRDefault="00E579B9">
            <w:pPr>
              <w:pStyle w:val="aa"/>
            </w:pPr>
          </w:p>
        </w:tc>
        <w:tc>
          <w:tcPr>
            <w:tcW w:w="846" w:type="dxa"/>
            <w:tcBorders>
              <w:top w:val="single" w:sz="4" w:space="0" w:color="auto"/>
              <w:left w:val="single" w:sz="4" w:space="0" w:color="auto"/>
              <w:bottom w:val="single" w:sz="4" w:space="0" w:color="auto"/>
              <w:right w:val="single" w:sz="4" w:space="0" w:color="auto"/>
            </w:tcBorders>
            <w:vAlign w:val="center"/>
          </w:tcPr>
          <w:p w14:paraId="2E5BB440" w14:textId="77777777" w:rsidR="00E579B9" w:rsidRDefault="006A1398">
            <w:pPr>
              <w:pStyle w:val="aa"/>
            </w:pPr>
            <w:r>
              <w:rPr>
                <w:rFonts w:hint="eastAsia"/>
              </w:rPr>
              <w:t>（六）废物治理</w:t>
            </w:r>
          </w:p>
        </w:tc>
        <w:tc>
          <w:tcPr>
            <w:tcW w:w="3641" w:type="dxa"/>
            <w:tcBorders>
              <w:left w:val="single" w:sz="4" w:space="0" w:color="auto"/>
              <w:bottom w:val="single" w:sz="4" w:space="0" w:color="auto"/>
              <w:right w:val="single" w:sz="4" w:space="0" w:color="auto"/>
            </w:tcBorders>
            <w:vAlign w:val="center"/>
          </w:tcPr>
          <w:p w14:paraId="0F1EC249" w14:textId="77777777" w:rsidR="00E579B9" w:rsidRDefault="006A1398">
            <w:pPr>
              <w:pStyle w:val="aa"/>
            </w:pPr>
            <w:r>
              <w:t>各地要加大采矿废石废渣等固体废弃物的治理工作，对废石废渣治理实行台账管理。要研究制定废石废渣综合利用计划，出台相应鼓励优惠政策，</w:t>
            </w:r>
            <w:r>
              <w:lastRenderedPageBreak/>
              <w:t>推动社会企业投资开展废石废渣综合利用，实现废石废渣</w:t>
            </w:r>
            <w:r>
              <w:t>“</w:t>
            </w:r>
            <w:r>
              <w:t>吃干榨尽</w:t>
            </w:r>
            <w:r>
              <w:t>”</w:t>
            </w:r>
            <w:r>
              <w:t>，消除废石废渣造成的环境问题。对短期内无法综合利用的废石废渣，特别是煤矸石山，要加大监控和防护力度，开展环境影响和安全评估，采取有力措施防止产生环境污染、土地损毁和安全隐患等问题。</w:t>
            </w:r>
          </w:p>
        </w:tc>
        <w:tc>
          <w:tcPr>
            <w:tcW w:w="2365" w:type="dxa"/>
            <w:tcBorders>
              <w:left w:val="single" w:sz="4" w:space="0" w:color="auto"/>
              <w:bottom w:val="single" w:sz="4" w:space="0" w:color="auto"/>
              <w:right w:val="single" w:sz="4" w:space="0" w:color="auto"/>
            </w:tcBorders>
            <w:vAlign w:val="center"/>
          </w:tcPr>
          <w:p w14:paraId="2A10257D" w14:textId="77777777" w:rsidR="00E579B9" w:rsidRDefault="00E579B9">
            <w:pPr>
              <w:pStyle w:val="aa"/>
            </w:pPr>
          </w:p>
          <w:p w14:paraId="487B0460" w14:textId="77777777" w:rsidR="00E579B9" w:rsidRDefault="00E579B9">
            <w:pPr>
              <w:pStyle w:val="aa"/>
            </w:pPr>
          </w:p>
          <w:p w14:paraId="3263BA28" w14:textId="77777777" w:rsidR="00E579B9" w:rsidRDefault="00E579B9">
            <w:pPr>
              <w:pStyle w:val="aa"/>
            </w:pPr>
          </w:p>
          <w:p w14:paraId="36E95DDC" w14:textId="77777777" w:rsidR="00E579B9" w:rsidRDefault="006A1398">
            <w:pPr>
              <w:pStyle w:val="aa"/>
            </w:pPr>
            <w:r>
              <w:lastRenderedPageBreak/>
              <w:t>本项目本着</w:t>
            </w:r>
            <w:r>
              <w:t>“</w:t>
            </w:r>
            <w:r>
              <w:t>边开采，边治理</w:t>
            </w:r>
            <w:r>
              <w:t>”</w:t>
            </w:r>
            <w:r>
              <w:t>的原则，部分废土出售进行综合利用，部分废土</w:t>
            </w:r>
            <w:r>
              <w:rPr>
                <w:rFonts w:hint="eastAsia"/>
              </w:rPr>
              <w:t>石</w:t>
            </w:r>
            <w:r>
              <w:t>回填或暂存</w:t>
            </w:r>
            <w:r>
              <w:rPr>
                <w:rFonts w:hint="eastAsia"/>
              </w:rPr>
              <w:t>表土场</w:t>
            </w:r>
            <w:r>
              <w:t>，用于后期闭矿区恢复。</w:t>
            </w:r>
          </w:p>
        </w:tc>
        <w:tc>
          <w:tcPr>
            <w:tcW w:w="651" w:type="dxa"/>
            <w:vMerge/>
            <w:tcBorders>
              <w:left w:val="single" w:sz="4" w:space="0" w:color="auto"/>
              <w:bottom w:val="single" w:sz="4" w:space="0" w:color="auto"/>
              <w:right w:val="single" w:sz="4" w:space="0" w:color="auto"/>
            </w:tcBorders>
            <w:vAlign w:val="center"/>
          </w:tcPr>
          <w:p w14:paraId="31C285C8" w14:textId="77777777" w:rsidR="00E579B9" w:rsidRDefault="00E579B9">
            <w:pPr>
              <w:pStyle w:val="aa"/>
            </w:pPr>
          </w:p>
        </w:tc>
      </w:tr>
      <w:tr w:rsidR="00E579B9" w14:paraId="347E99DF" w14:textId="77777777">
        <w:trPr>
          <w:trHeight w:val="896"/>
          <w:jc w:val="center"/>
        </w:trPr>
        <w:tc>
          <w:tcPr>
            <w:tcW w:w="491" w:type="dxa"/>
            <w:tcBorders>
              <w:top w:val="single" w:sz="4" w:space="0" w:color="auto"/>
              <w:left w:val="single" w:sz="4" w:space="0" w:color="auto"/>
              <w:right w:val="single" w:sz="4" w:space="0" w:color="auto"/>
            </w:tcBorders>
            <w:vAlign w:val="center"/>
          </w:tcPr>
          <w:p w14:paraId="3D5B3598" w14:textId="77777777" w:rsidR="00E579B9" w:rsidRDefault="006A1398">
            <w:pPr>
              <w:pStyle w:val="aa"/>
            </w:pPr>
            <w:r>
              <w:t>4</w:t>
            </w:r>
          </w:p>
        </w:tc>
        <w:tc>
          <w:tcPr>
            <w:tcW w:w="636" w:type="dxa"/>
            <w:vMerge w:val="restart"/>
            <w:tcBorders>
              <w:top w:val="single" w:sz="4" w:space="0" w:color="auto"/>
              <w:left w:val="single" w:sz="4" w:space="0" w:color="auto"/>
              <w:right w:val="single" w:sz="4" w:space="0" w:color="auto"/>
            </w:tcBorders>
            <w:vAlign w:val="center"/>
          </w:tcPr>
          <w:p w14:paraId="6F23E0A2" w14:textId="77777777" w:rsidR="00E579B9" w:rsidRDefault="006A1398">
            <w:pPr>
              <w:pStyle w:val="aa"/>
            </w:pPr>
            <w:r>
              <w:rPr>
                <w:rFonts w:hint="eastAsia"/>
              </w:rPr>
              <w:t>三、政策措施</w:t>
            </w:r>
          </w:p>
        </w:tc>
        <w:tc>
          <w:tcPr>
            <w:tcW w:w="846" w:type="dxa"/>
            <w:tcBorders>
              <w:top w:val="single" w:sz="4" w:space="0" w:color="auto"/>
              <w:left w:val="single" w:sz="4" w:space="0" w:color="auto"/>
              <w:bottom w:val="single" w:sz="4" w:space="0" w:color="auto"/>
              <w:right w:val="single" w:sz="4" w:space="0" w:color="auto"/>
            </w:tcBorders>
            <w:vAlign w:val="center"/>
          </w:tcPr>
          <w:p w14:paraId="4E6D8D94" w14:textId="77777777" w:rsidR="00E579B9" w:rsidRDefault="006A1398">
            <w:pPr>
              <w:pStyle w:val="aa"/>
            </w:pPr>
            <w:r>
              <w:rPr>
                <w:rFonts w:hint="eastAsia"/>
              </w:rPr>
              <w:t>（一）严格露天矿山开采准入</w:t>
            </w:r>
          </w:p>
        </w:tc>
        <w:tc>
          <w:tcPr>
            <w:tcW w:w="3641" w:type="dxa"/>
            <w:tcBorders>
              <w:top w:val="single" w:sz="4" w:space="0" w:color="auto"/>
              <w:left w:val="single" w:sz="4" w:space="0" w:color="auto"/>
              <w:right w:val="single" w:sz="4" w:space="0" w:color="auto"/>
            </w:tcBorders>
            <w:vAlign w:val="center"/>
          </w:tcPr>
          <w:p w14:paraId="5BDD41CD" w14:textId="77777777" w:rsidR="00E579B9" w:rsidRDefault="006A1398">
            <w:pPr>
              <w:pStyle w:val="aa"/>
            </w:pPr>
            <w:r>
              <w:rPr>
                <w:rFonts w:hint="eastAsia"/>
              </w:rPr>
              <w:t>严格执行规模准入要求，提高部分矿产的准入要求，新设建筑石料类矿山储量规模必须达到</w:t>
            </w:r>
            <w:r>
              <w:rPr>
                <w:rFonts w:hint="eastAsia"/>
              </w:rPr>
              <w:t>1000</w:t>
            </w:r>
            <w:r>
              <w:rPr>
                <w:rFonts w:hint="eastAsia"/>
              </w:rPr>
              <w:t>万吨以上，年开采规模必须达到</w:t>
            </w:r>
            <w:r>
              <w:rPr>
                <w:rFonts w:hint="eastAsia"/>
              </w:rPr>
              <w:t>100</w:t>
            </w:r>
            <w:r>
              <w:rPr>
                <w:rFonts w:hint="eastAsia"/>
              </w:rPr>
              <w:t>万吨以上</w:t>
            </w:r>
          </w:p>
        </w:tc>
        <w:tc>
          <w:tcPr>
            <w:tcW w:w="2365" w:type="dxa"/>
            <w:tcBorders>
              <w:top w:val="single" w:sz="4" w:space="0" w:color="auto"/>
              <w:left w:val="single" w:sz="4" w:space="0" w:color="auto"/>
              <w:right w:val="single" w:sz="4" w:space="0" w:color="auto"/>
            </w:tcBorders>
            <w:vAlign w:val="center"/>
          </w:tcPr>
          <w:p w14:paraId="523249E9" w14:textId="77777777" w:rsidR="00E579B9" w:rsidRDefault="006A1398">
            <w:pPr>
              <w:pStyle w:val="aa"/>
            </w:pPr>
            <w:r>
              <w:rPr>
                <w:rFonts w:hint="eastAsia"/>
              </w:rPr>
              <w:t>本项目年开采规模</w:t>
            </w:r>
            <w:r>
              <w:t>230</w:t>
            </w:r>
            <w:r>
              <w:rPr>
                <w:rFonts w:hint="eastAsia"/>
              </w:rPr>
              <w:t>万吨</w:t>
            </w:r>
          </w:p>
        </w:tc>
        <w:tc>
          <w:tcPr>
            <w:tcW w:w="651" w:type="dxa"/>
            <w:vMerge w:val="restart"/>
            <w:tcBorders>
              <w:top w:val="single" w:sz="4" w:space="0" w:color="auto"/>
              <w:left w:val="single" w:sz="4" w:space="0" w:color="auto"/>
              <w:right w:val="single" w:sz="4" w:space="0" w:color="auto"/>
            </w:tcBorders>
            <w:vAlign w:val="center"/>
          </w:tcPr>
          <w:p w14:paraId="6E4A53D2" w14:textId="77777777" w:rsidR="00E579B9" w:rsidRDefault="006A1398">
            <w:pPr>
              <w:pStyle w:val="aa"/>
            </w:pPr>
            <w:r>
              <w:t>相符</w:t>
            </w:r>
          </w:p>
        </w:tc>
      </w:tr>
      <w:tr w:rsidR="00E579B9" w14:paraId="38380A32" w14:textId="77777777">
        <w:trPr>
          <w:trHeight w:val="3014"/>
          <w:jc w:val="center"/>
        </w:trPr>
        <w:tc>
          <w:tcPr>
            <w:tcW w:w="491" w:type="dxa"/>
            <w:tcBorders>
              <w:left w:val="single" w:sz="4" w:space="0" w:color="auto"/>
              <w:right w:val="single" w:sz="4" w:space="0" w:color="auto"/>
            </w:tcBorders>
            <w:vAlign w:val="center"/>
          </w:tcPr>
          <w:p w14:paraId="77E1E024" w14:textId="77777777" w:rsidR="00E579B9" w:rsidRDefault="006A1398">
            <w:pPr>
              <w:pStyle w:val="aa"/>
            </w:pPr>
            <w:r>
              <w:rPr>
                <w:rFonts w:hint="eastAsia"/>
              </w:rPr>
              <w:t>5</w:t>
            </w:r>
          </w:p>
        </w:tc>
        <w:tc>
          <w:tcPr>
            <w:tcW w:w="636" w:type="dxa"/>
            <w:vMerge/>
            <w:tcBorders>
              <w:left w:val="single" w:sz="4" w:space="0" w:color="auto"/>
              <w:right w:val="single" w:sz="4" w:space="0" w:color="auto"/>
            </w:tcBorders>
            <w:vAlign w:val="center"/>
          </w:tcPr>
          <w:p w14:paraId="2F60C701" w14:textId="77777777" w:rsidR="00E579B9" w:rsidRDefault="00E579B9">
            <w:pPr>
              <w:pStyle w:val="aa"/>
            </w:pPr>
          </w:p>
        </w:tc>
        <w:tc>
          <w:tcPr>
            <w:tcW w:w="846" w:type="dxa"/>
            <w:tcBorders>
              <w:top w:val="single" w:sz="4" w:space="0" w:color="auto"/>
              <w:left w:val="single" w:sz="4" w:space="0" w:color="auto"/>
              <w:right w:val="single" w:sz="4" w:space="0" w:color="auto"/>
            </w:tcBorders>
            <w:vAlign w:val="center"/>
          </w:tcPr>
          <w:p w14:paraId="2EBF4A01" w14:textId="77777777" w:rsidR="00E579B9" w:rsidRDefault="006A1398">
            <w:pPr>
              <w:pStyle w:val="aa"/>
            </w:pPr>
            <w:r>
              <w:rPr>
                <w:rFonts w:hint="eastAsia"/>
              </w:rPr>
              <w:t>（四）创新露天矿山治理模式</w:t>
            </w:r>
          </w:p>
        </w:tc>
        <w:tc>
          <w:tcPr>
            <w:tcW w:w="3641" w:type="dxa"/>
            <w:tcBorders>
              <w:left w:val="single" w:sz="4" w:space="0" w:color="auto"/>
              <w:right w:val="single" w:sz="4" w:space="0" w:color="auto"/>
            </w:tcBorders>
            <w:vAlign w:val="center"/>
          </w:tcPr>
          <w:p w14:paraId="7B86DDA1" w14:textId="77777777" w:rsidR="00E579B9" w:rsidRDefault="006A1398">
            <w:pPr>
              <w:pStyle w:val="aa"/>
            </w:pPr>
            <w:r>
              <w:t>各地要加大露天矿山环境遗留问题整治力度，创新治理模式，加快治理步伐。对建筑石料矿开采中形成高陡边坡且视觉污染严重的残留山体，经严格规划设计、项目论证、社会公示并经省辖市或省直管县（市）级人民政府批准，通过整体降坡或整体采平等方式实施开发式治理，治理出的土地指标可作为工矿废弃地复垦利用或占补平衡指标使用或交易，指标收益可按规定用于矿山环境恢复治理。</w:t>
            </w:r>
          </w:p>
        </w:tc>
        <w:tc>
          <w:tcPr>
            <w:tcW w:w="2365" w:type="dxa"/>
            <w:tcBorders>
              <w:left w:val="single" w:sz="4" w:space="0" w:color="auto"/>
              <w:right w:val="single" w:sz="4" w:space="0" w:color="auto"/>
            </w:tcBorders>
            <w:vAlign w:val="center"/>
          </w:tcPr>
          <w:p w14:paraId="7FF15E73" w14:textId="77777777" w:rsidR="00E579B9" w:rsidRDefault="006A1398">
            <w:pPr>
              <w:pStyle w:val="aa"/>
            </w:pPr>
            <w:r>
              <w:t>本项目矿山开采项目可一次性采完，闭矿后积极进行生态修复，不留或少留边坡。</w:t>
            </w:r>
          </w:p>
        </w:tc>
        <w:tc>
          <w:tcPr>
            <w:tcW w:w="651" w:type="dxa"/>
            <w:vMerge/>
            <w:tcBorders>
              <w:left w:val="single" w:sz="4" w:space="0" w:color="auto"/>
              <w:right w:val="single" w:sz="4" w:space="0" w:color="auto"/>
            </w:tcBorders>
            <w:vAlign w:val="center"/>
          </w:tcPr>
          <w:p w14:paraId="69C15072" w14:textId="77777777" w:rsidR="00E579B9" w:rsidRDefault="00E579B9">
            <w:pPr>
              <w:pStyle w:val="aa"/>
            </w:pPr>
          </w:p>
        </w:tc>
      </w:tr>
      <w:tr w:rsidR="00E579B9" w14:paraId="0B9FB5AE" w14:textId="77777777">
        <w:trPr>
          <w:trHeight w:val="2195"/>
          <w:jc w:val="center"/>
        </w:trPr>
        <w:tc>
          <w:tcPr>
            <w:tcW w:w="491" w:type="dxa"/>
            <w:tcBorders>
              <w:left w:val="single" w:sz="4" w:space="0" w:color="auto"/>
              <w:bottom w:val="single" w:sz="4" w:space="0" w:color="auto"/>
              <w:right w:val="single" w:sz="4" w:space="0" w:color="auto"/>
            </w:tcBorders>
            <w:vAlign w:val="center"/>
          </w:tcPr>
          <w:p w14:paraId="58EBDF67" w14:textId="77777777" w:rsidR="00E579B9" w:rsidRDefault="006A1398">
            <w:pPr>
              <w:pStyle w:val="aa"/>
            </w:pPr>
            <w:r>
              <w:rPr>
                <w:rFonts w:hint="eastAsia"/>
              </w:rPr>
              <w:t>6</w:t>
            </w:r>
          </w:p>
        </w:tc>
        <w:tc>
          <w:tcPr>
            <w:tcW w:w="636" w:type="dxa"/>
            <w:vMerge/>
            <w:tcBorders>
              <w:left w:val="single" w:sz="4" w:space="0" w:color="auto"/>
              <w:bottom w:val="single" w:sz="4" w:space="0" w:color="auto"/>
              <w:right w:val="single" w:sz="4" w:space="0" w:color="auto"/>
            </w:tcBorders>
            <w:vAlign w:val="center"/>
          </w:tcPr>
          <w:p w14:paraId="6BE657F2" w14:textId="77777777" w:rsidR="00E579B9" w:rsidRDefault="00E579B9">
            <w:pPr>
              <w:pStyle w:val="aa"/>
            </w:pPr>
          </w:p>
        </w:tc>
        <w:tc>
          <w:tcPr>
            <w:tcW w:w="846" w:type="dxa"/>
            <w:tcBorders>
              <w:top w:val="single" w:sz="4" w:space="0" w:color="auto"/>
              <w:left w:val="single" w:sz="4" w:space="0" w:color="auto"/>
              <w:bottom w:val="single" w:sz="4" w:space="0" w:color="auto"/>
              <w:right w:val="single" w:sz="4" w:space="0" w:color="auto"/>
            </w:tcBorders>
            <w:vAlign w:val="center"/>
          </w:tcPr>
          <w:p w14:paraId="7EC8BD78" w14:textId="77777777" w:rsidR="00E579B9" w:rsidRDefault="006A1398">
            <w:pPr>
              <w:pStyle w:val="aa"/>
            </w:pPr>
            <w:r>
              <w:rPr>
                <w:rFonts w:hint="eastAsia"/>
              </w:rPr>
              <w:t>（五）切实提高资源保障水平</w:t>
            </w:r>
          </w:p>
        </w:tc>
        <w:tc>
          <w:tcPr>
            <w:tcW w:w="3641" w:type="dxa"/>
            <w:tcBorders>
              <w:top w:val="single" w:sz="4" w:space="0" w:color="auto"/>
              <w:left w:val="single" w:sz="4" w:space="0" w:color="auto"/>
              <w:bottom w:val="single" w:sz="4" w:space="0" w:color="auto"/>
              <w:right w:val="single" w:sz="4" w:space="0" w:color="auto"/>
            </w:tcBorders>
            <w:vAlign w:val="center"/>
          </w:tcPr>
          <w:p w14:paraId="7619ADC9" w14:textId="77777777" w:rsidR="00E579B9" w:rsidRDefault="006A1398">
            <w:pPr>
              <w:pStyle w:val="aa"/>
            </w:pPr>
            <w:r>
              <w:t>在出让采矿权时，要在充分考虑资源赋存状况、生态承载能力和市场需求情况的基础上，体现</w:t>
            </w:r>
            <w:r>
              <w:rPr>
                <w:rFonts w:hint="eastAsia"/>
              </w:rPr>
              <w:t>“</w:t>
            </w:r>
            <w:r>
              <w:t>少开新矿山、整治整合老矿山，不设小矿山、只开大矿山</w:t>
            </w:r>
            <w:r>
              <w:rPr>
                <w:rFonts w:hint="eastAsia"/>
              </w:rPr>
              <w:t>”</w:t>
            </w:r>
            <w:r>
              <w:t>的原则，最大限度减少矿产资源开发对生态环境的影响，最大限度提高矿产资源开发的集约节约水平，最大限度保障社会经济发展的资源供给。</w:t>
            </w:r>
          </w:p>
        </w:tc>
        <w:tc>
          <w:tcPr>
            <w:tcW w:w="2365" w:type="dxa"/>
            <w:tcBorders>
              <w:top w:val="single" w:sz="4" w:space="0" w:color="auto"/>
              <w:left w:val="single" w:sz="4" w:space="0" w:color="auto"/>
              <w:bottom w:val="single" w:sz="4" w:space="0" w:color="auto"/>
              <w:right w:val="single" w:sz="4" w:space="0" w:color="auto"/>
            </w:tcBorders>
            <w:vAlign w:val="center"/>
          </w:tcPr>
          <w:p w14:paraId="522CE856" w14:textId="77777777" w:rsidR="00E579B9" w:rsidRDefault="006A1398">
            <w:pPr>
              <w:pStyle w:val="aa"/>
            </w:pPr>
            <w:r>
              <w:t>本项目</w:t>
            </w:r>
            <w:r>
              <w:rPr>
                <w:rFonts w:hint="eastAsia"/>
              </w:rPr>
              <w:t>为</w:t>
            </w:r>
            <w:r>
              <w:t>大矿山，与</w:t>
            </w:r>
            <w:r>
              <w:rPr>
                <w:rFonts w:hint="eastAsia"/>
              </w:rPr>
              <w:t>“</w:t>
            </w:r>
            <w:r>
              <w:t>少开新矿山、整治整合老矿山，不设小矿山、只开大矿山</w:t>
            </w:r>
            <w:r>
              <w:rPr>
                <w:rFonts w:hint="eastAsia"/>
              </w:rPr>
              <w:t>”</w:t>
            </w:r>
            <w:r>
              <w:t>的原则相符</w:t>
            </w:r>
          </w:p>
        </w:tc>
        <w:tc>
          <w:tcPr>
            <w:tcW w:w="651" w:type="dxa"/>
            <w:vMerge/>
            <w:tcBorders>
              <w:left w:val="single" w:sz="4" w:space="0" w:color="auto"/>
              <w:bottom w:val="single" w:sz="4" w:space="0" w:color="auto"/>
              <w:right w:val="single" w:sz="4" w:space="0" w:color="auto"/>
            </w:tcBorders>
            <w:vAlign w:val="center"/>
          </w:tcPr>
          <w:p w14:paraId="1FDA0FE0" w14:textId="77777777" w:rsidR="00E579B9" w:rsidRDefault="00E579B9">
            <w:pPr>
              <w:pStyle w:val="aa"/>
            </w:pPr>
          </w:p>
        </w:tc>
      </w:tr>
    </w:tbl>
    <w:p w14:paraId="09099B9F" w14:textId="77777777" w:rsidR="00E579B9" w:rsidRDefault="006A1398">
      <w:pPr>
        <w:rPr>
          <w:szCs w:val="24"/>
        </w:rPr>
      </w:pPr>
      <w:r>
        <w:rPr>
          <w:szCs w:val="24"/>
        </w:rPr>
        <w:lastRenderedPageBreak/>
        <w:t>经分析比较，评价认为本项目建设符合</w:t>
      </w:r>
      <w:r>
        <w:t>《河南省露天矿山综合整治三年行动计划（</w:t>
      </w:r>
      <w:r>
        <w:t>2018-2020</w:t>
      </w:r>
      <w:r>
        <w:t>年）实施方案》</w:t>
      </w:r>
      <w:r>
        <w:rPr>
          <w:rFonts w:hint="eastAsia"/>
        </w:rPr>
        <w:t>相关</w:t>
      </w:r>
      <w:r>
        <w:rPr>
          <w:szCs w:val="24"/>
        </w:rPr>
        <w:t>要求。</w:t>
      </w:r>
    </w:p>
    <w:p w14:paraId="50A3DA35" w14:textId="77777777" w:rsidR="00E579B9" w:rsidRDefault="006A1398">
      <w:pPr>
        <w:pStyle w:val="3"/>
        <w:ind w:firstLine="560"/>
      </w:pPr>
      <w:r>
        <w:t>10.1.9</w:t>
      </w:r>
      <w:r>
        <w:t>与《驻马店市人民政府办公室关于印发驻马店市露天矿山综合整治三年行动计划（</w:t>
      </w:r>
      <w:r>
        <w:t>2018—2020</w:t>
      </w:r>
      <w:r>
        <w:t>年）实施方案的通知》（驻政办</w:t>
      </w:r>
      <w:r>
        <w:t>[2018]190</w:t>
      </w:r>
      <w:r>
        <w:t>号）相符性分析</w:t>
      </w:r>
    </w:p>
    <w:p w14:paraId="38F70CFA" w14:textId="77777777" w:rsidR="00E579B9" w:rsidRDefault="006A1398">
      <w:pPr>
        <w:rPr>
          <w:rFonts w:cs="Times New Roman"/>
        </w:rPr>
      </w:pPr>
      <w:r>
        <w:rPr>
          <w:rFonts w:cs="Times New Roman"/>
        </w:rPr>
        <w:t>2018</w:t>
      </w:r>
      <w:r>
        <w:rPr>
          <w:rFonts w:cs="Times New Roman"/>
        </w:rPr>
        <w:t>年</w:t>
      </w:r>
      <w:r>
        <w:rPr>
          <w:rFonts w:cs="Times New Roman"/>
        </w:rPr>
        <w:t>11</w:t>
      </w:r>
      <w:r>
        <w:rPr>
          <w:rFonts w:cs="Times New Roman"/>
        </w:rPr>
        <w:t>月</w:t>
      </w:r>
      <w:r>
        <w:rPr>
          <w:rFonts w:cs="Times New Roman"/>
        </w:rPr>
        <w:t>30</w:t>
      </w:r>
      <w:r>
        <w:rPr>
          <w:rFonts w:cs="Times New Roman"/>
        </w:rPr>
        <w:t>日，驻马店市人民政府办公室发布了《关于印发驻马店市露天矿山综合整治三年行动计划（</w:t>
      </w:r>
      <w:r>
        <w:rPr>
          <w:rFonts w:cs="Times New Roman"/>
        </w:rPr>
        <w:t>2018—2020</w:t>
      </w:r>
      <w:r>
        <w:rPr>
          <w:rFonts w:cs="Times New Roman"/>
        </w:rPr>
        <w:t>年）实施方案的通知》（驻政办</w:t>
      </w:r>
      <w:r>
        <w:rPr>
          <w:rFonts w:cs="Times New Roman"/>
        </w:rPr>
        <w:t>[2018]190</w:t>
      </w:r>
      <w:r>
        <w:rPr>
          <w:rFonts w:cs="Times New Roman"/>
        </w:rPr>
        <w:t>号），主要相关内容如下：</w:t>
      </w:r>
    </w:p>
    <w:p w14:paraId="78B9B7F8" w14:textId="77777777" w:rsidR="00E579B9" w:rsidRDefault="006A1398">
      <w:pPr>
        <w:rPr>
          <w:rFonts w:cs="Times New Roman"/>
        </w:rPr>
      </w:pPr>
      <w:r>
        <w:rPr>
          <w:rFonts w:cs="Times New Roman"/>
        </w:rPr>
        <w:t>一、总体要求</w:t>
      </w:r>
    </w:p>
    <w:p w14:paraId="07D3AD8B" w14:textId="77777777" w:rsidR="00E579B9" w:rsidRDefault="006A1398">
      <w:pPr>
        <w:rPr>
          <w:rFonts w:cs="Times New Roman"/>
        </w:rPr>
      </w:pPr>
      <w:r>
        <w:rPr>
          <w:rFonts w:cs="Times New Roman"/>
        </w:rPr>
        <w:t>（二）主要目标。到</w:t>
      </w:r>
      <w:r>
        <w:rPr>
          <w:rFonts w:cs="Times New Roman"/>
        </w:rPr>
        <w:t>2020</w:t>
      </w:r>
      <w:r>
        <w:rPr>
          <w:rFonts w:cs="Times New Roman"/>
        </w:rPr>
        <w:t>年底，我市的露天矿山全面达到绿色矿山建设标准，</w:t>
      </w:r>
      <w:r>
        <w:rPr>
          <w:rFonts w:cs="Times New Roman"/>
        </w:rPr>
        <w:t>“</w:t>
      </w:r>
      <w:r>
        <w:rPr>
          <w:rFonts w:cs="Times New Roman"/>
        </w:rPr>
        <w:t>三率</w:t>
      </w:r>
      <w:r>
        <w:rPr>
          <w:rFonts w:cs="Times New Roman"/>
        </w:rPr>
        <w:t>”</w:t>
      </w:r>
      <w:r>
        <w:rPr>
          <w:rFonts w:cs="Times New Roman"/>
        </w:rPr>
        <w:t>（开采回采率、选矿回收率、综合利用率）指标和</w:t>
      </w:r>
      <w:r>
        <w:rPr>
          <w:rFonts w:cs="Times New Roman"/>
        </w:rPr>
        <w:t>“</w:t>
      </w:r>
      <w:r>
        <w:rPr>
          <w:rFonts w:cs="Times New Roman"/>
        </w:rPr>
        <w:t>三废</w:t>
      </w:r>
      <w:r>
        <w:rPr>
          <w:rFonts w:cs="Times New Roman"/>
        </w:rPr>
        <w:t>”</w:t>
      </w:r>
      <w:r>
        <w:rPr>
          <w:rFonts w:cs="Times New Roman"/>
        </w:rPr>
        <w:t>（废水、废气、废渣）排放达到标准，矿山扬尘得到有效抑制。在采和闭坑露天矿山严格按照矿山地质环境保护与土地复垦方案、环境影响评价报告及批复进行治理与修复；</w:t>
      </w:r>
      <w:r>
        <w:rPr>
          <w:rFonts w:cs="Times New Roman"/>
        </w:rPr>
        <w:t>“</w:t>
      </w:r>
      <w:r>
        <w:rPr>
          <w:rFonts w:cs="Times New Roman"/>
        </w:rPr>
        <w:t>三区两线</w:t>
      </w:r>
      <w:r>
        <w:rPr>
          <w:rFonts w:cs="Times New Roman"/>
        </w:rPr>
        <w:t>”</w:t>
      </w:r>
      <w:r>
        <w:rPr>
          <w:rFonts w:cs="Times New Roman"/>
        </w:rPr>
        <w:t>范围内责任主体灭失的露天矿山地质环境治理恢复率达到</w:t>
      </w:r>
      <w:r>
        <w:rPr>
          <w:rFonts w:cs="Times New Roman"/>
        </w:rPr>
        <w:t>85%</w:t>
      </w:r>
      <w:r>
        <w:rPr>
          <w:rFonts w:cs="Times New Roman"/>
        </w:rPr>
        <w:t>以上。建筑石料类矿产资源开采与市场需求基本平衡，形成</w:t>
      </w:r>
      <w:r>
        <w:rPr>
          <w:rFonts w:cs="Times New Roman"/>
        </w:rPr>
        <w:t>“</w:t>
      </w:r>
      <w:r>
        <w:rPr>
          <w:rFonts w:cs="Times New Roman"/>
        </w:rPr>
        <w:t>相对集中、规模较大、技术先进、绿色环保、安全规范、效益突出</w:t>
      </w:r>
      <w:r>
        <w:rPr>
          <w:rFonts w:cs="Times New Roman"/>
        </w:rPr>
        <w:t>”</w:t>
      </w:r>
      <w:r>
        <w:rPr>
          <w:rFonts w:cs="Times New Roman"/>
        </w:rPr>
        <w:t>的开采、加工优势企业。通过露天矿山综合整治，促进全市矿业绿色发展。</w:t>
      </w:r>
    </w:p>
    <w:p w14:paraId="5EB55821" w14:textId="77777777" w:rsidR="00E579B9" w:rsidRDefault="006A1398">
      <w:pPr>
        <w:rPr>
          <w:rFonts w:cs="Times New Roman"/>
        </w:rPr>
      </w:pPr>
      <w:r>
        <w:rPr>
          <w:rFonts w:cs="Times New Roman"/>
        </w:rPr>
        <w:t>（三）重点区域范围。生态保护红线内的区域、水源保护的区域、对</w:t>
      </w:r>
      <w:r>
        <w:rPr>
          <w:rFonts w:cs="Times New Roman"/>
        </w:rPr>
        <w:t>“</w:t>
      </w:r>
      <w:r>
        <w:rPr>
          <w:rFonts w:cs="Times New Roman"/>
        </w:rPr>
        <w:t>三区两线</w:t>
      </w:r>
      <w:r>
        <w:rPr>
          <w:rFonts w:cs="Times New Roman"/>
        </w:rPr>
        <w:t>”</w:t>
      </w:r>
      <w:r>
        <w:rPr>
          <w:rFonts w:cs="Times New Roman"/>
        </w:rPr>
        <w:t>（按规定划定的自然保护区、景观区、居民集中生活区的周边和重要交通干线、河流湖泊直观可视范围）区域，禁止新建露天矿山项目，已设露天矿山全面退出。</w:t>
      </w:r>
    </w:p>
    <w:p w14:paraId="6E02D163" w14:textId="77777777" w:rsidR="00E579B9" w:rsidRDefault="006A1398">
      <w:pPr>
        <w:rPr>
          <w:rFonts w:cs="Times New Roman"/>
        </w:rPr>
      </w:pPr>
      <w:r>
        <w:rPr>
          <w:rFonts w:cs="Times New Roman"/>
        </w:rPr>
        <w:t>二、主要任务</w:t>
      </w:r>
    </w:p>
    <w:p w14:paraId="7D27B647" w14:textId="77777777" w:rsidR="00E579B9" w:rsidRDefault="006A1398">
      <w:pPr>
        <w:rPr>
          <w:rFonts w:cs="Times New Roman"/>
        </w:rPr>
      </w:pPr>
      <w:r>
        <w:rPr>
          <w:rFonts w:cs="Times New Roman"/>
        </w:rPr>
        <w:t>（一）查清现状。全面查清我市露天矿山开发利用、环境保护、安全生产现状及责任主体灭失露天矿山和采矿废石废渣情况，逐矿逐项统计汇总分析，按照</w:t>
      </w:r>
      <w:r>
        <w:rPr>
          <w:rFonts w:cs="Times New Roman"/>
        </w:rPr>
        <w:t>“</w:t>
      </w:r>
      <w:r>
        <w:rPr>
          <w:rFonts w:cs="Times New Roman"/>
        </w:rPr>
        <w:t>一矿一策</w:t>
      </w:r>
      <w:r>
        <w:rPr>
          <w:rFonts w:cs="Times New Roman"/>
        </w:rPr>
        <w:t>”</w:t>
      </w:r>
      <w:r>
        <w:rPr>
          <w:rFonts w:cs="Times New Roman"/>
        </w:rPr>
        <w:t>的要求制定整治方案，实行清查整治台账管理。</w:t>
      </w:r>
    </w:p>
    <w:p w14:paraId="7788B09C" w14:textId="77777777" w:rsidR="00E579B9" w:rsidRDefault="006A1398">
      <w:pPr>
        <w:rPr>
          <w:rFonts w:cs="Times New Roman"/>
        </w:rPr>
      </w:pPr>
      <w:r>
        <w:rPr>
          <w:rFonts w:cs="Times New Roman"/>
        </w:rPr>
        <w:t>1.</w:t>
      </w:r>
      <w:r>
        <w:rPr>
          <w:rFonts w:cs="Times New Roman"/>
        </w:rPr>
        <w:t>对持有合法采矿许可证的露天矿山，要查清是否有环境影响评价报告及批复，是否取得排污许可证，是否完成竣工环境保护验收，污染治理是否规范，污染</w:t>
      </w:r>
      <w:r>
        <w:rPr>
          <w:rFonts w:cs="Times New Roman"/>
        </w:rPr>
        <w:lastRenderedPageBreak/>
        <w:t>排放是否达标等情况</w:t>
      </w:r>
      <w:r>
        <w:rPr>
          <w:rFonts w:cs="Times New Roman"/>
        </w:rPr>
        <w:t>;</w:t>
      </w:r>
      <w:r>
        <w:rPr>
          <w:rFonts w:cs="Times New Roman"/>
        </w:rPr>
        <w:t>要查清是否按照开发利用方案进行开采，是否按照地质环境保护与土地复垦方案进行治理，是否存在浪费和破坏矿产资源的情况</w:t>
      </w:r>
      <w:r>
        <w:rPr>
          <w:rFonts w:cs="Times New Roman" w:hint="eastAsia"/>
        </w:rPr>
        <w:t>；</w:t>
      </w:r>
      <w:r>
        <w:rPr>
          <w:rFonts w:cs="Times New Roman"/>
        </w:rPr>
        <w:t>要查清是否有水土保持方案并完成水土保持设施验收</w:t>
      </w:r>
      <w:r>
        <w:rPr>
          <w:rFonts w:cs="Times New Roman" w:hint="eastAsia"/>
        </w:rPr>
        <w:t>，</w:t>
      </w:r>
      <w:r>
        <w:rPr>
          <w:rFonts w:cs="Times New Roman"/>
        </w:rPr>
        <w:t>是否进行安全评价，并按照安全设施设计进行施工并取得安全生产许可证，相邻矿山是否保持安全距离</w:t>
      </w:r>
      <w:r>
        <w:rPr>
          <w:rFonts w:cs="Times New Roman"/>
        </w:rPr>
        <w:t>;</w:t>
      </w:r>
      <w:r>
        <w:rPr>
          <w:rFonts w:cs="Times New Roman"/>
        </w:rPr>
        <w:t>要查清矿区范围是否与依法划定的生态保护红线、各类保护地和永久基本农田重叠，是否在</w:t>
      </w:r>
      <w:r>
        <w:rPr>
          <w:rFonts w:cs="Times New Roman"/>
        </w:rPr>
        <w:t>“</w:t>
      </w:r>
      <w:r>
        <w:rPr>
          <w:rFonts w:cs="Times New Roman"/>
        </w:rPr>
        <w:t>三区两线</w:t>
      </w:r>
      <w:r>
        <w:rPr>
          <w:rFonts w:cs="Times New Roman"/>
        </w:rPr>
        <w:t>”</w:t>
      </w:r>
      <w:r>
        <w:rPr>
          <w:rFonts w:cs="Times New Roman"/>
        </w:rPr>
        <w:t>及特定生态保护区范围内。</w:t>
      </w:r>
    </w:p>
    <w:p w14:paraId="51EC4363" w14:textId="77777777" w:rsidR="00E579B9" w:rsidRDefault="006A1398">
      <w:pPr>
        <w:rPr>
          <w:rFonts w:cs="Times New Roman"/>
        </w:rPr>
      </w:pPr>
      <w:r>
        <w:rPr>
          <w:rFonts w:cs="Times New Roman"/>
        </w:rPr>
        <w:t>2.</w:t>
      </w:r>
      <w:r>
        <w:rPr>
          <w:rFonts w:cs="Times New Roman"/>
        </w:rPr>
        <w:t>对持有合法采矿许可证的矿山、非法开采的矿山及责任主体灭失的矿山进行统一排查，重点查清证载开采方式为露天开采的矿山数量与现状，证载地下开采而实际采用露天方式开采等非法违法矿山数量与现状。</w:t>
      </w:r>
    </w:p>
    <w:p w14:paraId="6FE20A66" w14:textId="77777777" w:rsidR="00E579B9" w:rsidRDefault="006A1398">
      <w:pPr>
        <w:rPr>
          <w:rFonts w:cs="Times New Roman"/>
        </w:rPr>
      </w:pPr>
      <w:r>
        <w:rPr>
          <w:rFonts w:cs="Times New Roman"/>
        </w:rPr>
        <w:t>3.</w:t>
      </w:r>
      <w:r>
        <w:rPr>
          <w:rFonts w:cs="Times New Roman"/>
        </w:rPr>
        <w:t>对非法开采的露天矿山和露天采矿点，是否采取有力的制止措施，是否对矿产资源的破坏和生态环境的损害行为进行了责任追究。</w:t>
      </w:r>
    </w:p>
    <w:p w14:paraId="4DB5D84D" w14:textId="77777777" w:rsidR="00E579B9" w:rsidRDefault="006A1398">
      <w:pPr>
        <w:rPr>
          <w:rFonts w:cs="Times New Roman"/>
        </w:rPr>
      </w:pPr>
      <w:r>
        <w:rPr>
          <w:rFonts w:cs="Times New Roman"/>
        </w:rPr>
        <w:t>4.</w:t>
      </w:r>
      <w:r>
        <w:rPr>
          <w:rFonts w:cs="Times New Roman"/>
        </w:rPr>
        <w:t>对责任主体灭失的露天矿山，县（区）政府是否已按照</w:t>
      </w:r>
      <w:r>
        <w:rPr>
          <w:rFonts w:cs="Times New Roman"/>
        </w:rPr>
        <w:t>“</w:t>
      </w:r>
      <w:r>
        <w:rPr>
          <w:rFonts w:cs="Times New Roman"/>
        </w:rPr>
        <w:t>宜林则林、宜耕则耕、宜草则草、宜景则景</w:t>
      </w:r>
      <w:r>
        <w:rPr>
          <w:rFonts w:cs="Times New Roman"/>
        </w:rPr>
        <w:t>”</w:t>
      </w:r>
      <w:r>
        <w:rPr>
          <w:rFonts w:cs="Times New Roman"/>
        </w:rPr>
        <w:t>的原则，进行生态修复绿化。</w:t>
      </w:r>
    </w:p>
    <w:p w14:paraId="5437D584" w14:textId="77777777" w:rsidR="00E579B9" w:rsidRDefault="006A1398">
      <w:pPr>
        <w:rPr>
          <w:rFonts w:cs="Times New Roman"/>
        </w:rPr>
      </w:pPr>
      <w:r>
        <w:rPr>
          <w:rFonts w:cs="Times New Roman"/>
        </w:rPr>
        <w:t>5.</w:t>
      </w:r>
      <w:r>
        <w:rPr>
          <w:rFonts w:cs="Times New Roman"/>
        </w:rPr>
        <w:t>对废石废渣等固体废弃物，特别是花岗岩废弃料，要查清具体堆放位置、实际高度、占地面积、堆存时间及周边环境，是否有处置方案或措施。</w:t>
      </w:r>
    </w:p>
    <w:p w14:paraId="7D071718" w14:textId="77777777" w:rsidR="00E579B9" w:rsidRDefault="006A1398">
      <w:pPr>
        <w:rPr>
          <w:rFonts w:cs="Times New Roman"/>
        </w:rPr>
      </w:pPr>
      <w:r>
        <w:rPr>
          <w:rFonts w:cs="Times New Roman"/>
        </w:rPr>
        <w:t>（二）优化布局。各县（区）要按照生态文明建设的总体要求，由发展改革、国土资源、环保、住建、交通、水利、农业、林业、安监等部门，按照</w:t>
      </w:r>
      <w:r>
        <w:rPr>
          <w:rFonts w:cs="Times New Roman"/>
        </w:rPr>
        <w:t>“</w:t>
      </w:r>
      <w:r>
        <w:rPr>
          <w:rFonts w:cs="Times New Roman"/>
        </w:rPr>
        <w:t>开采总量控制、矿业权减量投放、矿山规模开发、采选加工绿色环保、尾矿尾渣综合利用、矿区和谐发展</w:t>
      </w:r>
      <w:r>
        <w:rPr>
          <w:rFonts w:cs="Times New Roman"/>
        </w:rPr>
        <w:t>”</w:t>
      </w:r>
      <w:r>
        <w:rPr>
          <w:rFonts w:cs="Times New Roman"/>
        </w:rPr>
        <w:t>的目标，对第三轮矿产资源规划中露天矿山开采区划布局进行再优化、再调整。原则上结合生态保护红线划定和</w:t>
      </w:r>
      <w:r>
        <w:rPr>
          <w:rFonts w:cs="Times New Roman"/>
        </w:rPr>
        <w:t>“</w:t>
      </w:r>
      <w:r>
        <w:rPr>
          <w:rFonts w:cs="Times New Roman"/>
        </w:rPr>
        <w:t>三区两线</w:t>
      </w:r>
      <w:r>
        <w:rPr>
          <w:rFonts w:cs="Times New Roman"/>
        </w:rPr>
        <w:t>”</w:t>
      </w:r>
      <w:r>
        <w:rPr>
          <w:rFonts w:cs="Times New Roman"/>
        </w:rPr>
        <w:t>及特定生态保护区范围，对禁止露天开采矿山的范围进一步优化，按照整合区重新布局和矿产资源刚性需求基本保障的原则，对已经明确禁止新建、扩建矿山的区域，要进一步调整优化，严格控制整合矿山总量。</w:t>
      </w:r>
    </w:p>
    <w:p w14:paraId="140DF460" w14:textId="77777777" w:rsidR="00E579B9" w:rsidRDefault="006A1398">
      <w:pPr>
        <w:rPr>
          <w:rFonts w:cs="Times New Roman"/>
        </w:rPr>
      </w:pPr>
      <w:r>
        <w:rPr>
          <w:rFonts w:cs="Times New Roman"/>
        </w:rPr>
        <w:t>（三）停产整治。对证照齐全，但没有严格按照国土、环保、水利、安监等相关法律法规、政策制度、管理要求和相关方案设计实施开采、治理和保护，特别是污染治理不规范、排放不达标的露天矿山，要立即停产整治。向社会公布停产整治露天矿山名单和整治合格的标准及相关政策。</w:t>
      </w:r>
    </w:p>
    <w:p w14:paraId="7664B5B4" w14:textId="77777777" w:rsidR="00E579B9" w:rsidRDefault="006A1398">
      <w:pPr>
        <w:rPr>
          <w:rFonts w:cs="Times New Roman"/>
        </w:rPr>
      </w:pPr>
      <w:r>
        <w:rPr>
          <w:rFonts w:cs="Times New Roman"/>
        </w:rPr>
        <w:lastRenderedPageBreak/>
        <w:t>（四）取缔关闭。对非法露天开采矿山（含证照过期的矿山），按照</w:t>
      </w:r>
      <w:r>
        <w:rPr>
          <w:rFonts w:cs="Times New Roman"/>
        </w:rPr>
        <w:t>“</w:t>
      </w:r>
      <w:r>
        <w:rPr>
          <w:rFonts w:cs="Times New Roman"/>
        </w:rPr>
        <w:t>三不留</w:t>
      </w:r>
      <w:r>
        <w:rPr>
          <w:rFonts w:cs="Times New Roman"/>
        </w:rPr>
        <w:t>"</w:t>
      </w:r>
      <w:r>
        <w:rPr>
          <w:rFonts w:cs="Times New Roman"/>
        </w:rPr>
        <w:t>（不留人员、不留采矿设备、不留建筑物）的标准，立即取缔。证照不齐全，或证照齐全但在规定时限内，整治不达标，未通过验收的矿山，依法关闭，及时注销或吊销有关证照，并向社会公告。</w:t>
      </w:r>
    </w:p>
    <w:p w14:paraId="109BA863" w14:textId="77777777" w:rsidR="00E579B9" w:rsidRDefault="006A1398">
      <w:pPr>
        <w:rPr>
          <w:rFonts w:cs="Times New Roman"/>
        </w:rPr>
      </w:pPr>
      <w:r>
        <w:rPr>
          <w:rFonts w:cs="Times New Roman"/>
        </w:rPr>
        <w:t>（五）生态修复。露天矿山要按照</w:t>
      </w:r>
      <w:r>
        <w:rPr>
          <w:rFonts w:cs="Times New Roman"/>
        </w:rPr>
        <w:t>“</w:t>
      </w:r>
      <w:r>
        <w:rPr>
          <w:rFonts w:cs="Times New Roman"/>
        </w:rPr>
        <w:t>谁开采、谁治理、边开采、边治理</w:t>
      </w:r>
      <w:r>
        <w:rPr>
          <w:rFonts w:cs="Times New Roman"/>
        </w:rPr>
        <w:t>”</w:t>
      </w:r>
      <w:r>
        <w:rPr>
          <w:rFonts w:cs="Times New Roman"/>
        </w:rPr>
        <w:t>的原则，严格按照绿色矿山建设的标准，落实环境影响评价报告、地质环境保护与土地复垦方案、水土保持方案等设计标准和批复要求，认真开展生态修复，坚决恢复绿水青山。</w:t>
      </w:r>
    </w:p>
    <w:p w14:paraId="3E97AA51" w14:textId="77777777" w:rsidR="00E579B9" w:rsidRDefault="006A1398">
      <w:pPr>
        <w:rPr>
          <w:rFonts w:cs="Times New Roman"/>
        </w:rPr>
      </w:pPr>
      <w:r>
        <w:rPr>
          <w:rFonts w:cs="Times New Roman"/>
        </w:rPr>
        <w:t>（六）废物治理。各地要加大采矿废石废渣等固体废弃物的治理工作，对废石废渣治理实行台账管理。要研究制定废石废渣综合利用计划，出台相应鼓励优惠政策，推动社会企业投资开展废石废渣综合利用，实现废石废渣</w:t>
      </w:r>
      <w:r>
        <w:rPr>
          <w:rFonts w:cs="Times New Roman"/>
        </w:rPr>
        <w:t>“</w:t>
      </w:r>
      <w:r>
        <w:rPr>
          <w:rFonts w:cs="Times New Roman"/>
        </w:rPr>
        <w:t>吃干榨尽</w:t>
      </w:r>
      <w:r>
        <w:rPr>
          <w:rFonts w:cs="Times New Roman"/>
        </w:rPr>
        <w:t>”</w:t>
      </w:r>
      <w:r>
        <w:rPr>
          <w:rFonts w:cs="Times New Roman"/>
        </w:rPr>
        <w:t>，消除废石废渣造成的环境问题。对短期内无法综合利用的废石废渣，特别是花岗岩废料，要指定销纳场地集中堆放；开展环境影响和安全评估，采取有力措施防止产生环境污染、土地损毁和安全隐患等问题。</w:t>
      </w:r>
    </w:p>
    <w:p w14:paraId="5B6DC2C9" w14:textId="77777777" w:rsidR="00E579B9" w:rsidRDefault="006A1398">
      <w:pPr>
        <w:rPr>
          <w:rFonts w:cs="Times New Roman"/>
        </w:rPr>
      </w:pPr>
      <w:r>
        <w:rPr>
          <w:rFonts w:cs="Times New Roman"/>
        </w:rPr>
        <w:t>三、政策措施</w:t>
      </w:r>
    </w:p>
    <w:p w14:paraId="1CD67F4D" w14:textId="77777777" w:rsidR="00E579B9" w:rsidRDefault="006A1398">
      <w:pPr>
        <w:rPr>
          <w:rFonts w:cs="Times New Roman"/>
        </w:rPr>
      </w:pPr>
      <w:r>
        <w:rPr>
          <w:rFonts w:cs="Times New Roman"/>
        </w:rPr>
        <w:t>（一）严格露天矿山开采准入。按照新一轮矿产资源规划和上级对露天矿山管理新政策新要求，从源头上抓好露天矿山的管理。严格执行环保要求，禁止新建小型普通或非普通建筑石料矿，全面停止新建零星分散的露天矿。严格执行规模准入要求，新设建筑石料类矿山储量规模必须达到</w:t>
      </w:r>
      <w:r>
        <w:rPr>
          <w:rFonts w:cs="Times New Roman"/>
        </w:rPr>
        <w:t>1000</w:t>
      </w:r>
      <w:r>
        <w:rPr>
          <w:rFonts w:cs="Times New Roman"/>
        </w:rPr>
        <w:t>万吨以上，年开采规模必须达到</w:t>
      </w:r>
      <w:r>
        <w:rPr>
          <w:rFonts w:cs="Times New Roman"/>
        </w:rPr>
        <w:t>100</w:t>
      </w:r>
      <w:r>
        <w:rPr>
          <w:rFonts w:cs="Times New Roman"/>
        </w:rPr>
        <w:t>万吨以上</w:t>
      </w:r>
      <w:r>
        <w:rPr>
          <w:rFonts w:cs="Times New Roman"/>
        </w:rPr>
        <w:t>;</w:t>
      </w:r>
      <w:r>
        <w:rPr>
          <w:rFonts w:cs="Times New Roman"/>
        </w:rPr>
        <w:t>新设建筑（饰面）石材类矿山储量规模必须达到</w:t>
      </w:r>
      <w:r>
        <w:rPr>
          <w:rFonts w:cs="Times New Roman"/>
        </w:rPr>
        <w:t>200</w:t>
      </w:r>
      <w:r>
        <w:rPr>
          <w:rFonts w:cs="Times New Roman"/>
        </w:rPr>
        <w:t>万立方米以上，年开采规模必须达到</w:t>
      </w:r>
      <w:r>
        <w:rPr>
          <w:rFonts w:cs="Times New Roman"/>
        </w:rPr>
        <w:t>10</w:t>
      </w:r>
      <w:r>
        <w:rPr>
          <w:rFonts w:cs="Times New Roman"/>
        </w:rPr>
        <w:t>万立方米以上。</w:t>
      </w:r>
    </w:p>
    <w:p w14:paraId="6BDE5E20" w14:textId="77777777" w:rsidR="00E579B9" w:rsidRDefault="006A1398">
      <w:pPr>
        <w:rPr>
          <w:rFonts w:cs="Times New Roman"/>
        </w:rPr>
      </w:pPr>
      <w:r>
        <w:rPr>
          <w:rFonts w:eastAsia="黑体" w:cs="Times New Roman"/>
        </w:rPr>
        <w:t>相符性分析：</w:t>
      </w:r>
      <w:r>
        <w:rPr>
          <w:rFonts w:cs="Times New Roman"/>
        </w:rPr>
        <w:t>本项目为</w:t>
      </w:r>
      <w:r>
        <w:rPr>
          <w:rFonts w:cs="Times New Roman" w:hint="eastAsia"/>
        </w:rPr>
        <w:t>大理岩</w:t>
      </w:r>
      <w:r>
        <w:rPr>
          <w:rFonts w:cs="Times New Roman"/>
        </w:rPr>
        <w:t>矿露天开采项目，不在驻马店市生态红线范围内，距离最近村庄</w:t>
      </w:r>
      <w:r>
        <w:rPr>
          <w:rFonts w:cs="Times New Roman" w:hint="eastAsia"/>
        </w:rPr>
        <w:t>傅埂</w:t>
      </w:r>
      <w:r>
        <w:rPr>
          <w:rFonts w:cs="Times New Roman" w:hint="eastAsia"/>
        </w:rPr>
        <w:t>457m</w:t>
      </w:r>
      <w:r>
        <w:rPr>
          <w:rFonts w:cs="Times New Roman"/>
        </w:rPr>
        <w:t>，周边</w:t>
      </w:r>
      <w:r>
        <w:rPr>
          <w:rFonts w:cs="Times New Roman"/>
        </w:rPr>
        <w:t>300m</w:t>
      </w:r>
      <w:r>
        <w:rPr>
          <w:rFonts w:cs="Times New Roman"/>
        </w:rPr>
        <w:t>范围内无其他矿山，不属于三区两线区域。项目开采矿种为</w:t>
      </w:r>
      <w:r>
        <w:rPr>
          <w:rFonts w:cs="Times New Roman" w:hint="eastAsia"/>
        </w:rPr>
        <w:t>大理岩</w:t>
      </w:r>
      <w:r>
        <w:rPr>
          <w:rFonts w:cs="Times New Roman"/>
        </w:rPr>
        <w:t>，开采规模为</w:t>
      </w:r>
      <w:r>
        <w:rPr>
          <w:rFonts w:cs="Times New Roman"/>
        </w:rPr>
        <w:t>230</w:t>
      </w:r>
      <w:r>
        <w:rPr>
          <w:rFonts w:cs="Times New Roman"/>
        </w:rPr>
        <w:t>万</w:t>
      </w:r>
      <w:r>
        <w:rPr>
          <w:rFonts w:cs="Times New Roman"/>
        </w:rPr>
        <w:t>t/a</w:t>
      </w:r>
      <w:r>
        <w:rPr>
          <w:rFonts w:cs="Times New Roman"/>
        </w:rPr>
        <w:t>，符合相关矿产资源规划要求。本项目表土堆存至表土临时堆场，闭矿后对表土临时堆场、采区等平整，植树种草，进行生态恢复，符合《驻马店市露天矿山综合整治三年行动计划（</w:t>
      </w:r>
      <w:r>
        <w:rPr>
          <w:rFonts w:cs="Times New Roman"/>
        </w:rPr>
        <w:t>2018—2020</w:t>
      </w:r>
      <w:r>
        <w:rPr>
          <w:rFonts w:cs="Times New Roman"/>
        </w:rPr>
        <w:t>年）实施方案》。</w:t>
      </w:r>
    </w:p>
    <w:p w14:paraId="4CCDD175" w14:textId="77777777" w:rsidR="00E579B9" w:rsidRDefault="006A1398">
      <w:pPr>
        <w:pStyle w:val="3"/>
        <w:ind w:firstLine="560"/>
      </w:pPr>
      <w:r>
        <w:lastRenderedPageBreak/>
        <w:t>10.1.10</w:t>
      </w:r>
      <w:r>
        <w:t>与</w:t>
      </w:r>
      <w:r>
        <w:rPr>
          <w:rFonts w:hint="eastAsia"/>
        </w:rPr>
        <w:t>《关于印发驻马店市矿山企业综合整治专项行动方案的通知》</w:t>
      </w:r>
      <w:r>
        <w:t>相符性分析</w:t>
      </w:r>
    </w:p>
    <w:p w14:paraId="0EE95BA2" w14:textId="77777777" w:rsidR="00E579B9" w:rsidRDefault="006A1398">
      <w:r>
        <w:rPr>
          <w:rFonts w:hint="eastAsia"/>
        </w:rPr>
        <w:t>2017</w:t>
      </w:r>
      <w:r>
        <w:rPr>
          <w:rFonts w:hint="eastAsia"/>
        </w:rPr>
        <w:t>年</w:t>
      </w:r>
      <w:r>
        <w:rPr>
          <w:rFonts w:hint="eastAsia"/>
        </w:rPr>
        <w:t>7</w:t>
      </w:r>
      <w:r>
        <w:rPr>
          <w:rFonts w:hint="eastAsia"/>
        </w:rPr>
        <w:t>月，驻马店市发布了《关于印发驻马店市矿山企业综合整治专项行动方案的通知》（豫政</w:t>
      </w:r>
      <w:r>
        <w:rPr>
          <w:rFonts w:hint="eastAsia"/>
        </w:rPr>
        <w:t>[2018]30</w:t>
      </w:r>
      <w:r>
        <w:rPr>
          <w:rFonts w:hint="eastAsia"/>
        </w:rPr>
        <w:t>号），主要相关内容如下：</w:t>
      </w:r>
    </w:p>
    <w:p w14:paraId="296D1F6F" w14:textId="77777777" w:rsidR="00E579B9" w:rsidRDefault="006A1398">
      <w:r>
        <w:rPr>
          <w:rFonts w:hint="eastAsia"/>
        </w:rPr>
        <w:t>一、整治目标</w:t>
      </w:r>
    </w:p>
    <w:p w14:paraId="5A5BA709" w14:textId="77777777" w:rsidR="00E579B9" w:rsidRDefault="006A1398">
      <w:r>
        <w:rPr>
          <w:rFonts w:hint="eastAsia"/>
        </w:rPr>
        <w:t>通过矿山企业综合整治，全面取缔、关闭无证和严重违法的矿山企业；生态环境保护措施落实到位，粉尘、固定噪声源得到有效治理；安全生产措施全面落实，安全事故大幅度减少；矿山开采量得到严格控制，按照批准的开采规模组织开采；矿石运输管理得到加强，确保路面、河道清洁；配置矿产资源的市场机制基本建立，矿业权招标、拍卖、挂牌出让和矿业权有偿使用的有关规定得到认真贯彻执行；矿业秩序明显好转，相关制度建立健全，持证开采率达到</w:t>
      </w:r>
      <w:r>
        <w:rPr>
          <w:rFonts w:hint="eastAsia"/>
        </w:rPr>
        <w:t>100%</w:t>
      </w:r>
      <w:r>
        <w:rPr>
          <w:rFonts w:hint="eastAsia"/>
        </w:rPr>
        <w:t>，违法案件查处率达到</w:t>
      </w:r>
      <w:r>
        <w:rPr>
          <w:rFonts w:hint="eastAsia"/>
        </w:rPr>
        <w:t>100%</w:t>
      </w:r>
      <w:r>
        <w:rPr>
          <w:rFonts w:hint="eastAsia"/>
        </w:rPr>
        <w:t>，全市矿业基本实现布局合理、管理规范、有序经营、文明生产。全面整治规范泌阳县、确山县、遂平县、西平县和驿城区辖区内石灰岩、花岗岩、砂石等非金属矿山企业。</w:t>
      </w:r>
    </w:p>
    <w:p w14:paraId="0923E994" w14:textId="77777777" w:rsidR="00E579B9" w:rsidRDefault="006A1398">
      <w:r>
        <w:rPr>
          <w:rFonts w:hint="eastAsia"/>
        </w:rPr>
        <w:t>……</w:t>
      </w:r>
    </w:p>
    <w:p w14:paraId="41C4760F" w14:textId="77777777" w:rsidR="00E579B9" w:rsidRDefault="006A1398">
      <w:r>
        <w:rPr>
          <w:rFonts w:hint="eastAsia"/>
        </w:rPr>
        <w:t>四、整治标准</w:t>
      </w:r>
    </w:p>
    <w:p w14:paraId="28F1E622" w14:textId="77777777" w:rsidR="00E579B9" w:rsidRDefault="006A1398">
      <w:r>
        <w:rPr>
          <w:rFonts w:hint="eastAsia"/>
        </w:rPr>
        <w:t>（二）环保措施到位</w:t>
      </w:r>
    </w:p>
    <w:p w14:paraId="6316612B" w14:textId="77777777" w:rsidR="00E579B9" w:rsidRDefault="006A1398">
      <w:r>
        <w:rPr>
          <w:rFonts w:hint="eastAsia"/>
        </w:rPr>
        <w:t>1</w:t>
      </w:r>
      <w:r>
        <w:rPr>
          <w:rFonts w:hint="eastAsia"/>
        </w:rPr>
        <w:t>、开采区：</w:t>
      </w:r>
    </w:p>
    <w:p w14:paraId="6C9A9F03" w14:textId="77777777" w:rsidR="00E579B9" w:rsidRDefault="006A1398">
      <w:r>
        <w:rPr>
          <w:rFonts w:hint="eastAsia"/>
        </w:rPr>
        <w:t>穿孔作业：做到钻孔无尘化，采用湿法作业，配备布袋式除尘器等有效降尘措施。</w:t>
      </w:r>
    </w:p>
    <w:p w14:paraId="02D3219E" w14:textId="77777777" w:rsidR="00E579B9" w:rsidRDefault="006A1398">
      <w:r>
        <w:rPr>
          <w:rFonts w:hint="eastAsia"/>
        </w:rPr>
        <w:t>切割作业：采用湿法作业。</w:t>
      </w:r>
    </w:p>
    <w:p w14:paraId="78BD50AF" w14:textId="77777777" w:rsidR="00E579B9" w:rsidRDefault="006A1398">
      <w:r>
        <w:rPr>
          <w:rFonts w:hint="eastAsia"/>
        </w:rPr>
        <w:t>爆破作业：采用有效降尘措施。</w:t>
      </w:r>
    </w:p>
    <w:p w14:paraId="11CD42D0" w14:textId="77777777" w:rsidR="00E579B9" w:rsidRDefault="006A1398">
      <w:r>
        <w:rPr>
          <w:rFonts w:hint="eastAsia"/>
        </w:rPr>
        <w:t>铲装作业：在装卸区域安装抑尘设施，矿石喷洒水后装车全覆盖运输。</w:t>
      </w:r>
    </w:p>
    <w:p w14:paraId="0A88EC13" w14:textId="77777777" w:rsidR="00E579B9" w:rsidRDefault="006A1398">
      <w:r>
        <w:rPr>
          <w:rFonts w:hint="eastAsia"/>
        </w:rPr>
        <w:t>开采道路：清晰合理，落实洒水降尘，边开采边恢复；矿区至下料口运输道路水泥硬化、洒水、保洁。</w:t>
      </w:r>
    </w:p>
    <w:p w14:paraId="41D54575" w14:textId="77777777" w:rsidR="00E579B9" w:rsidRDefault="006A1398">
      <w:r>
        <w:rPr>
          <w:rFonts w:hint="eastAsia"/>
        </w:rPr>
        <w:t>闭坑期：服务期满后，矿区及时做好复绿、复垦、防治水土流失等工作。</w:t>
      </w:r>
    </w:p>
    <w:p w14:paraId="2DD667F5" w14:textId="77777777" w:rsidR="00E579B9" w:rsidRDefault="006A1398">
      <w:r>
        <w:rPr>
          <w:rFonts w:hint="eastAsia"/>
        </w:rPr>
        <w:t>2</w:t>
      </w:r>
      <w:r>
        <w:rPr>
          <w:rFonts w:hint="eastAsia"/>
        </w:rPr>
        <w:t>、加工区</w:t>
      </w:r>
    </w:p>
    <w:p w14:paraId="155EDC4D" w14:textId="77777777" w:rsidR="00E579B9" w:rsidRDefault="006A1398">
      <w:r>
        <w:rPr>
          <w:rFonts w:hint="eastAsia"/>
        </w:rPr>
        <w:lastRenderedPageBreak/>
        <w:t>（</w:t>
      </w:r>
      <w:r>
        <w:rPr>
          <w:rFonts w:hint="eastAsia"/>
        </w:rPr>
        <w:t>1</w:t>
      </w:r>
      <w:r>
        <w:rPr>
          <w:rFonts w:hint="eastAsia"/>
        </w:rPr>
        <w:t>）整个加工区建设封闭车间，生产设备必须进入封闭车间内，采取降尘、除尘措施。</w:t>
      </w:r>
    </w:p>
    <w:p w14:paraId="73363595" w14:textId="77777777" w:rsidR="00E579B9" w:rsidRDefault="006A1398">
      <w:r>
        <w:rPr>
          <w:rFonts w:hint="eastAsia"/>
        </w:rPr>
        <w:t>（</w:t>
      </w:r>
      <w:r>
        <w:rPr>
          <w:rFonts w:hint="eastAsia"/>
        </w:rPr>
        <w:t>2</w:t>
      </w:r>
      <w:r>
        <w:rPr>
          <w:rFonts w:hint="eastAsia"/>
        </w:rPr>
        <w:t>）建设物料“三防”全封闭库，物料全部进入封闭库，下料、出料采取降尘、除尘措施。</w:t>
      </w:r>
    </w:p>
    <w:p w14:paraId="01B29D81" w14:textId="77777777" w:rsidR="00E579B9" w:rsidRDefault="006A1398">
      <w:r>
        <w:rPr>
          <w:rFonts w:hint="eastAsia"/>
        </w:rPr>
        <w:t>（</w:t>
      </w:r>
      <w:r>
        <w:rPr>
          <w:rFonts w:hint="eastAsia"/>
        </w:rPr>
        <w:t>3</w:t>
      </w:r>
      <w:r>
        <w:rPr>
          <w:rFonts w:hint="eastAsia"/>
        </w:rPr>
        <w:t>）厂区地面全部水泥硬化，不能硬化的绿化；厂区内安装固定喷淋降尘设施或采取其它降尘、除尘措施，及时洒水保洁，保持地面不起尘。</w:t>
      </w:r>
    </w:p>
    <w:p w14:paraId="3C510174" w14:textId="77777777" w:rsidR="00E579B9" w:rsidRDefault="006A1398">
      <w:r>
        <w:rPr>
          <w:rFonts w:hint="eastAsia"/>
        </w:rPr>
        <w:t>3</w:t>
      </w:r>
      <w:r>
        <w:rPr>
          <w:rFonts w:hint="eastAsia"/>
        </w:rPr>
        <w:t>、销售区</w:t>
      </w:r>
    </w:p>
    <w:p w14:paraId="0AB1A3B3" w14:textId="77777777" w:rsidR="00E579B9" w:rsidRDefault="006A1398">
      <w:r>
        <w:rPr>
          <w:rFonts w:hint="eastAsia"/>
        </w:rPr>
        <w:t>（</w:t>
      </w:r>
      <w:r>
        <w:rPr>
          <w:rFonts w:hint="eastAsia"/>
        </w:rPr>
        <w:t>1</w:t>
      </w:r>
      <w:r>
        <w:rPr>
          <w:rFonts w:hint="eastAsia"/>
        </w:rPr>
        <w:t>）成品区销售区选址应距省道、国道等交通便利的位置，具体距离按照环评报告中核定的卫生防护距离要求。场区内应设计建设有足够停放运输车辆的场所；运输车辆不准停放在道路上。</w:t>
      </w:r>
    </w:p>
    <w:p w14:paraId="5BE1CB5D" w14:textId="77777777" w:rsidR="00E579B9" w:rsidRDefault="006A1398">
      <w:r>
        <w:rPr>
          <w:rFonts w:hint="eastAsia"/>
        </w:rPr>
        <w:t>（</w:t>
      </w:r>
      <w:r>
        <w:rPr>
          <w:rFonts w:hint="eastAsia"/>
        </w:rPr>
        <w:t>2</w:t>
      </w:r>
      <w:r>
        <w:rPr>
          <w:rFonts w:hint="eastAsia"/>
        </w:rPr>
        <w:t>）成品装卸应在全封闭料仓内进行；或全部利用自动化系统控制管理，利用磁卡取货装卸，落料口加装喷淋或其它除尘设施。</w:t>
      </w:r>
    </w:p>
    <w:p w14:paraId="0043979D" w14:textId="77777777" w:rsidR="00E579B9" w:rsidRDefault="006A1398">
      <w:r>
        <w:rPr>
          <w:rFonts w:hint="eastAsia"/>
        </w:rPr>
        <w:t>（</w:t>
      </w:r>
      <w:r>
        <w:rPr>
          <w:rFonts w:hint="eastAsia"/>
        </w:rPr>
        <w:t>3</w:t>
      </w:r>
      <w:r>
        <w:rPr>
          <w:rFonts w:hint="eastAsia"/>
        </w:rPr>
        <w:t>）运输车辆必须全密闭且石料不能超出车厢，建设进出厂车轮清洗设施，冲洗废水由沉淀池收集后用于厂区洒水降尘，不得直接外排。</w:t>
      </w:r>
    </w:p>
    <w:p w14:paraId="3C1C19EF" w14:textId="77777777" w:rsidR="00E579B9" w:rsidRDefault="006A1398">
      <w:r>
        <w:rPr>
          <w:rFonts w:hint="eastAsia"/>
        </w:rPr>
        <w:t>（</w:t>
      </w:r>
      <w:r>
        <w:rPr>
          <w:rFonts w:hint="eastAsia"/>
        </w:rPr>
        <w:t>4</w:t>
      </w:r>
      <w:r>
        <w:rPr>
          <w:rFonts w:hint="eastAsia"/>
        </w:rPr>
        <w:t>）厂区地面全部水泥硬化、不能硬化的绿化；厂区内安装固定喷淋降尘设施或采取其它降尘、除尘措施，及时洒水保洁，保持地面不起尘。厂区至主干道路水泥硬化。</w:t>
      </w:r>
    </w:p>
    <w:p w14:paraId="1D1BACA3" w14:textId="77777777" w:rsidR="00E579B9" w:rsidRDefault="006A1398">
      <w:r>
        <w:rPr>
          <w:rFonts w:hint="eastAsia"/>
        </w:rPr>
        <w:t>相符性分析：本项目为大理</w:t>
      </w:r>
      <w:r>
        <w:t>岩</w:t>
      </w:r>
      <w:r>
        <w:rPr>
          <w:rFonts w:hint="eastAsia"/>
        </w:rPr>
        <w:t>露天开采项目，建设内容为露采场、工业场地、表土临时堆场和运矿道路等。矿石开采爆破和切割，采用湿法作业，</w:t>
      </w:r>
      <w:r>
        <w:t>有效降尘</w:t>
      </w:r>
      <w:r>
        <w:rPr>
          <w:rFonts w:hint="eastAsia"/>
        </w:rPr>
        <w:t>；铲装时洒水降尘；洒水车定期洒水降尘；运输道路硬化并设置洒水车定期洒水降尘；服务期满后对露采场、工业场地、表土临时堆场和运矿道路等及时平整覆土，恢复植被。综合分析，项目建设符合《关于印发驻马店市矿山企业综合整治专项行动方案的通知》环保要求。</w:t>
      </w:r>
    </w:p>
    <w:p w14:paraId="49BA9DAA" w14:textId="77777777" w:rsidR="00E579B9" w:rsidRDefault="006A1398">
      <w:pPr>
        <w:pStyle w:val="3"/>
        <w:ind w:firstLine="560"/>
        <w:rPr>
          <w:snapToGrid w:val="0"/>
        </w:rPr>
      </w:pPr>
      <w:r>
        <w:rPr>
          <w:rFonts w:hint="eastAsia"/>
        </w:rPr>
        <w:t>10</w:t>
      </w:r>
      <w:r>
        <w:t>.1.11</w:t>
      </w:r>
      <w:r>
        <w:rPr>
          <w:snapToGrid w:val="0"/>
        </w:rPr>
        <w:t>本项目与《河南省人民政府办公厅关于开展三区两线及特定生态保护区范围内露天矿山开发及生态环境综合整治工作的意见》（豫政办﹝</w:t>
      </w:r>
      <w:r>
        <w:rPr>
          <w:snapToGrid w:val="0"/>
        </w:rPr>
        <w:t>2016</w:t>
      </w:r>
      <w:r>
        <w:rPr>
          <w:snapToGrid w:val="0"/>
        </w:rPr>
        <w:t>﹞</w:t>
      </w:r>
      <w:r>
        <w:rPr>
          <w:snapToGrid w:val="0"/>
        </w:rPr>
        <w:t>199</w:t>
      </w:r>
      <w:r>
        <w:rPr>
          <w:snapToGrid w:val="0"/>
        </w:rPr>
        <w:t>号）相符性分析</w:t>
      </w:r>
    </w:p>
    <w:p w14:paraId="173F624B" w14:textId="77777777" w:rsidR="00E579B9" w:rsidRDefault="006A1398">
      <w:pPr>
        <w:pStyle w:val="21"/>
      </w:pPr>
      <w:r>
        <w:t>表</w:t>
      </w:r>
      <w:r>
        <w:t>10.1-4</w:t>
      </w:r>
      <w:r>
        <w:t>本项目与豫政办﹝</w:t>
      </w:r>
      <w:r>
        <w:t>2016</w:t>
      </w:r>
      <w:r>
        <w:t>﹞</w:t>
      </w:r>
      <w:r>
        <w:t>199</w:t>
      </w:r>
      <w:r>
        <w:t>号文相符性分析一览表</w:t>
      </w:r>
    </w:p>
    <w:tbl>
      <w:tblPr>
        <w:tblW w:w="8630" w:type="dxa"/>
        <w:tblLayout w:type="fixed"/>
        <w:tblCellMar>
          <w:top w:w="57" w:type="dxa"/>
          <w:bottom w:w="57" w:type="dxa"/>
        </w:tblCellMar>
        <w:tblLook w:val="04A0" w:firstRow="1" w:lastRow="0" w:firstColumn="1" w:lastColumn="0" w:noHBand="0" w:noVBand="1"/>
      </w:tblPr>
      <w:tblGrid>
        <w:gridCol w:w="426"/>
        <w:gridCol w:w="846"/>
        <w:gridCol w:w="2911"/>
        <w:gridCol w:w="3754"/>
        <w:gridCol w:w="693"/>
      </w:tblGrid>
      <w:tr w:rsidR="00E579B9" w14:paraId="0131BF22" w14:textId="77777777">
        <w:trPr>
          <w:trHeight w:val="548"/>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5AAA16C" w14:textId="77777777" w:rsidR="00E579B9" w:rsidRDefault="006A1398">
            <w:pPr>
              <w:pStyle w:val="aa"/>
            </w:pPr>
            <w:r>
              <w:lastRenderedPageBreak/>
              <w:t>序号</w:t>
            </w:r>
          </w:p>
        </w:tc>
        <w:tc>
          <w:tcPr>
            <w:tcW w:w="846" w:type="dxa"/>
            <w:tcBorders>
              <w:top w:val="single" w:sz="4" w:space="0" w:color="auto"/>
              <w:left w:val="nil"/>
              <w:bottom w:val="single" w:sz="4" w:space="0" w:color="auto"/>
              <w:right w:val="single" w:sz="4" w:space="0" w:color="auto"/>
            </w:tcBorders>
            <w:vAlign w:val="center"/>
          </w:tcPr>
          <w:p w14:paraId="2DFFA5B2" w14:textId="77777777" w:rsidR="00E579B9" w:rsidRDefault="006A1398">
            <w:pPr>
              <w:pStyle w:val="aa"/>
            </w:pPr>
            <w:r>
              <w:t>类别</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tcPr>
          <w:p w14:paraId="43846213" w14:textId="77777777" w:rsidR="00E579B9" w:rsidRDefault="006A1398">
            <w:pPr>
              <w:pStyle w:val="aa"/>
            </w:pPr>
            <w:r>
              <w:t>具体要求</w:t>
            </w:r>
          </w:p>
        </w:tc>
        <w:tc>
          <w:tcPr>
            <w:tcW w:w="3754" w:type="dxa"/>
            <w:tcBorders>
              <w:top w:val="single" w:sz="4" w:space="0" w:color="auto"/>
              <w:left w:val="nil"/>
              <w:bottom w:val="single" w:sz="4" w:space="0" w:color="auto"/>
              <w:right w:val="single" w:sz="4" w:space="0" w:color="auto"/>
            </w:tcBorders>
            <w:shd w:val="clear" w:color="auto" w:fill="auto"/>
            <w:vAlign w:val="center"/>
          </w:tcPr>
          <w:p w14:paraId="48B34686" w14:textId="77777777" w:rsidR="00E579B9" w:rsidRDefault="006A1398">
            <w:pPr>
              <w:pStyle w:val="aa"/>
            </w:pPr>
            <w:r>
              <w:t>本项目情况</w:t>
            </w:r>
          </w:p>
        </w:tc>
        <w:tc>
          <w:tcPr>
            <w:tcW w:w="693" w:type="dxa"/>
            <w:tcBorders>
              <w:top w:val="single" w:sz="4" w:space="0" w:color="auto"/>
              <w:left w:val="nil"/>
              <w:bottom w:val="single" w:sz="4" w:space="0" w:color="auto"/>
              <w:right w:val="single" w:sz="4" w:space="0" w:color="auto"/>
            </w:tcBorders>
            <w:shd w:val="clear" w:color="auto" w:fill="auto"/>
            <w:vAlign w:val="center"/>
          </w:tcPr>
          <w:p w14:paraId="20A5516E" w14:textId="77777777" w:rsidR="00E579B9" w:rsidRDefault="006A1398">
            <w:pPr>
              <w:pStyle w:val="aa"/>
            </w:pPr>
            <w:r>
              <w:t>相符性</w:t>
            </w:r>
          </w:p>
        </w:tc>
      </w:tr>
      <w:tr w:rsidR="00E579B9" w14:paraId="356615EC" w14:textId="77777777">
        <w:tc>
          <w:tcPr>
            <w:tcW w:w="426" w:type="dxa"/>
            <w:tcBorders>
              <w:top w:val="nil"/>
              <w:left w:val="single" w:sz="4" w:space="0" w:color="auto"/>
              <w:bottom w:val="single" w:sz="4" w:space="0" w:color="auto"/>
              <w:right w:val="single" w:sz="4" w:space="0" w:color="auto"/>
            </w:tcBorders>
            <w:shd w:val="clear" w:color="auto" w:fill="auto"/>
            <w:vAlign w:val="center"/>
          </w:tcPr>
          <w:p w14:paraId="6C7E2A7B" w14:textId="77777777" w:rsidR="00E579B9" w:rsidRDefault="006A1398">
            <w:pPr>
              <w:pStyle w:val="aa"/>
            </w:pPr>
            <w:r>
              <w:t>1</w:t>
            </w:r>
          </w:p>
        </w:tc>
        <w:tc>
          <w:tcPr>
            <w:tcW w:w="846" w:type="dxa"/>
            <w:tcBorders>
              <w:top w:val="single" w:sz="4" w:space="0" w:color="auto"/>
              <w:left w:val="nil"/>
              <w:bottom w:val="single" w:sz="4" w:space="0" w:color="auto"/>
              <w:right w:val="single" w:sz="4" w:space="0" w:color="auto"/>
            </w:tcBorders>
            <w:vAlign w:val="center"/>
          </w:tcPr>
          <w:p w14:paraId="3F309431" w14:textId="77777777" w:rsidR="00E579B9" w:rsidRDefault="006A1398">
            <w:pPr>
              <w:pStyle w:val="aa"/>
            </w:pPr>
            <w:r>
              <w:t>（一）明确综合整治范围、确定综合整治目标</w:t>
            </w:r>
          </w:p>
        </w:tc>
        <w:tc>
          <w:tcPr>
            <w:tcW w:w="2911" w:type="dxa"/>
            <w:tcBorders>
              <w:top w:val="nil"/>
              <w:left w:val="single" w:sz="4" w:space="0" w:color="auto"/>
              <w:bottom w:val="single" w:sz="4" w:space="0" w:color="auto"/>
              <w:right w:val="single" w:sz="4" w:space="0" w:color="auto"/>
            </w:tcBorders>
            <w:shd w:val="clear" w:color="auto" w:fill="auto"/>
            <w:vAlign w:val="center"/>
          </w:tcPr>
          <w:p w14:paraId="45B1E335" w14:textId="77777777" w:rsidR="00E579B9" w:rsidRDefault="006A1398">
            <w:pPr>
              <w:pStyle w:val="aa"/>
            </w:pPr>
            <w:r>
              <w:t>本次综合整治的范围是</w:t>
            </w:r>
            <w:r>
              <w:t>“</w:t>
            </w:r>
            <w:r>
              <w:t>三区两线</w:t>
            </w:r>
            <w:r>
              <w:t>”</w:t>
            </w:r>
            <w:r>
              <w:t>及特定生态保护区范围内的露天矿山。各地可结合实际，将废弃矿石占压土地、堵塞河道、污染水源等存在重大安全隐患、群众反映强烈的问题，以及当地重要景观道路两侧直观可视范围内的露天矿山，纳入整治范围。</w:t>
            </w:r>
          </w:p>
        </w:tc>
        <w:tc>
          <w:tcPr>
            <w:tcW w:w="3754" w:type="dxa"/>
            <w:tcBorders>
              <w:top w:val="nil"/>
              <w:left w:val="nil"/>
              <w:bottom w:val="single" w:sz="4" w:space="0" w:color="auto"/>
              <w:right w:val="single" w:sz="4" w:space="0" w:color="auto"/>
            </w:tcBorders>
            <w:shd w:val="clear" w:color="auto" w:fill="auto"/>
            <w:vAlign w:val="center"/>
          </w:tcPr>
          <w:p w14:paraId="54664610" w14:textId="77777777" w:rsidR="00E579B9" w:rsidRDefault="006A1398">
            <w:pPr>
              <w:pStyle w:val="aa"/>
            </w:pPr>
            <w:r>
              <w:t>本项目距离东侧</w:t>
            </w:r>
            <w:r>
              <w:rPr>
                <w:rFonts w:hint="eastAsia"/>
              </w:rPr>
              <w:t>220</w:t>
            </w:r>
            <w:r>
              <w:rPr>
                <w:rFonts w:hint="eastAsia"/>
              </w:rPr>
              <w:t>省</w:t>
            </w:r>
            <w:r>
              <w:t>道直线距离约</w:t>
            </w:r>
            <w:r>
              <w:rPr>
                <w:rFonts w:hint="eastAsia"/>
              </w:rPr>
              <w:t>1.2</w:t>
            </w:r>
            <w:r>
              <w:t>km</w:t>
            </w:r>
            <w:r>
              <w:t>，</w:t>
            </w:r>
            <w:r>
              <w:rPr>
                <w:rFonts w:hint="eastAsia"/>
              </w:rPr>
              <w:t>采取种植乔木的措施。根据《河南省主体生态功能区划》，本项目不在国家、省级自然保护区，世界文化自然遗产，国家、省级风景名胜区，国家、省级森林公园，国家级、省级地质公园，国家、省级湿地公园，国家级、省级水产植物资源保护区范围内，综上所述，本项目不在当地“三区两线”及特定生态保护区范围内。本项目部分废土石暂存于表土场，用于后期矿坑复垦，部分外售给当地砖厂，最终均可得到有效利用，不存在废弃矿石占压土地、堵塞河道、污染水源等存在重大安全隐患，通过网站、报刊等公示本项目信息，未收到公众关于本项目的反馈意见，不存在群众反映强烈的问题。</w:t>
            </w:r>
          </w:p>
        </w:tc>
        <w:tc>
          <w:tcPr>
            <w:tcW w:w="693" w:type="dxa"/>
            <w:tcBorders>
              <w:top w:val="nil"/>
              <w:left w:val="nil"/>
              <w:bottom w:val="single" w:sz="4" w:space="0" w:color="auto"/>
              <w:right w:val="single" w:sz="4" w:space="0" w:color="auto"/>
            </w:tcBorders>
            <w:shd w:val="clear" w:color="auto" w:fill="auto"/>
            <w:vAlign w:val="center"/>
          </w:tcPr>
          <w:p w14:paraId="729ABD89" w14:textId="77777777" w:rsidR="00E579B9" w:rsidRDefault="006A1398">
            <w:pPr>
              <w:pStyle w:val="aa"/>
            </w:pPr>
            <w:r>
              <w:t>相符</w:t>
            </w:r>
          </w:p>
        </w:tc>
      </w:tr>
      <w:tr w:rsidR="00E579B9" w14:paraId="487EAEB1" w14:textId="77777777">
        <w:trPr>
          <w:trHeight w:val="699"/>
        </w:trPr>
        <w:tc>
          <w:tcPr>
            <w:tcW w:w="426" w:type="dxa"/>
            <w:tcBorders>
              <w:top w:val="nil"/>
              <w:left w:val="single" w:sz="4" w:space="0" w:color="auto"/>
              <w:bottom w:val="single" w:sz="4" w:space="0" w:color="auto"/>
              <w:right w:val="single" w:sz="4" w:space="0" w:color="auto"/>
            </w:tcBorders>
            <w:shd w:val="clear" w:color="auto" w:fill="auto"/>
            <w:vAlign w:val="center"/>
          </w:tcPr>
          <w:p w14:paraId="2863E0F8" w14:textId="77777777" w:rsidR="00E579B9" w:rsidRDefault="006A1398">
            <w:pPr>
              <w:pStyle w:val="aa"/>
            </w:pPr>
            <w:r>
              <w:t>2</w:t>
            </w:r>
          </w:p>
        </w:tc>
        <w:tc>
          <w:tcPr>
            <w:tcW w:w="846" w:type="dxa"/>
            <w:tcBorders>
              <w:top w:val="single" w:sz="4" w:space="0" w:color="auto"/>
              <w:left w:val="nil"/>
              <w:bottom w:val="single" w:sz="4" w:space="0" w:color="auto"/>
              <w:right w:val="single" w:sz="4" w:space="0" w:color="auto"/>
            </w:tcBorders>
            <w:vAlign w:val="center"/>
          </w:tcPr>
          <w:p w14:paraId="1ABA4298" w14:textId="77777777" w:rsidR="00E579B9" w:rsidRDefault="006A1398">
            <w:pPr>
              <w:pStyle w:val="aa"/>
            </w:pPr>
            <w:r>
              <w:t>（六）推广先进技术方法，改善矿山生态环境</w:t>
            </w:r>
          </w:p>
        </w:tc>
        <w:tc>
          <w:tcPr>
            <w:tcW w:w="2911" w:type="dxa"/>
            <w:tcBorders>
              <w:top w:val="nil"/>
              <w:left w:val="single" w:sz="4" w:space="0" w:color="auto"/>
              <w:bottom w:val="single" w:sz="4" w:space="0" w:color="auto"/>
              <w:right w:val="single" w:sz="4" w:space="0" w:color="auto"/>
            </w:tcBorders>
            <w:shd w:val="clear" w:color="auto" w:fill="auto"/>
            <w:vAlign w:val="center"/>
          </w:tcPr>
          <w:p w14:paraId="7699730B" w14:textId="77777777" w:rsidR="00E579B9" w:rsidRDefault="006A1398">
            <w:pPr>
              <w:pStyle w:val="aa"/>
            </w:pPr>
            <w:r>
              <w:t>鼓励矿山企业引进先进采选、环保和安全设备，实施矿山技术改造，提升矿山采、选、冶及环保、安全技术装备水平。推广露天矿山开采区、加工区和生活区分离设置。矿区运输道路全程硬化和洒水降尘，改善矿区环境状况。推广露天矿山台阶式开采、中深孔爆破、二次液压破碎及饰面用石材轮锯开采等方法，尽量一次采完、不留或少留边坡。加大尾矿和废石的再开发、再利</w:t>
            </w:r>
            <w:r>
              <w:lastRenderedPageBreak/>
              <w:t>用力度，明显减少固体废弃物排放量，提高矿产资源节约集约与综合利用水平，有效改善矿山生态环境。</w:t>
            </w:r>
          </w:p>
        </w:tc>
        <w:tc>
          <w:tcPr>
            <w:tcW w:w="3754" w:type="dxa"/>
            <w:tcBorders>
              <w:top w:val="nil"/>
              <w:left w:val="nil"/>
              <w:bottom w:val="single" w:sz="4" w:space="0" w:color="auto"/>
              <w:right w:val="single" w:sz="4" w:space="0" w:color="auto"/>
            </w:tcBorders>
            <w:shd w:val="clear" w:color="auto" w:fill="auto"/>
            <w:vAlign w:val="center"/>
          </w:tcPr>
          <w:p w14:paraId="77DF652E" w14:textId="77777777" w:rsidR="00E579B9" w:rsidRDefault="006A1398">
            <w:pPr>
              <w:pStyle w:val="aa"/>
            </w:pPr>
            <w:r>
              <w:lastRenderedPageBreak/>
              <w:t>本项目建设单位为</w:t>
            </w:r>
            <w:r>
              <w:rPr>
                <w:rFonts w:hint="eastAsia"/>
              </w:rPr>
              <w:t>驻</w:t>
            </w:r>
            <w:r>
              <w:t>马店市驿城区丰鑫矿业有限公司，该企业为一家大型矿产企业，拥有先进的采选、环保和安全设备</w:t>
            </w:r>
            <w:r>
              <w:rPr>
                <w:rFonts w:hint="eastAsia"/>
              </w:rPr>
              <w:t>，</w:t>
            </w:r>
            <w:r>
              <w:t>装备水平先进</w:t>
            </w:r>
            <w:r>
              <w:rPr>
                <w:rFonts w:hint="eastAsia"/>
              </w:rPr>
              <w:t>。</w:t>
            </w:r>
            <w:r>
              <w:t>本项目矿山开采区、加工区、行政办公区分离设置。本项目运矿道路</w:t>
            </w:r>
            <w:r>
              <w:rPr>
                <w:rFonts w:hint="eastAsia"/>
              </w:rPr>
              <w:t>全部</w:t>
            </w:r>
            <w:r>
              <w:t>硬化</w:t>
            </w:r>
            <w:r>
              <w:rPr>
                <w:rFonts w:hint="eastAsia"/>
              </w:rPr>
              <w:t>，并在矿区</w:t>
            </w:r>
            <w:r>
              <w:t>道路、</w:t>
            </w:r>
            <w:r>
              <w:rPr>
                <w:rFonts w:hint="eastAsia"/>
              </w:rPr>
              <w:t>表土场</w:t>
            </w:r>
            <w:r>
              <w:t>等</w:t>
            </w:r>
            <w:r>
              <w:rPr>
                <w:rFonts w:hint="eastAsia"/>
              </w:rPr>
              <w:t>配置洒水装置进行定期洒水，有效改善了矿区环境状况。本项目</w:t>
            </w:r>
            <w:r>
              <w:t>采用台阶式露天开采、深孔爆破、二次液压破碎，尽量一次采完、不留或少留边坡。</w:t>
            </w:r>
            <w:r>
              <w:rPr>
                <w:rFonts w:hint="eastAsia"/>
              </w:rPr>
              <w:t>本项目产生的废土石暂存于表土场，全部废土和部分废石用于后期矿区生态恢复，部分废石外售给当地砖厂，生活垃圾定</w:t>
            </w:r>
            <w:r>
              <w:rPr>
                <w:rFonts w:hint="eastAsia"/>
              </w:rPr>
              <w:lastRenderedPageBreak/>
              <w:t>期交由</w:t>
            </w:r>
            <w:r>
              <w:t>环卫部门清理</w:t>
            </w:r>
            <w:r>
              <w:rPr>
                <w:rFonts w:hint="eastAsia"/>
              </w:rPr>
              <w:t>，因此，本项目的固体废物均得到综合利用</w:t>
            </w:r>
            <w:r>
              <w:t>。</w:t>
            </w:r>
          </w:p>
        </w:tc>
        <w:tc>
          <w:tcPr>
            <w:tcW w:w="693" w:type="dxa"/>
            <w:tcBorders>
              <w:top w:val="nil"/>
              <w:left w:val="nil"/>
              <w:bottom w:val="single" w:sz="4" w:space="0" w:color="auto"/>
              <w:right w:val="single" w:sz="4" w:space="0" w:color="auto"/>
            </w:tcBorders>
            <w:shd w:val="clear" w:color="auto" w:fill="auto"/>
            <w:vAlign w:val="center"/>
          </w:tcPr>
          <w:p w14:paraId="50397D09" w14:textId="77777777" w:rsidR="00E579B9" w:rsidRDefault="006A1398">
            <w:pPr>
              <w:pStyle w:val="aa"/>
            </w:pPr>
            <w:r>
              <w:lastRenderedPageBreak/>
              <w:t>相符</w:t>
            </w:r>
          </w:p>
        </w:tc>
      </w:tr>
    </w:tbl>
    <w:p w14:paraId="3F008FC5" w14:textId="77777777" w:rsidR="00E579B9" w:rsidRDefault="006A1398">
      <w:pPr>
        <w:rPr>
          <w:szCs w:val="24"/>
        </w:rPr>
      </w:pPr>
      <w:r>
        <w:rPr>
          <w:szCs w:val="24"/>
        </w:rPr>
        <w:t>经分析比较，评价认为本项目建设符合</w:t>
      </w:r>
      <w:r>
        <w:t>《河南省人民政府办公厅关于开展三区两线及特定生态保护区范围内露天矿山开发及生态环境综合整治工作的意见》（豫政办﹝</w:t>
      </w:r>
      <w:r>
        <w:t>2016</w:t>
      </w:r>
      <w:r>
        <w:t>﹞</w:t>
      </w:r>
      <w:r>
        <w:t>199</w:t>
      </w:r>
      <w:r>
        <w:t>号）</w:t>
      </w:r>
      <w:r>
        <w:rPr>
          <w:rFonts w:hint="eastAsia"/>
        </w:rPr>
        <w:t>相关</w:t>
      </w:r>
      <w:r>
        <w:rPr>
          <w:szCs w:val="24"/>
        </w:rPr>
        <w:t>要求。</w:t>
      </w:r>
    </w:p>
    <w:p w14:paraId="13985FBF" w14:textId="77777777" w:rsidR="00E579B9" w:rsidRDefault="006A1398">
      <w:pPr>
        <w:rPr>
          <w:snapToGrid w:val="0"/>
        </w:rPr>
      </w:pPr>
      <w:r>
        <w:rPr>
          <w:rFonts w:hint="eastAsia"/>
        </w:rPr>
        <w:t>10.1.1</w:t>
      </w:r>
      <w:r>
        <w:t>2</w:t>
      </w:r>
      <w:r>
        <w:rPr>
          <w:snapToGrid w:val="0"/>
        </w:rPr>
        <w:t>本项目与《河南省人民政府关于全面深化矿产资源管理改革的若干意见》（豫政﹝</w:t>
      </w:r>
      <w:r>
        <w:rPr>
          <w:snapToGrid w:val="0"/>
        </w:rPr>
        <w:t>2016</w:t>
      </w:r>
      <w:r>
        <w:rPr>
          <w:snapToGrid w:val="0"/>
        </w:rPr>
        <w:t>﹞</w:t>
      </w:r>
      <w:r>
        <w:rPr>
          <w:snapToGrid w:val="0"/>
        </w:rPr>
        <w:t>27</w:t>
      </w:r>
      <w:r>
        <w:rPr>
          <w:snapToGrid w:val="0"/>
        </w:rPr>
        <w:t>号）相符性分析</w:t>
      </w:r>
    </w:p>
    <w:p w14:paraId="579DDA6F" w14:textId="77777777" w:rsidR="00E579B9" w:rsidRDefault="006A1398">
      <w:pPr>
        <w:pStyle w:val="21"/>
      </w:pPr>
      <w:r>
        <w:t>表</w:t>
      </w:r>
      <w:r>
        <w:t>10.1-5</w:t>
      </w:r>
      <w:r>
        <w:t>本项目与豫政﹝</w:t>
      </w:r>
      <w:r>
        <w:t>2016</w:t>
      </w:r>
      <w:r>
        <w:t>﹞</w:t>
      </w:r>
      <w:r>
        <w:t>27</w:t>
      </w:r>
      <w:r>
        <w:t>号文相符性分析一览表</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2"/>
        <w:gridCol w:w="881"/>
        <w:gridCol w:w="2948"/>
        <w:gridCol w:w="3550"/>
        <w:gridCol w:w="809"/>
      </w:tblGrid>
      <w:tr w:rsidR="00E579B9" w14:paraId="03C34441" w14:textId="77777777">
        <w:trPr>
          <w:trHeight w:val="285"/>
          <w:tblHeader/>
        </w:trPr>
        <w:tc>
          <w:tcPr>
            <w:tcW w:w="532" w:type="dxa"/>
            <w:shd w:val="clear" w:color="auto" w:fill="auto"/>
            <w:vAlign w:val="center"/>
          </w:tcPr>
          <w:p w14:paraId="5DD1A911" w14:textId="77777777" w:rsidR="00E579B9" w:rsidRDefault="006A1398">
            <w:pPr>
              <w:pStyle w:val="aa"/>
            </w:pPr>
            <w:r>
              <w:t>序号</w:t>
            </w:r>
          </w:p>
        </w:tc>
        <w:tc>
          <w:tcPr>
            <w:tcW w:w="881" w:type="dxa"/>
            <w:vAlign w:val="center"/>
          </w:tcPr>
          <w:p w14:paraId="4F4FDBB9" w14:textId="77777777" w:rsidR="00E579B9" w:rsidRDefault="006A1398">
            <w:pPr>
              <w:pStyle w:val="aa"/>
            </w:pPr>
            <w:r>
              <w:t>类别</w:t>
            </w:r>
          </w:p>
        </w:tc>
        <w:tc>
          <w:tcPr>
            <w:tcW w:w="2948" w:type="dxa"/>
            <w:shd w:val="clear" w:color="auto" w:fill="auto"/>
            <w:vAlign w:val="center"/>
          </w:tcPr>
          <w:p w14:paraId="45AD2D49" w14:textId="77777777" w:rsidR="00E579B9" w:rsidRDefault="006A1398">
            <w:pPr>
              <w:pStyle w:val="aa"/>
            </w:pPr>
            <w:r>
              <w:t>相关要求</w:t>
            </w:r>
          </w:p>
        </w:tc>
        <w:tc>
          <w:tcPr>
            <w:tcW w:w="3550" w:type="dxa"/>
            <w:shd w:val="clear" w:color="auto" w:fill="auto"/>
            <w:vAlign w:val="center"/>
          </w:tcPr>
          <w:p w14:paraId="1FAF24A2" w14:textId="77777777" w:rsidR="00E579B9" w:rsidRDefault="006A1398">
            <w:pPr>
              <w:pStyle w:val="aa"/>
            </w:pPr>
            <w:r>
              <w:t>本项目情况</w:t>
            </w:r>
          </w:p>
        </w:tc>
        <w:tc>
          <w:tcPr>
            <w:tcW w:w="809" w:type="dxa"/>
            <w:shd w:val="clear" w:color="auto" w:fill="auto"/>
            <w:vAlign w:val="center"/>
          </w:tcPr>
          <w:p w14:paraId="1D1D2FE6" w14:textId="77777777" w:rsidR="00E579B9" w:rsidRDefault="006A1398">
            <w:pPr>
              <w:pStyle w:val="aa"/>
            </w:pPr>
            <w:r>
              <w:t>相符性</w:t>
            </w:r>
          </w:p>
        </w:tc>
      </w:tr>
      <w:tr w:rsidR="00E579B9" w14:paraId="2E2CE3EC" w14:textId="77777777">
        <w:tc>
          <w:tcPr>
            <w:tcW w:w="532" w:type="dxa"/>
            <w:shd w:val="clear" w:color="auto" w:fill="auto"/>
            <w:vAlign w:val="center"/>
          </w:tcPr>
          <w:p w14:paraId="751E1FD7" w14:textId="77777777" w:rsidR="00E579B9" w:rsidRDefault="006A1398">
            <w:pPr>
              <w:pStyle w:val="aa"/>
            </w:pPr>
            <w:r>
              <w:t>1</w:t>
            </w:r>
          </w:p>
        </w:tc>
        <w:tc>
          <w:tcPr>
            <w:tcW w:w="881" w:type="dxa"/>
            <w:vAlign w:val="center"/>
          </w:tcPr>
          <w:p w14:paraId="1FB87E15" w14:textId="77777777" w:rsidR="00E579B9" w:rsidRDefault="006A1398">
            <w:pPr>
              <w:pStyle w:val="aa"/>
            </w:pPr>
            <w:r>
              <w:t>（一）严守矿山开采生态红线</w:t>
            </w:r>
          </w:p>
        </w:tc>
        <w:tc>
          <w:tcPr>
            <w:tcW w:w="2948" w:type="dxa"/>
            <w:shd w:val="clear" w:color="auto" w:fill="auto"/>
            <w:vAlign w:val="center"/>
          </w:tcPr>
          <w:p w14:paraId="03C9B297" w14:textId="77777777" w:rsidR="00E579B9" w:rsidRDefault="006A1398">
            <w:pPr>
              <w:pStyle w:val="aa"/>
            </w:pPr>
            <w:r>
              <w:t>矿山环保设施未经验收通过的，不得投入生产。全面关闭</w:t>
            </w:r>
            <w:r>
              <w:t>“</w:t>
            </w:r>
            <w:r>
              <w:t>三区两线</w:t>
            </w:r>
            <w:r>
              <w:t>”</w:t>
            </w:r>
            <w:r>
              <w:t>及特定生态保护区域内的露天开采矿山，切实做好关闭矿山地质环境恢复治理工作。</w:t>
            </w:r>
          </w:p>
        </w:tc>
        <w:tc>
          <w:tcPr>
            <w:tcW w:w="3550" w:type="dxa"/>
            <w:shd w:val="clear" w:color="auto" w:fill="auto"/>
            <w:vAlign w:val="center"/>
          </w:tcPr>
          <w:p w14:paraId="6BD4FEDA" w14:textId="77777777" w:rsidR="00E579B9" w:rsidRDefault="006A1398">
            <w:pPr>
              <w:pStyle w:val="aa"/>
            </w:pPr>
            <w:r>
              <w:rPr>
                <w:color w:val="000000"/>
              </w:rPr>
              <w:t>本项目距离东侧</w:t>
            </w:r>
            <w:r>
              <w:rPr>
                <w:rFonts w:hint="eastAsia"/>
                <w:color w:val="000000"/>
              </w:rPr>
              <w:t>220</w:t>
            </w:r>
            <w:r>
              <w:rPr>
                <w:rFonts w:hint="eastAsia"/>
                <w:color w:val="000000"/>
              </w:rPr>
              <w:t>省</w:t>
            </w:r>
            <w:r>
              <w:rPr>
                <w:color w:val="000000"/>
              </w:rPr>
              <w:t>道直线距离约</w:t>
            </w:r>
            <w:r>
              <w:rPr>
                <w:rFonts w:hint="eastAsia"/>
                <w:color w:val="000000"/>
              </w:rPr>
              <w:t>1.2</w:t>
            </w:r>
            <w:r>
              <w:rPr>
                <w:color w:val="000000"/>
              </w:rPr>
              <w:t>km</w:t>
            </w:r>
            <w:r>
              <w:rPr>
                <w:color w:val="000000"/>
              </w:rPr>
              <w:t>，</w:t>
            </w:r>
            <w:r>
              <w:rPr>
                <w:rFonts w:hint="eastAsia"/>
              </w:rPr>
              <w:t>根据《河南省主体生态功能区划》，本项目不在国家、省级自然保护区，世界文化自然遗产，国家、省级风景名胜区，国家、省级森林公园，国家级、省级质公园，国家、省级湿地公园，国家级、省级水产植物资源保护区范围内，综上所述，本项目不在当地“三区两线”及特定生态保护区范围内</w:t>
            </w:r>
            <w:r>
              <w:t>。矿山环保设施正在积极建设中，待建设完成后立即进行环保验收，验收通过后方可进行矿山开采。</w:t>
            </w:r>
          </w:p>
        </w:tc>
        <w:tc>
          <w:tcPr>
            <w:tcW w:w="809" w:type="dxa"/>
            <w:shd w:val="clear" w:color="auto" w:fill="auto"/>
            <w:vAlign w:val="center"/>
          </w:tcPr>
          <w:p w14:paraId="6541F3A5" w14:textId="77777777" w:rsidR="00E579B9" w:rsidRDefault="006A1398">
            <w:pPr>
              <w:pStyle w:val="aa"/>
            </w:pPr>
            <w:r>
              <w:t>相符</w:t>
            </w:r>
          </w:p>
        </w:tc>
      </w:tr>
      <w:tr w:rsidR="00E579B9" w14:paraId="51C2789F" w14:textId="77777777">
        <w:trPr>
          <w:trHeight w:val="671"/>
        </w:trPr>
        <w:tc>
          <w:tcPr>
            <w:tcW w:w="532" w:type="dxa"/>
            <w:shd w:val="clear" w:color="auto" w:fill="auto"/>
            <w:vAlign w:val="center"/>
          </w:tcPr>
          <w:p w14:paraId="0B30AC8E" w14:textId="77777777" w:rsidR="00E579B9" w:rsidRDefault="006A1398">
            <w:pPr>
              <w:pStyle w:val="aa"/>
            </w:pPr>
            <w:r>
              <w:t>2</w:t>
            </w:r>
          </w:p>
        </w:tc>
        <w:tc>
          <w:tcPr>
            <w:tcW w:w="881" w:type="dxa"/>
            <w:vAlign w:val="center"/>
          </w:tcPr>
          <w:p w14:paraId="65587290" w14:textId="77777777" w:rsidR="00E579B9" w:rsidRDefault="006A1398">
            <w:pPr>
              <w:pStyle w:val="aa"/>
            </w:pPr>
            <w:r>
              <w:t>（三）全面推进绿色</w:t>
            </w:r>
            <w:r>
              <w:lastRenderedPageBreak/>
              <w:t>和谐矿区建设</w:t>
            </w:r>
          </w:p>
        </w:tc>
        <w:tc>
          <w:tcPr>
            <w:tcW w:w="2948" w:type="dxa"/>
            <w:shd w:val="clear" w:color="auto" w:fill="auto"/>
            <w:vAlign w:val="center"/>
          </w:tcPr>
          <w:p w14:paraId="0D2FFA3F" w14:textId="77777777" w:rsidR="00E579B9" w:rsidRDefault="006A1398">
            <w:pPr>
              <w:pStyle w:val="aa"/>
            </w:pPr>
            <w:r>
              <w:lastRenderedPageBreak/>
              <w:t>以矿产开发综合利用、生态环境保护和矿地和谐为主要目标，督促和支持矿山企业统筹矿产开采与环境保护、企业发</w:t>
            </w:r>
            <w:r>
              <w:lastRenderedPageBreak/>
              <w:t>展与社区建设的关系，通过创建绿色矿山示范区，带动和推进绿色矿山、和谐矿区建设。大力推广绿色采选方式，露天矿山必须采用中深孔爆破作业和台阶式开采方法，建筑石料类矿山尽量一次性采完、不留或少留边坡。</w:t>
            </w:r>
          </w:p>
        </w:tc>
        <w:tc>
          <w:tcPr>
            <w:tcW w:w="3550" w:type="dxa"/>
            <w:shd w:val="clear" w:color="auto" w:fill="auto"/>
            <w:vAlign w:val="center"/>
          </w:tcPr>
          <w:p w14:paraId="04A00700" w14:textId="77777777" w:rsidR="00E579B9" w:rsidRDefault="006A1398">
            <w:pPr>
              <w:pStyle w:val="aa"/>
            </w:pPr>
            <w:r>
              <w:lastRenderedPageBreak/>
              <w:t>企业目前正在积极创建</w:t>
            </w:r>
            <w:r>
              <w:t>“</w:t>
            </w:r>
            <w:r>
              <w:t>绿色矿山</w:t>
            </w:r>
            <w:r>
              <w:t>”</w:t>
            </w:r>
            <w:r>
              <w:t>，在不断提高矿产开发综合利用水平的基础上，已投资对矿区边坡、运输道路等区域进行了生态恢</w:t>
            </w:r>
            <w:r>
              <w:lastRenderedPageBreak/>
              <w:t>复。企业拟在后期运营以及闭矿期内进一步完善矿区绿化，改善生态环境，防治水土流失。本项目为资源整合矿山</w:t>
            </w:r>
            <w:r>
              <w:rPr>
                <w:rFonts w:hint="eastAsia"/>
              </w:rPr>
              <w:t>项目</w:t>
            </w:r>
            <w:r>
              <w:t>，采用深孔爆破作业和台阶式开采方法，尽量一次性采完、不留或少留边坡。</w:t>
            </w:r>
          </w:p>
        </w:tc>
        <w:tc>
          <w:tcPr>
            <w:tcW w:w="809" w:type="dxa"/>
            <w:shd w:val="clear" w:color="auto" w:fill="auto"/>
            <w:vAlign w:val="center"/>
          </w:tcPr>
          <w:p w14:paraId="0A3942C0" w14:textId="77777777" w:rsidR="00E579B9" w:rsidRDefault="006A1398">
            <w:pPr>
              <w:pStyle w:val="aa"/>
            </w:pPr>
            <w:r>
              <w:lastRenderedPageBreak/>
              <w:t>相符</w:t>
            </w:r>
          </w:p>
        </w:tc>
      </w:tr>
    </w:tbl>
    <w:p w14:paraId="2C9A406F" w14:textId="77777777" w:rsidR="00E579B9" w:rsidRDefault="006A1398">
      <w:pPr>
        <w:rPr>
          <w:szCs w:val="24"/>
        </w:rPr>
      </w:pPr>
      <w:r>
        <w:rPr>
          <w:szCs w:val="24"/>
        </w:rPr>
        <w:t>经分析比较，评价认为本项目建设符合</w:t>
      </w:r>
      <w:r>
        <w:t>《河南省人民政府关于全面深化矿产资源管理改革的若干意见》（豫政</w:t>
      </w:r>
      <w:r>
        <w:rPr>
          <w:rFonts w:eastAsia="黑体"/>
          <w:szCs w:val="24"/>
        </w:rPr>
        <w:t>﹝</w:t>
      </w:r>
      <w:r>
        <w:t>2016</w:t>
      </w:r>
      <w:r>
        <w:rPr>
          <w:rFonts w:eastAsia="黑体"/>
          <w:szCs w:val="24"/>
        </w:rPr>
        <w:t>﹞</w:t>
      </w:r>
      <w:r>
        <w:t>27</w:t>
      </w:r>
      <w:r>
        <w:t>号）</w:t>
      </w:r>
      <w:r>
        <w:rPr>
          <w:rFonts w:hint="eastAsia"/>
        </w:rPr>
        <w:t>相关</w:t>
      </w:r>
      <w:r>
        <w:rPr>
          <w:szCs w:val="24"/>
        </w:rPr>
        <w:t>要求。</w:t>
      </w:r>
    </w:p>
    <w:p w14:paraId="34A69F8B" w14:textId="77777777" w:rsidR="00E579B9" w:rsidRDefault="006A1398">
      <w:pPr>
        <w:pStyle w:val="3"/>
        <w:ind w:firstLine="560"/>
        <w:rPr>
          <w:snapToGrid w:val="0"/>
        </w:rPr>
      </w:pPr>
      <w:r>
        <w:rPr>
          <w:rFonts w:hint="eastAsia"/>
        </w:rPr>
        <w:t>10.1.12</w:t>
      </w:r>
      <w:r>
        <w:rPr>
          <w:snapToGrid w:val="0"/>
        </w:rPr>
        <w:t>本项目与《矿山生态环境保护与恢复治理技术规范（试行）》（</w:t>
      </w:r>
      <w:r>
        <w:rPr>
          <w:snapToGrid w:val="0"/>
        </w:rPr>
        <w:t>HJ651-2013</w:t>
      </w:r>
      <w:r>
        <w:rPr>
          <w:snapToGrid w:val="0"/>
        </w:rPr>
        <w:t>）相符性分析</w:t>
      </w:r>
    </w:p>
    <w:p w14:paraId="77435A54" w14:textId="77777777" w:rsidR="00E579B9" w:rsidRDefault="00E579B9">
      <w:pPr>
        <w:pStyle w:val="21"/>
      </w:pPr>
    </w:p>
    <w:p w14:paraId="6DED499D" w14:textId="77777777" w:rsidR="00E579B9" w:rsidRDefault="006A1398">
      <w:pPr>
        <w:pStyle w:val="21"/>
      </w:pPr>
      <w:r>
        <w:t>表</w:t>
      </w:r>
      <w:r>
        <w:t>10.1-6</w:t>
      </w:r>
      <w:r>
        <w:t>与（</w:t>
      </w:r>
      <w:r>
        <w:t>HJ651-2013</w:t>
      </w:r>
      <w:r>
        <w:t>）相符性分析一览表</w:t>
      </w:r>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26"/>
        <w:gridCol w:w="834"/>
        <w:gridCol w:w="3225"/>
        <w:gridCol w:w="3506"/>
        <w:gridCol w:w="639"/>
      </w:tblGrid>
      <w:tr w:rsidR="00E579B9" w14:paraId="2EACD559" w14:textId="77777777">
        <w:trPr>
          <w:trHeight w:val="20"/>
          <w:tblHeader/>
        </w:trPr>
        <w:tc>
          <w:tcPr>
            <w:tcW w:w="426" w:type="dxa"/>
            <w:tcBorders>
              <w:top w:val="single" w:sz="4" w:space="0" w:color="auto"/>
              <w:left w:val="single" w:sz="4" w:space="0" w:color="auto"/>
              <w:bottom w:val="single" w:sz="4" w:space="0" w:color="auto"/>
              <w:right w:val="single" w:sz="4" w:space="0" w:color="auto"/>
            </w:tcBorders>
            <w:vAlign w:val="center"/>
          </w:tcPr>
          <w:p w14:paraId="432E0B0A" w14:textId="77777777" w:rsidR="00E579B9" w:rsidRDefault="006A1398">
            <w:pPr>
              <w:pStyle w:val="aa"/>
            </w:pPr>
            <w:r>
              <w:t>序号</w:t>
            </w:r>
          </w:p>
        </w:tc>
        <w:tc>
          <w:tcPr>
            <w:tcW w:w="834" w:type="dxa"/>
            <w:tcBorders>
              <w:top w:val="single" w:sz="4" w:space="0" w:color="auto"/>
              <w:left w:val="single" w:sz="4" w:space="0" w:color="auto"/>
              <w:bottom w:val="single" w:sz="4" w:space="0" w:color="auto"/>
              <w:right w:val="single" w:sz="4" w:space="0" w:color="auto"/>
            </w:tcBorders>
            <w:vAlign w:val="center"/>
          </w:tcPr>
          <w:p w14:paraId="586A53FA" w14:textId="77777777" w:rsidR="00E579B9" w:rsidRDefault="006A1398">
            <w:pPr>
              <w:pStyle w:val="aa"/>
            </w:pPr>
            <w:r>
              <w:t>类别</w:t>
            </w:r>
          </w:p>
        </w:tc>
        <w:tc>
          <w:tcPr>
            <w:tcW w:w="3225" w:type="dxa"/>
            <w:tcBorders>
              <w:top w:val="single" w:sz="4" w:space="0" w:color="auto"/>
              <w:left w:val="single" w:sz="4" w:space="0" w:color="auto"/>
              <w:bottom w:val="single" w:sz="4" w:space="0" w:color="auto"/>
              <w:right w:val="single" w:sz="4" w:space="0" w:color="auto"/>
            </w:tcBorders>
            <w:vAlign w:val="center"/>
          </w:tcPr>
          <w:p w14:paraId="02247364" w14:textId="77777777" w:rsidR="00E579B9" w:rsidRDefault="006A1398">
            <w:pPr>
              <w:pStyle w:val="aa"/>
            </w:pPr>
            <w:r>
              <w:t>技术规范具体要求</w:t>
            </w:r>
          </w:p>
        </w:tc>
        <w:tc>
          <w:tcPr>
            <w:tcW w:w="3506" w:type="dxa"/>
            <w:tcBorders>
              <w:top w:val="single" w:sz="4" w:space="0" w:color="auto"/>
              <w:left w:val="single" w:sz="4" w:space="0" w:color="auto"/>
              <w:bottom w:val="single" w:sz="4" w:space="0" w:color="auto"/>
              <w:right w:val="single" w:sz="4" w:space="0" w:color="auto"/>
            </w:tcBorders>
            <w:vAlign w:val="center"/>
          </w:tcPr>
          <w:p w14:paraId="4B6B8770" w14:textId="77777777" w:rsidR="00E579B9" w:rsidRDefault="006A1398">
            <w:pPr>
              <w:pStyle w:val="aa"/>
            </w:pPr>
            <w:r>
              <w:t>项目情况</w:t>
            </w:r>
          </w:p>
        </w:tc>
        <w:tc>
          <w:tcPr>
            <w:tcW w:w="639" w:type="dxa"/>
            <w:tcBorders>
              <w:top w:val="single" w:sz="4" w:space="0" w:color="auto"/>
              <w:left w:val="single" w:sz="4" w:space="0" w:color="auto"/>
              <w:bottom w:val="single" w:sz="4" w:space="0" w:color="auto"/>
              <w:right w:val="single" w:sz="4" w:space="0" w:color="auto"/>
            </w:tcBorders>
            <w:vAlign w:val="center"/>
          </w:tcPr>
          <w:p w14:paraId="7737B1CC" w14:textId="77777777" w:rsidR="00E579B9" w:rsidRDefault="006A1398">
            <w:pPr>
              <w:pStyle w:val="aa"/>
            </w:pPr>
            <w:r>
              <w:t>相符性</w:t>
            </w:r>
          </w:p>
        </w:tc>
      </w:tr>
      <w:tr w:rsidR="00E579B9" w14:paraId="0200F239" w14:textId="77777777">
        <w:trPr>
          <w:trHeight w:val="447"/>
        </w:trPr>
        <w:tc>
          <w:tcPr>
            <w:tcW w:w="426" w:type="dxa"/>
            <w:tcBorders>
              <w:top w:val="single" w:sz="4" w:space="0" w:color="auto"/>
              <w:left w:val="single" w:sz="4" w:space="0" w:color="auto"/>
              <w:bottom w:val="single" w:sz="4" w:space="0" w:color="auto"/>
              <w:right w:val="single" w:sz="4" w:space="0" w:color="auto"/>
            </w:tcBorders>
            <w:vAlign w:val="center"/>
          </w:tcPr>
          <w:p w14:paraId="37818316" w14:textId="77777777" w:rsidR="00E579B9" w:rsidRDefault="006A1398">
            <w:pPr>
              <w:pStyle w:val="aa"/>
            </w:pPr>
            <w:r>
              <w:t>1</w:t>
            </w:r>
          </w:p>
        </w:tc>
        <w:tc>
          <w:tcPr>
            <w:tcW w:w="834" w:type="dxa"/>
            <w:vMerge w:val="restart"/>
            <w:tcBorders>
              <w:top w:val="single" w:sz="4" w:space="0" w:color="auto"/>
              <w:left w:val="single" w:sz="4" w:space="0" w:color="auto"/>
              <w:bottom w:val="single" w:sz="4" w:space="0" w:color="auto"/>
              <w:right w:val="single" w:sz="4" w:space="0" w:color="auto"/>
            </w:tcBorders>
            <w:vAlign w:val="center"/>
          </w:tcPr>
          <w:p w14:paraId="7E8EAEF7" w14:textId="77777777" w:rsidR="00E579B9" w:rsidRDefault="006A1398">
            <w:pPr>
              <w:pStyle w:val="aa"/>
            </w:pPr>
            <w:r>
              <w:t>一般要求</w:t>
            </w:r>
          </w:p>
        </w:tc>
        <w:tc>
          <w:tcPr>
            <w:tcW w:w="3225" w:type="dxa"/>
            <w:tcBorders>
              <w:top w:val="single" w:sz="4" w:space="0" w:color="auto"/>
              <w:left w:val="single" w:sz="4" w:space="0" w:color="auto"/>
              <w:bottom w:val="single" w:sz="4" w:space="0" w:color="auto"/>
              <w:right w:val="single" w:sz="4" w:space="0" w:color="auto"/>
            </w:tcBorders>
            <w:vAlign w:val="center"/>
          </w:tcPr>
          <w:p w14:paraId="42DB40FA" w14:textId="77777777" w:rsidR="00E579B9" w:rsidRDefault="006A1398">
            <w:pPr>
              <w:pStyle w:val="aa"/>
            </w:pPr>
            <w: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3506" w:type="dxa"/>
            <w:tcBorders>
              <w:top w:val="single" w:sz="4" w:space="0" w:color="auto"/>
              <w:left w:val="single" w:sz="4" w:space="0" w:color="auto"/>
              <w:bottom w:val="single" w:sz="4" w:space="0" w:color="auto"/>
              <w:right w:val="single" w:sz="4" w:space="0" w:color="auto"/>
            </w:tcBorders>
            <w:vAlign w:val="center"/>
          </w:tcPr>
          <w:p w14:paraId="70588B69" w14:textId="77777777" w:rsidR="00E579B9" w:rsidRDefault="006A1398">
            <w:pPr>
              <w:pStyle w:val="aa"/>
            </w:pPr>
            <w:r>
              <w:t>本项目选址不在依法划定的自然保护区、风景名胜区、森林公园、饮用水水源保护区、地质遗迹保护区、基本农田保护区等重要生态保护地以及其他法律法规规定的禁采区域内。本项目不在重要道路、航道两侧及重要生态环境敏感目标可视范围内进行破坏景观的露天开采。</w:t>
            </w:r>
          </w:p>
        </w:tc>
        <w:tc>
          <w:tcPr>
            <w:tcW w:w="639" w:type="dxa"/>
            <w:tcBorders>
              <w:top w:val="single" w:sz="4" w:space="0" w:color="auto"/>
              <w:left w:val="single" w:sz="4" w:space="0" w:color="auto"/>
              <w:bottom w:val="single" w:sz="4" w:space="0" w:color="auto"/>
              <w:right w:val="single" w:sz="4" w:space="0" w:color="auto"/>
            </w:tcBorders>
            <w:vAlign w:val="center"/>
          </w:tcPr>
          <w:p w14:paraId="0FE93E1F" w14:textId="77777777" w:rsidR="00E579B9" w:rsidRDefault="006A1398">
            <w:pPr>
              <w:pStyle w:val="aa"/>
            </w:pPr>
            <w:r>
              <w:t>相符</w:t>
            </w:r>
          </w:p>
        </w:tc>
      </w:tr>
      <w:tr w:rsidR="00E579B9" w14:paraId="4AF11900"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795928B4" w14:textId="77777777" w:rsidR="00E579B9" w:rsidRDefault="006A1398">
            <w:pPr>
              <w:pStyle w:val="aa"/>
            </w:pPr>
            <w:r>
              <w:t>2</w:t>
            </w:r>
          </w:p>
        </w:tc>
        <w:tc>
          <w:tcPr>
            <w:tcW w:w="834" w:type="dxa"/>
            <w:vMerge/>
            <w:tcBorders>
              <w:top w:val="single" w:sz="4" w:space="0" w:color="auto"/>
              <w:left w:val="single" w:sz="4" w:space="0" w:color="auto"/>
              <w:bottom w:val="single" w:sz="4" w:space="0" w:color="auto"/>
              <w:right w:val="single" w:sz="4" w:space="0" w:color="auto"/>
            </w:tcBorders>
            <w:vAlign w:val="center"/>
          </w:tcPr>
          <w:p w14:paraId="6C7B83D7" w14:textId="77777777" w:rsidR="00E579B9" w:rsidRDefault="00E579B9">
            <w:pPr>
              <w:pStyle w:val="aa"/>
            </w:pPr>
          </w:p>
        </w:tc>
        <w:tc>
          <w:tcPr>
            <w:tcW w:w="3225" w:type="dxa"/>
            <w:tcBorders>
              <w:top w:val="single" w:sz="4" w:space="0" w:color="auto"/>
              <w:left w:val="single" w:sz="4" w:space="0" w:color="auto"/>
              <w:bottom w:val="single" w:sz="4" w:space="0" w:color="auto"/>
              <w:right w:val="single" w:sz="4" w:space="0" w:color="auto"/>
            </w:tcBorders>
            <w:vAlign w:val="center"/>
          </w:tcPr>
          <w:p w14:paraId="597DC903" w14:textId="77777777" w:rsidR="00E579B9" w:rsidRDefault="006A1398">
            <w:pPr>
              <w:pStyle w:val="aa"/>
            </w:pPr>
            <w:r>
              <w:t>矿产资源开发活动应符合国家和区域主体功能区规划、生态功能区划、生态环境保护规划的要求，采取有效预防和保护措施，</w:t>
            </w:r>
            <w:r>
              <w:lastRenderedPageBreak/>
              <w:t>避免或减轻矿产资源开发活动造成的生态破坏和环境污染。</w:t>
            </w:r>
          </w:p>
        </w:tc>
        <w:tc>
          <w:tcPr>
            <w:tcW w:w="3506" w:type="dxa"/>
            <w:tcBorders>
              <w:top w:val="single" w:sz="4" w:space="0" w:color="auto"/>
              <w:left w:val="single" w:sz="4" w:space="0" w:color="auto"/>
              <w:bottom w:val="single" w:sz="4" w:space="0" w:color="auto"/>
              <w:right w:val="single" w:sz="4" w:space="0" w:color="auto"/>
            </w:tcBorders>
            <w:vAlign w:val="center"/>
          </w:tcPr>
          <w:p w14:paraId="4995664F" w14:textId="77777777" w:rsidR="00E579B9" w:rsidRDefault="006A1398">
            <w:pPr>
              <w:pStyle w:val="aa"/>
            </w:pPr>
            <w:r>
              <w:lastRenderedPageBreak/>
              <w:t>本项目建筑石料用大理岩矿开采符合国家和区域主体功能区规划、生态功能区划、生态环境保护规划的要求，采取先进的开采工艺与设</w:t>
            </w:r>
            <w:r>
              <w:lastRenderedPageBreak/>
              <w:t>备，能够有效减少污染的产生和排放，矿区内保护措施齐全，避免或减轻矿产资源开发活动造成的生态破坏和环境污染。</w:t>
            </w:r>
          </w:p>
        </w:tc>
        <w:tc>
          <w:tcPr>
            <w:tcW w:w="639" w:type="dxa"/>
            <w:tcBorders>
              <w:top w:val="single" w:sz="4" w:space="0" w:color="auto"/>
              <w:left w:val="single" w:sz="4" w:space="0" w:color="auto"/>
              <w:bottom w:val="single" w:sz="4" w:space="0" w:color="auto"/>
              <w:right w:val="single" w:sz="4" w:space="0" w:color="auto"/>
            </w:tcBorders>
            <w:vAlign w:val="center"/>
          </w:tcPr>
          <w:p w14:paraId="0382C5F6" w14:textId="77777777" w:rsidR="00E579B9" w:rsidRDefault="006A1398">
            <w:pPr>
              <w:pStyle w:val="aa"/>
            </w:pPr>
            <w:r>
              <w:lastRenderedPageBreak/>
              <w:t>相符</w:t>
            </w:r>
          </w:p>
        </w:tc>
      </w:tr>
      <w:tr w:rsidR="00E579B9" w14:paraId="6286441D"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1E58FC67" w14:textId="77777777" w:rsidR="00E579B9" w:rsidRDefault="006A1398">
            <w:pPr>
              <w:pStyle w:val="aa"/>
            </w:pPr>
            <w:r>
              <w:t>3</w:t>
            </w:r>
          </w:p>
        </w:tc>
        <w:tc>
          <w:tcPr>
            <w:tcW w:w="834" w:type="dxa"/>
            <w:vMerge/>
            <w:tcBorders>
              <w:top w:val="single" w:sz="4" w:space="0" w:color="auto"/>
              <w:left w:val="single" w:sz="4" w:space="0" w:color="auto"/>
              <w:bottom w:val="single" w:sz="4" w:space="0" w:color="auto"/>
              <w:right w:val="single" w:sz="4" w:space="0" w:color="auto"/>
            </w:tcBorders>
            <w:vAlign w:val="center"/>
          </w:tcPr>
          <w:p w14:paraId="56D7C85E" w14:textId="77777777" w:rsidR="00E579B9" w:rsidRDefault="00E579B9">
            <w:pPr>
              <w:pStyle w:val="aa"/>
            </w:pPr>
          </w:p>
        </w:tc>
        <w:tc>
          <w:tcPr>
            <w:tcW w:w="3225" w:type="dxa"/>
            <w:tcBorders>
              <w:top w:val="single" w:sz="4" w:space="0" w:color="auto"/>
              <w:left w:val="single" w:sz="4" w:space="0" w:color="auto"/>
              <w:bottom w:val="single" w:sz="4" w:space="0" w:color="auto"/>
              <w:right w:val="single" w:sz="4" w:space="0" w:color="auto"/>
            </w:tcBorders>
            <w:vAlign w:val="center"/>
          </w:tcPr>
          <w:p w14:paraId="2F2EACE5" w14:textId="77777777" w:rsidR="00E579B9" w:rsidRDefault="006A1398">
            <w:pPr>
              <w:pStyle w:val="aa"/>
            </w:pPr>
            <w:r>
              <w:t>坚持</w:t>
            </w:r>
            <w:r>
              <w:rPr>
                <w:rFonts w:hint="eastAsia"/>
              </w:rPr>
              <w:t>“</w:t>
            </w:r>
            <w:r>
              <w:t>预防为主、防治结合、过程控制</w:t>
            </w:r>
            <w:r>
              <w:rPr>
                <w:rFonts w:hint="eastAsia"/>
              </w:rPr>
              <w:t>”</w:t>
            </w:r>
            <w:r>
              <w:t>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3506" w:type="dxa"/>
            <w:tcBorders>
              <w:top w:val="single" w:sz="4" w:space="0" w:color="auto"/>
              <w:left w:val="single" w:sz="4" w:space="0" w:color="auto"/>
              <w:bottom w:val="single" w:sz="4" w:space="0" w:color="auto"/>
              <w:right w:val="single" w:sz="4" w:space="0" w:color="auto"/>
            </w:tcBorders>
            <w:vAlign w:val="center"/>
          </w:tcPr>
          <w:p w14:paraId="2CAB9280" w14:textId="77777777" w:rsidR="00E579B9" w:rsidRDefault="006A1398">
            <w:pPr>
              <w:pStyle w:val="aa"/>
            </w:pPr>
            <w:r>
              <w:t>本项目根据矿山开采进度矿山</w:t>
            </w:r>
            <w:r>
              <w:rPr>
                <w:rFonts w:hint="eastAsia"/>
              </w:rPr>
              <w:t>“</w:t>
            </w:r>
            <w:r>
              <w:t>边开采，边恢复</w:t>
            </w:r>
            <w:r>
              <w:rPr>
                <w:rFonts w:hint="eastAsia"/>
              </w:rPr>
              <w:t>”</w:t>
            </w:r>
            <w:r>
              <w:t>，企业目前正在积极创建</w:t>
            </w:r>
            <w:r>
              <w:rPr>
                <w:rFonts w:hint="eastAsia"/>
              </w:rPr>
              <w:t>“</w:t>
            </w:r>
            <w:r>
              <w:t>绿色矿山</w:t>
            </w:r>
            <w:r>
              <w:rPr>
                <w:rFonts w:hint="eastAsia"/>
              </w:rPr>
              <w:t>”</w:t>
            </w:r>
            <w:r>
              <w:t>，在不断提高矿产开发综合利用水平的基础上，已投资对运矿道路等区域进行了生态恢复，将矿山生态环境保护与恢复治理贯穿矿产资源开采的全过程。本项目矿山生态环境保护与恢复治理的重点任务为预防水土流失，划分矿山生态保护与恢复治理区，优化了矿区生产与生活空间格局。本次矿山开采采用先进的深孔多排孔微差挤压爆破和自上而下台阶式开采方式，有效地提高了矿山生态环境保护和恢复治理水平。</w:t>
            </w:r>
          </w:p>
        </w:tc>
        <w:tc>
          <w:tcPr>
            <w:tcW w:w="639" w:type="dxa"/>
            <w:tcBorders>
              <w:top w:val="single" w:sz="4" w:space="0" w:color="auto"/>
              <w:left w:val="single" w:sz="4" w:space="0" w:color="auto"/>
              <w:bottom w:val="single" w:sz="4" w:space="0" w:color="auto"/>
              <w:right w:val="single" w:sz="4" w:space="0" w:color="auto"/>
            </w:tcBorders>
            <w:vAlign w:val="center"/>
          </w:tcPr>
          <w:p w14:paraId="4D201303" w14:textId="77777777" w:rsidR="00E579B9" w:rsidRDefault="006A1398">
            <w:pPr>
              <w:pStyle w:val="aa"/>
            </w:pPr>
            <w:r>
              <w:t>相符</w:t>
            </w:r>
          </w:p>
        </w:tc>
      </w:tr>
      <w:tr w:rsidR="00E579B9" w14:paraId="51479C00"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53EFE733" w14:textId="77777777" w:rsidR="00E579B9" w:rsidRDefault="006A1398">
            <w:pPr>
              <w:pStyle w:val="aa"/>
            </w:pPr>
            <w:r>
              <w:t>4</w:t>
            </w:r>
          </w:p>
        </w:tc>
        <w:tc>
          <w:tcPr>
            <w:tcW w:w="834" w:type="dxa"/>
            <w:vMerge/>
            <w:tcBorders>
              <w:top w:val="single" w:sz="4" w:space="0" w:color="auto"/>
              <w:left w:val="single" w:sz="4" w:space="0" w:color="auto"/>
              <w:bottom w:val="single" w:sz="4" w:space="0" w:color="auto"/>
              <w:right w:val="single" w:sz="4" w:space="0" w:color="auto"/>
            </w:tcBorders>
            <w:vAlign w:val="center"/>
          </w:tcPr>
          <w:p w14:paraId="35856120" w14:textId="77777777" w:rsidR="00E579B9" w:rsidRDefault="00E579B9">
            <w:pPr>
              <w:pStyle w:val="aa"/>
            </w:pPr>
          </w:p>
        </w:tc>
        <w:tc>
          <w:tcPr>
            <w:tcW w:w="3225" w:type="dxa"/>
            <w:tcBorders>
              <w:top w:val="single" w:sz="4" w:space="0" w:color="auto"/>
              <w:left w:val="single" w:sz="4" w:space="0" w:color="auto"/>
              <w:bottom w:val="single" w:sz="4" w:space="0" w:color="auto"/>
              <w:right w:val="single" w:sz="4" w:space="0" w:color="auto"/>
            </w:tcBorders>
            <w:vAlign w:val="center"/>
          </w:tcPr>
          <w:p w14:paraId="58EBDB0C" w14:textId="77777777" w:rsidR="00E579B9" w:rsidRDefault="006A1398">
            <w:pPr>
              <w:pStyle w:val="aa"/>
            </w:pPr>
            <w: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3506" w:type="dxa"/>
            <w:tcBorders>
              <w:top w:val="single" w:sz="4" w:space="0" w:color="auto"/>
              <w:left w:val="single" w:sz="4" w:space="0" w:color="auto"/>
              <w:bottom w:val="single" w:sz="4" w:space="0" w:color="auto"/>
              <w:right w:val="single" w:sz="4" w:space="0" w:color="auto"/>
            </w:tcBorders>
            <w:vAlign w:val="center"/>
          </w:tcPr>
          <w:p w14:paraId="6B3F2DB4" w14:textId="77777777" w:rsidR="00E579B9" w:rsidRDefault="006A1398">
            <w:pPr>
              <w:pStyle w:val="aa"/>
            </w:pPr>
            <w:r>
              <w:t>本项目矿山闭矿后进行全面恢复，评价区终将恢复成原有植被及生态系统。治理后的各类场地均实现安全稳定；不会对人类和动植物造成威胁；不会污染周边环境；与周边自然环境和景观相协调；恢复土地基本功能，因地制宜实现土地可持续利用；区域整体生态功能得到保护和恢复。</w:t>
            </w:r>
          </w:p>
        </w:tc>
        <w:tc>
          <w:tcPr>
            <w:tcW w:w="639" w:type="dxa"/>
            <w:tcBorders>
              <w:top w:val="single" w:sz="4" w:space="0" w:color="auto"/>
              <w:left w:val="single" w:sz="4" w:space="0" w:color="auto"/>
              <w:bottom w:val="single" w:sz="4" w:space="0" w:color="auto"/>
              <w:right w:val="single" w:sz="4" w:space="0" w:color="auto"/>
            </w:tcBorders>
            <w:vAlign w:val="center"/>
          </w:tcPr>
          <w:p w14:paraId="71C94421" w14:textId="77777777" w:rsidR="00E579B9" w:rsidRDefault="006A1398">
            <w:pPr>
              <w:pStyle w:val="aa"/>
            </w:pPr>
            <w:r>
              <w:t>相符</w:t>
            </w:r>
          </w:p>
        </w:tc>
      </w:tr>
      <w:tr w:rsidR="00E579B9" w14:paraId="09F5AAD3"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43388923" w14:textId="77777777" w:rsidR="00E579B9" w:rsidRDefault="006A1398">
            <w:pPr>
              <w:pStyle w:val="aa"/>
            </w:pPr>
            <w:r>
              <w:t>5</w:t>
            </w:r>
          </w:p>
        </w:tc>
        <w:tc>
          <w:tcPr>
            <w:tcW w:w="834" w:type="dxa"/>
            <w:vMerge w:val="restart"/>
            <w:tcBorders>
              <w:top w:val="single" w:sz="4" w:space="0" w:color="auto"/>
              <w:left w:val="single" w:sz="4" w:space="0" w:color="auto"/>
              <w:bottom w:val="single" w:sz="4" w:space="0" w:color="auto"/>
              <w:right w:val="single" w:sz="4" w:space="0" w:color="auto"/>
            </w:tcBorders>
            <w:vAlign w:val="center"/>
          </w:tcPr>
          <w:p w14:paraId="6AF1D516" w14:textId="77777777" w:rsidR="00E579B9" w:rsidRDefault="006A1398">
            <w:pPr>
              <w:pStyle w:val="aa"/>
            </w:pPr>
            <w:r>
              <w:t>矿山生态保护</w:t>
            </w:r>
          </w:p>
        </w:tc>
        <w:tc>
          <w:tcPr>
            <w:tcW w:w="3225" w:type="dxa"/>
            <w:tcBorders>
              <w:top w:val="single" w:sz="4" w:space="0" w:color="auto"/>
              <w:left w:val="single" w:sz="4" w:space="0" w:color="auto"/>
              <w:bottom w:val="single" w:sz="4" w:space="0" w:color="auto"/>
              <w:right w:val="single" w:sz="4" w:space="0" w:color="auto"/>
            </w:tcBorders>
            <w:vAlign w:val="center"/>
          </w:tcPr>
          <w:p w14:paraId="5A8890DF" w14:textId="77777777" w:rsidR="00E579B9" w:rsidRDefault="006A1398">
            <w:pPr>
              <w:pStyle w:val="aa"/>
            </w:pPr>
            <w:r>
              <w:t>在国家和地方各级人民政府确定的重点（重要）生态功能区内建设矿产资源基地，应进行生态环</w:t>
            </w:r>
            <w:r>
              <w:lastRenderedPageBreak/>
              <w:t>境影响和经济损益评估，按评估结果及相关规定进行控制性开采，减少对生态空间的占用，不影响区域主导生态功能。在水资源短缺、环境容量小、生态系统脆弱、地震和地质灾害易发地区，要严格控制矿产资源开发。</w:t>
            </w:r>
          </w:p>
        </w:tc>
        <w:tc>
          <w:tcPr>
            <w:tcW w:w="3506" w:type="dxa"/>
            <w:tcBorders>
              <w:top w:val="single" w:sz="4" w:space="0" w:color="auto"/>
              <w:left w:val="single" w:sz="4" w:space="0" w:color="auto"/>
              <w:bottom w:val="single" w:sz="4" w:space="0" w:color="auto"/>
              <w:right w:val="single" w:sz="4" w:space="0" w:color="auto"/>
            </w:tcBorders>
            <w:vAlign w:val="center"/>
          </w:tcPr>
          <w:p w14:paraId="442A99CC" w14:textId="77777777" w:rsidR="00E579B9" w:rsidRDefault="006A1398">
            <w:pPr>
              <w:pStyle w:val="aa"/>
            </w:pPr>
            <w:r>
              <w:lastRenderedPageBreak/>
              <w:t>本项目矿区选址不在国家和地方各级人民政府确定的重点（重要）生态功能区内；项目区不属于水资源</w:t>
            </w:r>
            <w:r>
              <w:lastRenderedPageBreak/>
              <w:t>短缺、环境容量小、生态系统脆弱、地震和地质灾害易发地区。</w:t>
            </w:r>
          </w:p>
        </w:tc>
        <w:tc>
          <w:tcPr>
            <w:tcW w:w="639" w:type="dxa"/>
            <w:tcBorders>
              <w:top w:val="single" w:sz="4" w:space="0" w:color="auto"/>
              <w:left w:val="single" w:sz="4" w:space="0" w:color="auto"/>
              <w:bottom w:val="single" w:sz="4" w:space="0" w:color="auto"/>
              <w:right w:val="single" w:sz="4" w:space="0" w:color="auto"/>
            </w:tcBorders>
            <w:vAlign w:val="center"/>
          </w:tcPr>
          <w:p w14:paraId="315AF855" w14:textId="77777777" w:rsidR="00E579B9" w:rsidRDefault="006A1398">
            <w:pPr>
              <w:pStyle w:val="aa"/>
            </w:pPr>
            <w:r>
              <w:lastRenderedPageBreak/>
              <w:t>相符</w:t>
            </w:r>
          </w:p>
        </w:tc>
      </w:tr>
      <w:tr w:rsidR="00E579B9" w14:paraId="282A700E"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30A7213E" w14:textId="77777777" w:rsidR="00E579B9" w:rsidRDefault="006A1398">
            <w:pPr>
              <w:pStyle w:val="aa"/>
            </w:pPr>
            <w:r>
              <w:t>6</w:t>
            </w:r>
          </w:p>
        </w:tc>
        <w:tc>
          <w:tcPr>
            <w:tcW w:w="834" w:type="dxa"/>
            <w:vMerge/>
            <w:tcBorders>
              <w:top w:val="single" w:sz="4" w:space="0" w:color="auto"/>
              <w:left w:val="single" w:sz="4" w:space="0" w:color="auto"/>
              <w:bottom w:val="single" w:sz="4" w:space="0" w:color="auto"/>
              <w:right w:val="single" w:sz="4" w:space="0" w:color="auto"/>
            </w:tcBorders>
            <w:vAlign w:val="center"/>
          </w:tcPr>
          <w:p w14:paraId="16B31108" w14:textId="77777777" w:rsidR="00E579B9" w:rsidRDefault="00E579B9">
            <w:pPr>
              <w:pStyle w:val="aa"/>
            </w:pPr>
          </w:p>
        </w:tc>
        <w:tc>
          <w:tcPr>
            <w:tcW w:w="3225" w:type="dxa"/>
            <w:tcBorders>
              <w:top w:val="single" w:sz="4" w:space="0" w:color="auto"/>
              <w:left w:val="single" w:sz="4" w:space="0" w:color="auto"/>
              <w:bottom w:val="single" w:sz="4" w:space="0" w:color="auto"/>
              <w:right w:val="single" w:sz="4" w:space="0" w:color="auto"/>
            </w:tcBorders>
            <w:vAlign w:val="center"/>
          </w:tcPr>
          <w:p w14:paraId="6EA11AA6" w14:textId="77777777" w:rsidR="00E579B9" w:rsidRDefault="006A1398">
            <w:pPr>
              <w:pStyle w:val="aa"/>
            </w:pPr>
            <w:r>
              <w:t>矿山开采前应在矿区范围及各种采矿活动的可能影响区进行生物多样性现状调查，对于国家或地方保护动植物或生态系统，须采取就地保护或迁地保护等措施保护矿山生物多样性。</w:t>
            </w:r>
          </w:p>
        </w:tc>
        <w:tc>
          <w:tcPr>
            <w:tcW w:w="3506" w:type="dxa"/>
            <w:tcBorders>
              <w:top w:val="single" w:sz="4" w:space="0" w:color="auto"/>
              <w:left w:val="single" w:sz="4" w:space="0" w:color="auto"/>
              <w:bottom w:val="single" w:sz="4" w:space="0" w:color="auto"/>
              <w:right w:val="single" w:sz="4" w:space="0" w:color="auto"/>
            </w:tcBorders>
            <w:vAlign w:val="center"/>
          </w:tcPr>
          <w:p w14:paraId="35883BBB" w14:textId="77777777" w:rsidR="00E579B9" w:rsidRDefault="006A1398">
            <w:pPr>
              <w:pStyle w:val="aa"/>
            </w:pPr>
            <w:r>
              <w:t>已在矿区范围及各种采矿活动的可能影响区进行生物多样性现状调查。经调查，项目周边无国家或地方保护动植物或生态系统。</w:t>
            </w:r>
          </w:p>
        </w:tc>
        <w:tc>
          <w:tcPr>
            <w:tcW w:w="639" w:type="dxa"/>
            <w:tcBorders>
              <w:top w:val="single" w:sz="4" w:space="0" w:color="auto"/>
              <w:left w:val="single" w:sz="4" w:space="0" w:color="auto"/>
              <w:bottom w:val="single" w:sz="4" w:space="0" w:color="auto"/>
              <w:right w:val="single" w:sz="4" w:space="0" w:color="auto"/>
            </w:tcBorders>
            <w:vAlign w:val="center"/>
          </w:tcPr>
          <w:p w14:paraId="46683E4A" w14:textId="77777777" w:rsidR="00E579B9" w:rsidRDefault="006A1398">
            <w:pPr>
              <w:pStyle w:val="aa"/>
            </w:pPr>
            <w:r>
              <w:t>相符</w:t>
            </w:r>
          </w:p>
        </w:tc>
      </w:tr>
      <w:tr w:rsidR="00E579B9" w14:paraId="68552290" w14:textId="77777777">
        <w:trPr>
          <w:trHeight w:val="1754"/>
        </w:trPr>
        <w:tc>
          <w:tcPr>
            <w:tcW w:w="426" w:type="dxa"/>
            <w:tcBorders>
              <w:top w:val="single" w:sz="4" w:space="0" w:color="auto"/>
              <w:left w:val="single" w:sz="4" w:space="0" w:color="auto"/>
              <w:bottom w:val="single" w:sz="4" w:space="0" w:color="auto"/>
              <w:right w:val="single" w:sz="4" w:space="0" w:color="auto"/>
            </w:tcBorders>
            <w:vAlign w:val="center"/>
          </w:tcPr>
          <w:p w14:paraId="7F199463" w14:textId="77777777" w:rsidR="00E579B9" w:rsidRDefault="006A1398">
            <w:pPr>
              <w:pStyle w:val="aa"/>
            </w:pPr>
            <w:r>
              <w:t>7</w:t>
            </w:r>
          </w:p>
        </w:tc>
        <w:tc>
          <w:tcPr>
            <w:tcW w:w="834" w:type="dxa"/>
            <w:vMerge/>
            <w:tcBorders>
              <w:top w:val="single" w:sz="4" w:space="0" w:color="auto"/>
              <w:left w:val="single" w:sz="4" w:space="0" w:color="auto"/>
              <w:bottom w:val="single" w:sz="4" w:space="0" w:color="auto"/>
              <w:right w:val="single" w:sz="4" w:space="0" w:color="auto"/>
            </w:tcBorders>
            <w:vAlign w:val="center"/>
          </w:tcPr>
          <w:p w14:paraId="135E88DD" w14:textId="77777777" w:rsidR="00E579B9" w:rsidRDefault="00E579B9">
            <w:pPr>
              <w:pStyle w:val="aa"/>
            </w:pPr>
          </w:p>
        </w:tc>
        <w:tc>
          <w:tcPr>
            <w:tcW w:w="3225" w:type="dxa"/>
            <w:tcBorders>
              <w:top w:val="single" w:sz="4" w:space="0" w:color="auto"/>
              <w:left w:val="single" w:sz="4" w:space="0" w:color="auto"/>
              <w:bottom w:val="single" w:sz="4" w:space="0" w:color="auto"/>
              <w:right w:val="single" w:sz="4" w:space="0" w:color="auto"/>
            </w:tcBorders>
            <w:vAlign w:val="center"/>
          </w:tcPr>
          <w:p w14:paraId="2CB5332B" w14:textId="77777777" w:rsidR="00E579B9" w:rsidRDefault="006A1398">
            <w:pPr>
              <w:pStyle w:val="aa"/>
            </w:pPr>
            <w:r>
              <w:t>采矿产生的固体废物，应在专用场所堆放，并采取措施防止二次污染；禁止向河流、湖泊、水库等水体及行洪渠道排放岩土、含油垃圾、泥浆、煤渣、煤矸石和其他固体废物。</w:t>
            </w:r>
          </w:p>
        </w:tc>
        <w:tc>
          <w:tcPr>
            <w:tcW w:w="3506" w:type="dxa"/>
            <w:tcBorders>
              <w:top w:val="single" w:sz="4" w:space="0" w:color="auto"/>
              <w:left w:val="single" w:sz="4" w:space="0" w:color="auto"/>
              <w:bottom w:val="single" w:sz="4" w:space="0" w:color="auto"/>
              <w:right w:val="single" w:sz="4" w:space="0" w:color="auto"/>
            </w:tcBorders>
            <w:vAlign w:val="center"/>
          </w:tcPr>
          <w:p w14:paraId="3E78CAE5" w14:textId="77777777" w:rsidR="00E579B9" w:rsidRDefault="006A1398">
            <w:pPr>
              <w:pStyle w:val="aa"/>
            </w:pPr>
            <w:r>
              <w:t>本项目固废均能得到有效利用，不会向河流、湖泊、水库等水体及行洪渠道排放废土石等其他固体废物。</w:t>
            </w:r>
          </w:p>
        </w:tc>
        <w:tc>
          <w:tcPr>
            <w:tcW w:w="639" w:type="dxa"/>
            <w:tcBorders>
              <w:top w:val="single" w:sz="4" w:space="0" w:color="auto"/>
              <w:left w:val="single" w:sz="4" w:space="0" w:color="auto"/>
              <w:bottom w:val="single" w:sz="4" w:space="0" w:color="auto"/>
              <w:right w:val="single" w:sz="4" w:space="0" w:color="auto"/>
            </w:tcBorders>
            <w:vAlign w:val="center"/>
          </w:tcPr>
          <w:p w14:paraId="3B0C779A" w14:textId="77777777" w:rsidR="00E579B9" w:rsidRDefault="006A1398">
            <w:pPr>
              <w:pStyle w:val="aa"/>
            </w:pPr>
            <w:r>
              <w:t>相符</w:t>
            </w:r>
          </w:p>
        </w:tc>
      </w:tr>
      <w:tr w:rsidR="00E579B9" w14:paraId="01FA070F"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251BE36D" w14:textId="77777777" w:rsidR="00E579B9" w:rsidRDefault="006A1398">
            <w:pPr>
              <w:pStyle w:val="aa"/>
            </w:pPr>
            <w:r>
              <w:t>8</w:t>
            </w:r>
          </w:p>
        </w:tc>
        <w:tc>
          <w:tcPr>
            <w:tcW w:w="834" w:type="dxa"/>
            <w:vMerge/>
            <w:tcBorders>
              <w:top w:val="single" w:sz="4" w:space="0" w:color="auto"/>
              <w:left w:val="single" w:sz="4" w:space="0" w:color="auto"/>
              <w:bottom w:val="single" w:sz="4" w:space="0" w:color="auto"/>
              <w:right w:val="single" w:sz="4" w:space="0" w:color="auto"/>
            </w:tcBorders>
            <w:vAlign w:val="center"/>
          </w:tcPr>
          <w:p w14:paraId="39F0A2C4" w14:textId="77777777" w:rsidR="00E579B9" w:rsidRDefault="00E579B9">
            <w:pPr>
              <w:pStyle w:val="aa"/>
            </w:pPr>
          </w:p>
        </w:tc>
        <w:tc>
          <w:tcPr>
            <w:tcW w:w="3225" w:type="dxa"/>
            <w:tcBorders>
              <w:top w:val="single" w:sz="4" w:space="0" w:color="auto"/>
              <w:left w:val="single" w:sz="4" w:space="0" w:color="auto"/>
              <w:bottom w:val="single" w:sz="4" w:space="0" w:color="auto"/>
              <w:right w:val="single" w:sz="4" w:space="0" w:color="auto"/>
            </w:tcBorders>
            <w:vAlign w:val="center"/>
          </w:tcPr>
          <w:p w14:paraId="5FA10EB2" w14:textId="77777777" w:rsidR="00E579B9" w:rsidRDefault="006A1398">
            <w:pPr>
              <w:pStyle w:val="aa"/>
            </w:pPr>
            <w:r>
              <w:t>评估采矿活动对地表水和地下水的影响，避免破坏流域水平衡和污染水环境；采矿区与河道之间应保留环境安全距离，防止采矿对河流生物、河岸植被、河流水环境功能和防洪安全造成破坏性影响。</w:t>
            </w:r>
          </w:p>
        </w:tc>
        <w:tc>
          <w:tcPr>
            <w:tcW w:w="3506" w:type="dxa"/>
            <w:tcBorders>
              <w:top w:val="single" w:sz="4" w:space="0" w:color="auto"/>
              <w:left w:val="single" w:sz="4" w:space="0" w:color="auto"/>
              <w:bottom w:val="single" w:sz="4" w:space="0" w:color="auto"/>
              <w:right w:val="single" w:sz="4" w:space="0" w:color="auto"/>
            </w:tcBorders>
            <w:vAlign w:val="center"/>
          </w:tcPr>
          <w:p w14:paraId="40BDA62B" w14:textId="77777777" w:rsidR="00E579B9" w:rsidRDefault="006A1398">
            <w:pPr>
              <w:pStyle w:val="aa"/>
            </w:pPr>
            <w:r>
              <w:t>本项目采矿活动对地表水和地下水的影响很小，不会破坏流域水平衡和污染水环境；矿区内仅发育一些冲沟，且多为干沟，距离河流较远，不会对河流生物、河岸植被、河流水环境功能和防洪安全造成破坏性影响。</w:t>
            </w:r>
          </w:p>
        </w:tc>
        <w:tc>
          <w:tcPr>
            <w:tcW w:w="639" w:type="dxa"/>
            <w:tcBorders>
              <w:top w:val="single" w:sz="4" w:space="0" w:color="auto"/>
              <w:left w:val="single" w:sz="4" w:space="0" w:color="auto"/>
              <w:bottom w:val="single" w:sz="4" w:space="0" w:color="auto"/>
              <w:right w:val="single" w:sz="4" w:space="0" w:color="auto"/>
            </w:tcBorders>
            <w:vAlign w:val="center"/>
          </w:tcPr>
          <w:p w14:paraId="469CA1DA" w14:textId="77777777" w:rsidR="00E579B9" w:rsidRDefault="006A1398">
            <w:pPr>
              <w:pStyle w:val="aa"/>
            </w:pPr>
            <w:r>
              <w:t>相符</w:t>
            </w:r>
          </w:p>
        </w:tc>
      </w:tr>
      <w:tr w:rsidR="00E579B9" w14:paraId="67D053EC"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6FED7C46" w14:textId="77777777" w:rsidR="00E579B9" w:rsidRDefault="006A1398">
            <w:pPr>
              <w:pStyle w:val="aa"/>
            </w:pPr>
            <w:r>
              <w:t>9</w:t>
            </w:r>
          </w:p>
        </w:tc>
        <w:tc>
          <w:tcPr>
            <w:tcW w:w="834" w:type="dxa"/>
            <w:vMerge/>
            <w:tcBorders>
              <w:top w:val="single" w:sz="4" w:space="0" w:color="auto"/>
              <w:left w:val="single" w:sz="4" w:space="0" w:color="auto"/>
              <w:bottom w:val="single" w:sz="4" w:space="0" w:color="auto"/>
              <w:right w:val="single" w:sz="4" w:space="0" w:color="auto"/>
            </w:tcBorders>
            <w:vAlign w:val="center"/>
          </w:tcPr>
          <w:p w14:paraId="04C5819F" w14:textId="77777777" w:rsidR="00E579B9" w:rsidRDefault="00E579B9">
            <w:pPr>
              <w:pStyle w:val="aa"/>
            </w:pPr>
          </w:p>
        </w:tc>
        <w:tc>
          <w:tcPr>
            <w:tcW w:w="3225" w:type="dxa"/>
            <w:tcBorders>
              <w:top w:val="single" w:sz="4" w:space="0" w:color="auto"/>
              <w:left w:val="single" w:sz="4" w:space="0" w:color="auto"/>
              <w:bottom w:val="single" w:sz="4" w:space="0" w:color="auto"/>
              <w:right w:val="single" w:sz="4" w:space="0" w:color="auto"/>
            </w:tcBorders>
            <w:vAlign w:val="center"/>
          </w:tcPr>
          <w:p w14:paraId="280A6271" w14:textId="77777777" w:rsidR="00E579B9" w:rsidRDefault="006A1398">
            <w:pPr>
              <w:pStyle w:val="aa"/>
            </w:pPr>
            <w:r>
              <w:t>矿区专用道路选线应绕避环境敏感区和环境敏感点，防止对环境保护目标造成不利影响。</w:t>
            </w:r>
          </w:p>
        </w:tc>
        <w:tc>
          <w:tcPr>
            <w:tcW w:w="3506" w:type="dxa"/>
            <w:tcBorders>
              <w:top w:val="single" w:sz="4" w:space="0" w:color="auto"/>
              <w:left w:val="single" w:sz="4" w:space="0" w:color="auto"/>
              <w:bottom w:val="single" w:sz="4" w:space="0" w:color="auto"/>
              <w:right w:val="single" w:sz="4" w:space="0" w:color="auto"/>
            </w:tcBorders>
            <w:vAlign w:val="center"/>
          </w:tcPr>
          <w:p w14:paraId="316F4CF0" w14:textId="77777777" w:rsidR="00E579B9" w:rsidRDefault="006A1398">
            <w:pPr>
              <w:pStyle w:val="aa"/>
            </w:pPr>
            <w:r>
              <w:t>本项目运矿道路主要集中在矿区范围内，道路两侧</w:t>
            </w:r>
            <w:r>
              <w:t>300m</w:t>
            </w:r>
            <w:r>
              <w:t>范围内无环境敏感点。矿区范围外道路进行线路优化，尽量绕避环境敏感区和环</w:t>
            </w:r>
            <w:r>
              <w:lastRenderedPageBreak/>
              <w:t>境敏感点，并采取相应的减噪措施。</w:t>
            </w:r>
          </w:p>
        </w:tc>
        <w:tc>
          <w:tcPr>
            <w:tcW w:w="639" w:type="dxa"/>
            <w:tcBorders>
              <w:top w:val="single" w:sz="4" w:space="0" w:color="auto"/>
              <w:left w:val="single" w:sz="4" w:space="0" w:color="auto"/>
              <w:bottom w:val="single" w:sz="4" w:space="0" w:color="auto"/>
              <w:right w:val="single" w:sz="4" w:space="0" w:color="auto"/>
            </w:tcBorders>
            <w:vAlign w:val="center"/>
          </w:tcPr>
          <w:p w14:paraId="15E75C65" w14:textId="77777777" w:rsidR="00E579B9" w:rsidRDefault="006A1398">
            <w:pPr>
              <w:pStyle w:val="aa"/>
            </w:pPr>
            <w:r>
              <w:lastRenderedPageBreak/>
              <w:t>相符</w:t>
            </w:r>
          </w:p>
        </w:tc>
      </w:tr>
      <w:tr w:rsidR="00E579B9" w14:paraId="1B79530E"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3E307EA5" w14:textId="77777777" w:rsidR="00E579B9" w:rsidRDefault="006A1398">
            <w:pPr>
              <w:pStyle w:val="aa"/>
            </w:pPr>
            <w:r>
              <w:t>10</w:t>
            </w:r>
          </w:p>
        </w:tc>
        <w:tc>
          <w:tcPr>
            <w:tcW w:w="834" w:type="dxa"/>
            <w:vMerge/>
            <w:tcBorders>
              <w:top w:val="single" w:sz="4" w:space="0" w:color="auto"/>
              <w:left w:val="single" w:sz="4" w:space="0" w:color="auto"/>
              <w:bottom w:val="single" w:sz="4" w:space="0" w:color="auto"/>
              <w:right w:val="single" w:sz="4" w:space="0" w:color="auto"/>
            </w:tcBorders>
            <w:vAlign w:val="center"/>
          </w:tcPr>
          <w:p w14:paraId="657747B9" w14:textId="77777777" w:rsidR="00E579B9" w:rsidRDefault="00E579B9">
            <w:pPr>
              <w:pStyle w:val="aa"/>
            </w:pPr>
          </w:p>
        </w:tc>
        <w:tc>
          <w:tcPr>
            <w:tcW w:w="3225" w:type="dxa"/>
            <w:tcBorders>
              <w:top w:val="single" w:sz="4" w:space="0" w:color="auto"/>
              <w:left w:val="single" w:sz="4" w:space="0" w:color="auto"/>
              <w:bottom w:val="single" w:sz="4" w:space="0" w:color="auto"/>
              <w:right w:val="single" w:sz="4" w:space="0" w:color="auto"/>
            </w:tcBorders>
            <w:vAlign w:val="center"/>
          </w:tcPr>
          <w:p w14:paraId="2C075E7F" w14:textId="77777777" w:rsidR="00E579B9" w:rsidRDefault="006A1398">
            <w:pPr>
              <w:pStyle w:val="aa"/>
            </w:pPr>
            <w:r>
              <w:t>表土场、采场、尾矿库、矿区专用道路等各类场地建设前，应视土壤类型对表土进行剥离。剥离的表层土壤不能及时铺覆到已整治场地的，应选择适宜的场地进行堆存，并采取围挡等措施防止水土流失。</w:t>
            </w:r>
          </w:p>
        </w:tc>
        <w:tc>
          <w:tcPr>
            <w:tcW w:w="3506" w:type="dxa"/>
            <w:tcBorders>
              <w:top w:val="single" w:sz="4" w:space="0" w:color="auto"/>
              <w:left w:val="single" w:sz="4" w:space="0" w:color="auto"/>
              <w:bottom w:val="single" w:sz="4" w:space="0" w:color="auto"/>
              <w:right w:val="single" w:sz="4" w:space="0" w:color="auto"/>
            </w:tcBorders>
            <w:vAlign w:val="center"/>
          </w:tcPr>
          <w:p w14:paraId="31C10342" w14:textId="77777777" w:rsidR="00E579B9" w:rsidRDefault="006A1398">
            <w:pPr>
              <w:pStyle w:val="aa"/>
            </w:pPr>
            <w:r>
              <w:t>本项目</w:t>
            </w:r>
            <w:r>
              <w:rPr>
                <w:rFonts w:hint="eastAsia"/>
              </w:rPr>
              <w:t>表土场</w:t>
            </w:r>
            <w:r>
              <w:t>、采场矿区专用道路等各类场地建设前已进行表土剥离，剥离表土暂存于</w:t>
            </w:r>
            <w:r>
              <w:rPr>
                <w:rFonts w:hint="eastAsia"/>
              </w:rPr>
              <w:t>表土场</w:t>
            </w:r>
            <w:r>
              <w:t>用于闭矿期矿山生态恢复，</w:t>
            </w:r>
            <w:r>
              <w:rPr>
                <w:rFonts w:hint="eastAsia"/>
              </w:rPr>
              <w:t>表土场周围</w:t>
            </w:r>
            <w:r>
              <w:t>设置围挡、排水、防渗、防尘网等设施，能有效防止水土流失。</w:t>
            </w:r>
          </w:p>
        </w:tc>
        <w:tc>
          <w:tcPr>
            <w:tcW w:w="639" w:type="dxa"/>
            <w:tcBorders>
              <w:top w:val="single" w:sz="4" w:space="0" w:color="auto"/>
              <w:left w:val="single" w:sz="4" w:space="0" w:color="auto"/>
              <w:bottom w:val="single" w:sz="4" w:space="0" w:color="auto"/>
              <w:right w:val="single" w:sz="4" w:space="0" w:color="auto"/>
            </w:tcBorders>
            <w:vAlign w:val="center"/>
          </w:tcPr>
          <w:p w14:paraId="54A6BBA4" w14:textId="77777777" w:rsidR="00E579B9" w:rsidRDefault="006A1398">
            <w:pPr>
              <w:pStyle w:val="aa"/>
            </w:pPr>
            <w:r>
              <w:t>相符</w:t>
            </w:r>
          </w:p>
        </w:tc>
      </w:tr>
      <w:tr w:rsidR="00E579B9" w14:paraId="24392B77" w14:textId="77777777">
        <w:trPr>
          <w:trHeight w:val="995"/>
        </w:trPr>
        <w:tc>
          <w:tcPr>
            <w:tcW w:w="426" w:type="dxa"/>
            <w:tcBorders>
              <w:top w:val="single" w:sz="4" w:space="0" w:color="auto"/>
              <w:left w:val="single" w:sz="4" w:space="0" w:color="auto"/>
              <w:bottom w:val="single" w:sz="4" w:space="0" w:color="auto"/>
              <w:right w:val="single" w:sz="4" w:space="0" w:color="auto"/>
            </w:tcBorders>
            <w:vAlign w:val="center"/>
          </w:tcPr>
          <w:p w14:paraId="1873F6B6" w14:textId="77777777" w:rsidR="00E579B9" w:rsidRDefault="006A1398">
            <w:pPr>
              <w:pStyle w:val="aa"/>
            </w:pPr>
            <w:r>
              <w:t>11</w:t>
            </w:r>
          </w:p>
        </w:tc>
        <w:tc>
          <w:tcPr>
            <w:tcW w:w="834" w:type="dxa"/>
            <w:vMerge w:val="restart"/>
            <w:tcBorders>
              <w:top w:val="single" w:sz="4" w:space="0" w:color="auto"/>
              <w:left w:val="single" w:sz="4" w:space="0" w:color="auto"/>
              <w:bottom w:val="single" w:sz="4" w:space="0" w:color="auto"/>
              <w:right w:val="single" w:sz="4" w:space="0" w:color="auto"/>
            </w:tcBorders>
            <w:vAlign w:val="center"/>
          </w:tcPr>
          <w:p w14:paraId="33CC678E" w14:textId="77777777" w:rsidR="00E579B9" w:rsidRDefault="006A1398">
            <w:pPr>
              <w:pStyle w:val="aa"/>
            </w:pPr>
            <w:r>
              <w:t>表土场生态恢复</w:t>
            </w:r>
          </w:p>
        </w:tc>
        <w:tc>
          <w:tcPr>
            <w:tcW w:w="3225" w:type="dxa"/>
            <w:tcBorders>
              <w:top w:val="single" w:sz="4" w:space="0" w:color="auto"/>
              <w:left w:val="single" w:sz="4" w:space="0" w:color="auto"/>
              <w:bottom w:val="single" w:sz="4" w:space="0" w:color="auto"/>
              <w:right w:val="single" w:sz="4" w:space="0" w:color="auto"/>
            </w:tcBorders>
            <w:vAlign w:val="center"/>
          </w:tcPr>
          <w:p w14:paraId="43AD7858" w14:textId="77777777" w:rsidR="00E579B9" w:rsidRDefault="006A1398">
            <w:pPr>
              <w:pStyle w:val="aa"/>
            </w:pPr>
            <w:r>
              <w:t>合理安排岩土排弃次序，将有利于植被恢复的岩土排放在上部；表土场应设置完整的排水系统，位于沟谷的表土场应设置防洪和排水设施，避免阻碍泄洪，防止淤塞农田、加剧水土流失和诱发地质灾害；具有丰富水源的表土场或有大量松散物质排放的陡坡场地，以及其它有可能出现滑坡、坍塌的表土场，应采取坡脚防护或拦碴工程。</w:t>
            </w:r>
          </w:p>
        </w:tc>
        <w:tc>
          <w:tcPr>
            <w:tcW w:w="3506" w:type="dxa"/>
            <w:vMerge w:val="restart"/>
            <w:tcBorders>
              <w:top w:val="single" w:sz="4" w:space="0" w:color="auto"/>
              <w:left w:val="single" w:sz="4" w:space="0" w:color="auto"/>
              <w:right w:val="single" w:sz="4" w:space="0" w:color="auto"/>
            </w:tcBorders>
            <w:vAlign w:val="center"/>
          </w:tcPr>
          <w:p w14:paraId="70EEA5ED" w14:textId="77777777" w:rsidR="00E579B9" w:rsidRDefault="006A1398">
            <w:pPr>
              <w:pStyle w:val="aa"/>
            </w:pPr>
            <w:r>
              <w:t>本项目剥离表土暂存于</w:t>
            </w:r>
            <w:r>
              <w:rPr>
                <w:rFonts w:hint="eastAsia"/>
              </w:rPr>
              <w:t>表土场</w:t>
            </w:r>
            <w:r>
              <w:t>，有利于植被恢复的岩土堆放在上部。</w:t>
            </w:r>
            <w:r>
              <w:rPr>
                <w:rFonts w:hint="eastAsia"/>
              </w:rPr>
              <w:t>表土场周围</w:t>
            </w:r>
            <w:r>
              <w:t>设置完整的排水系统和防洪设施。企业对</w:t>
            </w:r>
            <w:r>
              <w:rPr>
                <w:rFonts w:hint="eastAsia"/>
              </w:rPr>
              <w:t>表土场</w:t>
            </w:r>
            <w:r>
              <w:t>终了的台面及坡面进行了防尘网覆盖，并及时播撒了草籽，恢复后的植被覆盖率不低于当地同类土地植被覆盖率，植被类型与原有类型相似，与周边自然景观协调，均为灌草地。不使用用外来有害植物种进行植被恢复。</w:t>
            </w:r>
          </w:p>
        </w:tc>
        <w:tc>
          <w:tcPr>
            <w:tcW w:w="639" w:type="dxa"/>
            <w:tcBorders>
              <w:top w:val="single" w:sz="4" w:space="0" w:color="auto"/>
              <w:left w:val="single" w:sz="4" w:space="0" w:color="auto"/>
              <w:bottom w:val="single" w:sz="4" w:space="0" w:color="auto"/>
              <w:right w:val="single" w:sz="4" w:space="0" w:color="auto"/>
            </w:tcBorders>
            <w:vAlign w:val="center"/>
          </w:tcPr>
          <w:p w14:paraId="0E606CC3" w14:textId="77777777" w:rsidR="00E579B9" w:rsidRDefault="006A1398">
            <w:pPr>
              <w:pStyle w:val="aa"/>
            </w:pPr>
            <w:r>
              <w:t>相符</w:t>
            </w:r>
          </w:p>
        </w:tc>
      </w:tr>
      <w:tr w:rsidR="00E579B9" w14:paraId="55A64EA4" w14:textId="77777777">
        <w:trPr>
          <w:trHeight w:val="498"/>
        </w:trPr>
        <w:tc>
          <w:tcPr>
            <w:tcW w:w="426" w:type="dxa"/>
            <w:tcBorders>
              <w:top w:val="single" w:sz="4" w:space="0" w:color="auto"/>
              <w:left w:val="single" w:sz="4" w:space="0" w:color="auto"/>
              <w:bottom w:val="single" w:sz="4" w:space="0" w:color="auto"/>
              <w:right w:val="single" w:sz="4" w:space="0" w:color="auto"/>
            </w:tcBorders>
            <w:vAlign w:val="center"/>
          </w:tcPr>
          <w:p w14:paraId="404537AB" w14:textId="77777777" w:rsidR="00E579B9" w:rsidRDefault="006A1398">
            <w:pPr>
              <w:pStyle w:val="aa"/>
            </w:pPr>
            <w:r>
              <w:t>12</w:t>
            </w:r>
          </w:p>
        </w:tc>
        <w:tc>
          <w:tcPr>
            <w:tcW w:w="834" w:type="dxa"/>
            <w:vMerge/>
            <w:tcBorders>
              <w:top w:val="single" w:sz="4" w:space="0" w:color="auto"/>
              <w:left w:val="single" w:sz="4" w:space="0" w:color="auto"/>
              <w:bottom w:val="single" w:sz="4" w:space="0" w:color="auto"/>
              <w:right w:val="single" w:sz="4" w:space="0" w:color="auto"/>
            </w:tcBorders>
            <w:vAlign w:val="center"/>
          </w:tcPr>
          <w:p w14:paraId="3A7560E1" w14:textId="77777777" w:rsidR="00E579B9" w:rsidRDefault="00E579B9">
            <w:pPr>
              <w:pStyle w:val="aa"/>
            </w:pPr>
          </w:p>
        </w:tc>
        <w:tc>
          <w:tcPr>
            <w:tcW w:w="3225" w:type="dxa"/>
            <w:tcBorders>
              <w:top w:val="single" w:sz="4" w:space="0" w:color="auto"/>
              <w:left w:val="single" w:sz="4" w:space="0" w:color="auto"/>
              <w:bottom w:val="single" w:sz="4" w:space="0" w:color="auto"/>
              <w:right w:val="single" w:sz="4" w:space="0" w:color="auto"/>
            </w:tcBorders>
            <w:vAlign w:val="center"/>
          </w:tcPr>
          <w:p w14:paraId="441275B3" w14:textId="77777777" w:rsidR="00E579B9" w:rsidRDefault="006A1398">
            <w:pPr>
              <w:pStyle w:val="aa"/>
            </w:pPr>
            <w:r>
              <w:t>充分利用工程前收集的表土覆盖于表土场表层，覆盖土层厚度根据植被恢复类型和场地用途确定；表土场植被恢复宜林则林、宜草则草、草灌优先，恢复后的植被覆盖率不应低于当地同类土地植被覆盖率，植被类型要与原有类型相似、与周边自然景观协调。不得使用外来有害植物种进行表土场植被恢复。已采用外来</w:t>
            </w:r>
            <w:r>
              <w:lastRenderedPageBreak/>
              <w:t>物种进行植被恢复造成危害的，应采取人工铲除。</w:t>
            </w:r>
          </w:p>
        </w:tc>
        <w:tc>
          <w:tcPr>
            <w:tcW w:w="3506" w:type="dxa"/>
            <w:vMerge/>
            <w:tcBorders>
              <w:left w:val="single" w:sz="4" w:space="0" w:color="auto"/>
              <w:bottom w:val="single" w:sz="4" w:space="0" w:color="auto"/>
              <w:right w:val="single" w:sz="4" w:space="0" w:color="auto"/>
            </w:tcBorders>
            <w:vAlign w:val="center"/>
          </w:tcPr>
          <w:p w14:paraId="133A2554" w14:textId="77777777" w:rsidR="00E579B9" w:rsidRDefault="00E579B9">
            <w:pPr>
              <w:pStyle w:val="aa"/>
            </w:pPr>
          </w:p>
        </w:tc>
        <w:tc>
          <w:tcPr>
            <w:tcW w:w="639" w:type="dxa"/>
            <w:tcBorders>
              <w:top w:val="single" w:sz="4" w:space="0" w:color="auto"/>
              <w:left w:val="single" w:sz="4" w:space="0" w:color="auto"/>
              <w:bottom w:val="single" w:sz="4" w:space="0" w:color="auto"/>
              <w:right w:val="single" w:sz="4" w:space="0" w:color="auto"/>
            </w:tcBorders>
            <w:vAlign w:val="center"/>
          </w:tcPr>
          <w:p w14:paraId="38B6BE10" w14:textId="77777777" w:rsidR="00E579B9" w:rsidRDefault="006A1398">
            <w:pPr>
              <w:pStyle w:val="aa"/>
            </w:pPr>
            <w:r>
              <w:t>相符</w:t>
            </w:r>
          </w:p>
        </w:tc>
      </w:tr>
      <w:tr w:rsidR="00E579B9" w14:paraId="17249818"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6823D9D2" w14:textId="77777777" w:rsidR="00E579B9" w:rsidRDefault="006A1398">
            <w:pPr>
              <w:pStyle w:val="aa"/>
            </w:pPr>
            <w:r>
              <w:t>13</w:t>
            </w:r>
          </w:p>
        </w:tc>
        <w:tc>
          <w:tcPr>
            <w:tcW w:w="834" w:type="dxa"/>
            <w:vMerge w:val="restart"/>
            <w:tcBorders>
              <w:top w:val="single" w:sz="4" w:space="0" w:color="auto"/>
              <w:left w:val="single" w:sz="4" w:space="0" w:color="auto"/>
              <w:bottom w:val="single" w:sz="4" w:space="0" w:color="auto"/>
              <w:right w:val="single" w:sz="4" w:space="0" w:color="auto"/>
            </w:tcBorders>
            <w:vAlign w:val="center"/>
          </w:tcPr>
          <w:p w14:paraId="42682AE0" w14:textId="77777777" w:rsidR="00E579B9" w:rsidRDefault="006A1398">
            <w:pPr>
              <w:pStyle w:val="aa"/>
            </w:pPr>
            <w:r>
              <w:t>露天采场生态恢复</w:t>
            </w:r>
          </w:p>
        </w:tc>
        <w:tc>
          <w:tcPr>
            <w:tcW w:w="3225" w:type="dxa"/>
            <w:tcBorders>
              <w:top w:val="single" w:sz="4" w:space="0" w:color="auto"/>
              <w:left w:val="single" w:sz="4" w:space="0" w:color="auto"/>
              <w:bottom w:val="single" w:sz="4" w:space="0" w:color="auto"/>
              <w:right w:val="single" w:sz="4" w:space="0" w:color="auto"/>
            </w:tcBorders>
            <w:vAlign w:val="center"/>
          </w:tcPr>
          <w:p w14:paraId="3141A832" w14:textId="77777777" w:rsidR="00E579B9" w:rsidRDefault="006A1398">
            <w:pPr>
              <w:pStyle w:val="aa"/>
            </w:pPr>
            <w:r>
              <w:t>露天采场的场地整治和覆土方法根据场地坡度来确定。水平地和</w:t>
            </w:r>
            <w:r>
              <w:t>15º</w:t>
            </w:r>
            <w:r>
              <w:t>以下缓坡地可采用物料充填、底板耕松、挖高垫低等方法；</w:t>
            </w:r>
            <w:r>
              <w:t>15º</w:t>
            </w:r>
            <w:r>
              <w:t>以上陡坡地可采用挖穴填土、砌筑植生盆（槽）填土、喷混、阶梯整形覆土、安放植物袋、石壁挂笼填土等方法。</w:t>
            </w:r>
          </w:p>
        </w:tc>
        <w:tc>
          <w:tcPr>
            <w:tcW w:w="3506" w:type="dxa"/>
            <w:tcBorders>
              <w:top w:val="single" w:sz="4" w:space="0" w:color="auto"/>
              <w:left w:val="single" w:sz="4" w:space="0" w:color="auto"/>
              <w:bottom w:val="single" w:sz="4" w:space="0" w:color="auto"/>
              <w:right w:val="single" w:sz="4" w:space="0" w:color="auto"/>
            </w:tcBorders>
            <w:vAlign w:val="center"/>
          </w:tcPr>
          <w:p w14:paraId="3EDE5151" w14:textId="77777777" w:rsidR="00E579B9" w:rsidRDefault="006A1398">
            <w:pPr>
              <w:pStyle w:val="aa"/>
            </w:pPr>
            <w:r>
              <w:t>本项目</w:t>
            </w:r>
            <w:r>
              <w:rPr>
                <w:rFonts w:hint="eastAsia"/>
              </w:rPr>
              <w:t>表土</w:t>
            </w:r>
            <w:r>
              <w:t>用于矿山闭矿后生态恢复，水平地和</w:t>
            </w:r>
            <w:r>
              <w:t>15º</w:t>
            </w:r>
            <w:r>
              <w:t>以下缓坡地采用表土充填；</w:t>
            </w:r>
            <w:r>
              <w:t>15º</w:t>
            </w:r>
            <w:r>
              <w:t>以上陡坡地根据地形地质条件采用挖穴填土、砌筑植生盆（槽）填土等方法进行生态恢复。</w:t>
            </w:r>
          </w:p>
        </w:tc>
        <w:tc>
          <w:tcPr>
            <w:tcW w:w="639" w:type="dxa"/>
            <w:tcBorders>
              <w:top w:val="single" w:sz="4" w:space="0" w:color="auto"/>
              <w:left w:val="single" w:sz="4" w:space="0" w:color="auto"/>
              <w:bottom w:val="single" w:sz="4" w:space="0" w:color="auto"/>
              <w:right w:val="single" w:sz="4" w:space="0" w:color="auto"/>
            </w:tcBorders>
            <w:vAlign w:val="center"/>
          </w:tcPr>
          <w:p w14:paraId="71E27161" w14:textId="77777777" w:rsidR="00E579B9" w:rsidRDefault="006A1398">
            <w:pPr>
              <w:pStyle w:val="aa"/>
            </w:pPr>
            <w:r>
              <w:t>相符</w:t>
            </w:r>
          </w:p>
        </w:tc>
      </w:tr>
      <w:tr w:rsidR="00E579B9" w14:paraId="27CBB9A1"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71EB7BF3" w14:textId="77777777" w:rsidR="00E579B9" w:rsidRDefault="006A1398">
            <w:pPr>
              <w:pStyle w:val="aa"/>
            </w:pPr>
            <w:r>
              <w:t>14</w:t>
            </w:r>
          </w:p>
        </w:tc>
        <w:tc>
          <w:tcPr>
            <w:tcW w:w="834" w:type="dxa"/>
            <w:vMerge/>
            <w:tcBorders>
              <w:top w:val="single" w:sz="4" w:space="0" w:color="auto"/>
              <w:left w:val="single" w:sz="4" w:space="0" w:color="auto"/>
              <w:bottom w:val="single" w:sz="4" w:space="0" w:color="auto"/>
              <w:right w:val="single" w:sz="4" w:space="0" w:color="auto"/>
            </w:tcBorders>
            <w:vAlign w:val="center"/>
          </w:tcPr>
          <w:p w14:paraId="71FF120F" w14:textId="77777777" w:rsidR="00E579B9" w:rsidRDefault="00E579B9">
            <w:pPr>
              <w:pStyle w:val="aa"/>
            </w:pPr>
          </w:p>
        </w:tc>
        <w:tc>
          <w:tcPr>
            <w:tcW w:w="3225" w:type="dxa"/>
            <w:tcBorders>
              <w:top w:val="single" w:sz="4" w:space="0" w:color="auto"/>
              <w:left w:val="single" w:sz="4" w:space="0" w:color="auto"/>
              <w:bottom w:val="single" w:sz="4" w:space="0" w:color="auto"/>
              <w:right w:val="single" w:sz="4" w:space="0" w:color="auto"/>
            </w:tcBorders>
            <w:vAlign w:val="center"/>
          </w:tcPr>
          <w:p w14:paraId="6164C228" w14:textId="77777777" w:rsidR="00E579B9" w:rsidRDefault="006A1398">
            <w:pPr>
              <w:pStyle w:val="aa"/>
            </w:pPr>
            <w:r>
              <w:t>边坡治理后应保持稳定。非干旱地区露天采场边坡应恢复植被。边坡恢复措施及设计要求应符合</w:t>
            </w:r>
            <w:r>
              <w:t>GB50433</w:t>
            </w:r>
            <w:r>
              <w:t>的相关要求；位于交通干线两侧、城镇居民区周边、景区景点等可视范围的采石宕口及裸露岩石，应采取挂网喷播、种植藤本植物等工程与生物措施进行恢复，并使恢复后的宕口与周围景观相协调。</w:t>
            </w:r>
          </w:p>
        </w:tc>
        <w:tc>
          <w:tcPr>
            <w:tcW w:w="3506" w:type="dxa"/>
            <w:tcBorders>
              <w:top w:val="single" w:sz="4" w:space="0" w:color="auto"/>
              <w:left w:val="single" w:sz="4" w:space="0" w:color="auto"/>
              <w:bottom w:val="single" w:sz="4" w:space="0" w:color="auto"/>
              <w:right w:val="single" w:sz="4" w:space="0" w:color="auto"/>
            </w:tcBorders>
            <w:vAlign w:val="center"/>
          </w:tcPr>
          <w:p w14:paraId="71796A58" w14:textId="77777777" w:rsidR="00E579B9" w:rsidRDefault="006A1398">
            <w:pPr>
              <w:pStyle w:val="aa"/>
              <w:rPr>
                <w:color w:val="000000"/>
              </w:rPr>
            </w:pPr>
            <w:r>
              <w:rPr>
                <w:color w:val="000000"/>
              </w:rPr>
              <w:t>本项目在服务期满后进行全面的植树种草，恢复生态，边坡恢复措施及设</w:t>
            </w:r>
            <w:r>
              <w:t>计要求符合</w:t>
            </w:r>
            <w:r>
              <w:t>GB50433</w:t>
            </w:r>
            <w:r>
              <w:t>的相关要求。</w:t>
            </w:r>
            <w:r>
              <w:rPr>
                <w:rFonts w:hint="eastAsia"/>
              </w:rPr>
              <w:t>本项目不属于</w:t>
            </w:r>
            <w:r>
              <w:t>位于交通干线两侧、城镇居民区周边、景区景点等可视范围的采石宕口及裸露岩石。</w:t>
            </w:r>
          </w:p>
        </w:tc>
        <w:tc>
          <w:tcPr>
            <w:tcW w:w="639" w:type="dxa"/>
            <w:tcBorders>
              <w:top w:val="single" w:sz="4" w:space="0" w:color="auto"/>
              <w:left w:val="single" w:sz="4" w:space="0" w:color="auto"/>
              <w:bottom w:val="single" w:sz="4" w:space="0" w:color="auto"/>
              <w:right w:val="single" w:sz="4" w:space="0" w:color="auto"/>
            </w:tcBorders>
            <w:vAlign w:val="center"/>
          </w:tcPr>
          <w:p w14:paraId="59F1AECC" w14:textId="77777777" w:rsidR="00E579B9" w:rsidRDefault="006A1398">
            <w:pPr>
              <w:pStyle w:val="aa"/>
            </w:pPr>
            <w:r>
              <w:t>相符</w:t>
            </w:r>
          </w:p>
        </w:tc>
      </w:tr>
      <w:tr w:rsidR="00E579B9" w14:paraId="372779C9"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4D9D1015" w14:textId="77777777" w:rsidR="00E579B9" w:rsidRDefault="006A1398">
            <w:pPr>
              <w:pStyle w:val="aa"/>
            </w:pPr>
            <w:r>
              <w:t>15</w:t>
            </w:r>
          </w:p>
        </w:tc>
        <w:tc>
          <w:tcPr>
            <w:tcW w:w="834" w:type="dxa"/>
            <w:vMerge/>
            <w:tcBorders>
              <w:top w:val="single" w:sz="4" w:space="0" w:color="auto"/>
              <w:left w:val="single" w:sz="4" w:space="0" w:color="auto"/>
              <w:bottom w:val="single" w:sz="4" w:space="0" w:color="auto"/>
              <w:right w:val="single" w:sz="4" w:space="0" w:color="auto"/>
            </w:tcBorders>
            <w:vAlign w:val="center"/>
          </w:tcPr>
          <w:p w14:paraId="1D7ED11E" w14:textId="77777777" w:rsidR="00E579B9" w:rsidRDefault="00E579B9">
            <w:pPr>
              <w:pStyle w:val="aa"/>
            </w:pPr>
          </w:p>
        </w:tc>
        <w:tc>
          <w:tcPr>
            <w:tcW w:w="3225" w:type="dxa"/>
            <w:tcBorders>
              <w:top w:val="single" w:sz="4" w:space="0" w:color="auto"/>
              <w:left w:val="single" w:sz="4" w:space="0" w:color="auto"/>
              <w:bottom w:val="single" w:sz="4" w:space="0" w:color="auto"/>
              <w:right w:val="single" w:sz="4" w:space="0" w:color="auto"/>
            </w:tcBorders>
            <w:vAlign w:val="center"/>
          </w:tcPr>
          <w:p w14:paraId="25293D6C" w14:textId="77777777" w:rsidR="00E579B9" w:rsidRDefault="006A1398">
            <w:pPr>
              <w:pStyle w:val="aa"/>
            </w:pPr>
            <w:r>
              <w:t>平原地区的露天采场应平整、回填后进行生态恢复，并与周边地表景观相协调，位于山区的露天采场可保持平台和边坡；露天采场回填应做到地面平整，充分利用工程前收集的表土和露天采场风化物覆盖于表层，并做好水土保持与防风固沙措施。</w:t>
            </w:r>
          </w:p>
        </w:tc>
        <w:tc>
          <w:tcPr>
            <w:tcW w:w="3506" w:type="dxa"/>
            <w:tcBorders>
              <w:top w:val="single" w:sz="4" w:space="0" w:color="auto"/>
              <w:left w:val="single" w:sz="4" w:space="0" w:color="auto"/>
              <w:bottom w:val="single" w:sz="4" w:space="0" w:color="auto"/>
              <w:right w:val="single" w:sz="4" w:space="0" w:color="auto"/>
            </w:tcBorders>
            <w:vAlign w:val="center"/>
          </w:tcPr>
          <w:p w14:paraId="3A2623B0" w14:textId="77777777" w:rsidR="00E579B9" w:rsidRDefault="006A1398">
            <w:pPr>
              <w:pStyle w:val="aa"/>
            </w:pPr>
            <w:r>
              <w:t>本项目露天采场位于山区，可保持平台和边坡，并对平台和边坡进行生态恢复。</w:t>
            </w:r>
          </w:p>
        </w:tc>
        <w:tc>
          <w:tcPr>
            <w:tcW w:w="639" w:type="dxa"/>
            <w:tcBorders>
              <w:top w:val="single" w:sz="4" w:space="0" w:color="auto"/>
              <w:left w:val="single" w:sz="4" w:space="0" w:color="auto"/>
              <w:bottom w:val="single" w:sz="4" w:space="0" w:color="auto"/>
              <w:right w:val="single" w:sz="4" w:space="0" w:color="auto"/>
            </w:tcBorders>
            <w:vAlign w:val="center"/>
          </w:tcPr>
          <w:p w14:paraId="6433ED67" w14:textId="77777777" w:rsidR="00E579B9" w:rsidRDefault="006A1398">
            <w:pPr>
              <w:pStyle w:val="aa"/>
            </w:pPr>
            <w:r>
              <w:t>相符</w:t>
            </w:r>
          </w:p>
        </w:tc>
      </w:tr>
      <w:tr w:rsidR="00E579B9" w14:paraId="4978DF58" w14:textId="77777777">
        <w:trPr>
          <w:trHeight w:val="873"/>
        </w:trPr>
        <w:tc>
          <w:tcPr>
            <w:tcW w:w="426" w:type="dxa"/>
            <w:tcBorders>
              <w:top w:val="single" w:sz="4" w:space="0" w:color="auto"/>
              <w:left w:val="single" w:sz="4" w:space="0" w:color="auto"/>
              <w:bottom w:val="single" w:sz="4" w:space="0" w:color="auto"/>
              <w:right w:val="single" w:sz="4" w:space="0" w:color="auto"/>
            </w:tcBorders>
            <w:vAlign w:val="center"/>
          </w:tcPr>
          <w:p w14:paraId="0077E70B" w14:textId="77777777" w:rsidR="00E579B9" w:rsidRDefault="006A1398">
            <w:pPr>
              <w:pStyle w:val="aa"/>
            </w:pPr>
            <w:r>
              <w:t>16</w:t>
            </w:r>
          </w:p>
        </w:tc>
        <w:tc>
          <w:tcPr>
            <w:tcW w:w="834" w:type="dxa"/>
            <w:tcBorders>
              <w:top w:val="single" w:sz="4" w:space="0" w:color="auto"/>
              <w:left w:val="single" w:sz="4" w:space="0" w:color="auto"/>
              <w:bottom w:val="single" w:sz="4" w:space="0" w:color="auto"/>
              <w:right w:val="single" w:sz="4" w:space="0" w:color="auto"/>
            </w:tcBorders>
            <w:vAlign w:val="center"/>
          </w:tcPr>
          <w:p w14:paraId="12E74E5E" w14:textId="77777777" w:rsidR="00E579B9" w:rsidRDefault="006A1398">
            <w:pPr>
              <w:pStyle w:val="aa"/>
            </w:pPr>
            <w:r>
              <w:t>矿区专用道路</w:t>
            </w:r>
            <w:r>
              <w:lastRenderedPageBreak/>
              <w:t>生态恢复</w:t>
            </w:r>
          </w:p>
        </w:tc>
        <w:tc>
          <w:tcPr>
            <w:tcW w:w="3225" w:type="dxa"/>
            <w:tcBorders>
              <w:top w:val="single" w:sz="4" w:space="0" w:color="auto"/>
              <w:left w:val="single" w:sz="4" w:space="0" w:color="auto"/>
              <w:bottom w:val="single" w:sz="4" w:space="0" w:color="auto"/>
              <w:right w:val="single" w:sz="4" w:space="0" w:color="auto"/>
            </w:tcBorders>
            <w:vAlign w:val="center"/>
          </w:tcPr>
          <w:p w14:paraId="4EB6168F" w14:textId="77777777" w:rsidR="00E579B9" w:rsidRDefault="006A1398">
            <w:pPr>
              <w:pStyle w:val="aa"/>
            </w:pPr>
            <w:r>
              <w:lastRenderedPageBreak/>
              <w:t>矿区专用道路用地应严格控制占地面积和范围。开挖路基及取弃土工程，均应根据道路施工进度</w:t>
            </w:r>
            <w:r>
              <w:lastRenderedPageBreak/>
              <w:t>有计划地进行表土剥离并保存，必要时应设置截排水沟、挡土墙等相应保护措施；矿区专用道路取弃土工程结束后，取弃土场应及时回填、整平、压实，并利用堆存的表土进行植被和景观恢复；矿区专用道路使用期间，有条件的地区应对道路两侧进行绿化。道路绿化应以乡土树（草）种为主，选择适应性强、防尘效果好、护坡功能强的植物种。</w:t>
            </w:r>
          </w:p>
        </w:tc>
        <w:tc>
          <w:tcPr>
            <w:tcW w:w="3506" w:type="dxa"/>
            <w:tcBorders>
              <w:top w:val="single" w:sz="4" w:space="0" w:color="auto"/>
              <w:left w:val="single" w:sz="4" w:space="0" w:color="auto"/>
              <w:bottom w:val="single" w:sz="4" w:space="0" w:color="auto"/>
              <w:right w:val="single" w:sz="4" w:space="0" w:color="auto"/>
            </w:tcBorders>
            <w:vAlign w:val="center"/>
          </w:tcPr>
          <w:p w14:paraId="3A8C49F3" w14:textId="77777777" w:rsidR="00E579B9" w:rsidRDefault="006A1398">
            <w:pPr>
              <w:pStyle w:val="aa"/>
            </w:pPr>
            <w:r>
              <w:lastRenderedPageBreak/>
              <w:t>本项目矿山道路等级为三级露天矿山道路，严格控制占地面积和范围道路。开挖路基及取弃土工程，根</w:t>
            </w:r>
            <w:r>
              <w:lastRenderedPageBreak/>
              <w:t>据道路施工进度有计划地进行表土剥离并保存于</w:t>
            </w:r>
            <w:r>
              <w:rPr>
                <w:rFonts w:hint="eastAsia"/>
              </w:rPr>
              <w:t>表土场</w:t>
            </w:r>
            <w:r>
              <w:t>，运矿道路两侧设置截排水沟等相应保护措施。矿区专用道路取弃土工程结束后，表土</w:t>
            </w:r>
            <w:r>
              <w:rPr>
                <w:rFonts w:hint="eastAsia"/>
              </w:rPr>
              <w:t>用于</w:t>
            </w:r>
            <w:r>
              <w:t>回填、整平、压实，并利用进行植被和景观恢复；矿区专用道路使用期间，企业将对道路两侧进行绿化种植乡土树（草）种等适应性强、防尘效果好、护坡功能强的植物种。</w:t>
            </w:r>
          </w:p>
        </w:tc>
        <w:tc>
          <w:tcPr>
            <w:tcW w:w="639" w:type="dxa"/>
            <w:tcBorders>
              <w:top w:val="single" w:sz="4" w:space="0" w:color="auto"/>
              <w:left w:val="single" w:sz="4" w:space="0" w:color="auto"/>
              <w:bottom w:val="single" w:sz="4" w:space="0" w:color="auto"/>
              <w:right w:val="single" w:sz="4" w:space="0" w:color="auto"/>
            </w:tcBorders>
            <w:vAlign w:val="center"/>
          </w:tcPr>
          <w:p w14:paraId="32FDB0EA" w14:textId="77777777" w:rsidR="00E579B9" w:rsidRDefault="006A1398">
            <w:pPr>
              <w:pStyle w:val="aa"/>
            </w:pPr>
            <w:r>
              <w:lastRenderedPageBreak/>
              <w:t>相符</w:t>
            </w:r>
          </w:p>
        </w:tc>
      </w:tr>
      <w:tr w:rsidR="00E579B9" w14:paraId="020AD7B6" w14:textId="77777777">
        <w:trPr>
          <w:trHeight w:val="1733"/>
        </w:trPr>
        <w:tc>
          <w:tcPr>
            <w:tcW w:w="426" w:type="dxa"/>
            <w:tcBorders>
              <w:top w:val="single" w:sz="4" w:space="0" w:color="auto"/>
              <w:left w:val="single" w:sz="4" w:space="0" w:color="auto"/>
              <w:bottom w:val="single" w:sz="4" w:space="0" w:color="auto"/>
              <w:right w:val="single" w:sz="4" w:space="0" w:color="auto"/>
            </w:tcBorders>
            <w:vAlign w:val="center"/>
          </w:tcPr>
          <w:p w14:paraId="3D1D00BF" w14:textId="77777777" w:rsidR="00E579B9" w:rsidRDefault="006A1398">
            <w:pPr>
              <w:pStyle w:val="aa"/>
            </w:pPr>
            <w:r>
              <w:t>17</w:t>
            </w:r>
          </w:p>
        </w:tc>
        <w:tc>
          <w:tcPr>
            <w:tcW w:w="834" w:type="dxa"/>
            <w:tcBorders>
              <w:top w:val="single" w:sz="4" w:space="0" w:color="auto"/>
              <w:left w:val="single" w:sz="4" w:space="0" w:color="auto"/>
              <w:bottom w:val="single" w:sz="4" w:space="0" w:color="auto"/>
              <w:right w:val="single" w:sz="4" w:space="0" w:color="auto"/>
            </w:tcBorders>
            <w:vAlign w:val="center"/>
          </w:tcPr>
          <w:p w14:paraId="1CB267B2" w14:textId="77777777" w:rsidR="00E579B9" w:rsidRDefault="006A1398">
            <w:pPr>
              <w:pStyle w:val="aa"/>
            </w:pPr>
            <w:r>
              <w:t>矿山工业场地生态恢复</w:t>
            </w:r>
          </w:p>
        </w:tc>
        <w:tc>
          <w:tcPr>
            <w:tcW w:w="3225" w:type="dxa"/>
            <w:tcBorders>
              <w:top w:val="single" w:sz="4" w:space="0" w:color="auto"/>
              <w:left w:val="single" w:sz="4" w:space="0" w:color="auto"/>
              <w:bottom w:val="single" w:sz="4" w:space="0" w:color="auto"/>
              <w:right w:val="single" w:sz="4" w:space="0" w:color="auto"/>
            </w:tcBorders>
            <w:vAlign w:val="center"/>
          </w:tcPr>
          <w:p w14:paraId="0340D602" w14:textId="77777777" w:rsidR="00E579B9" w:rsidRDefault="006A1398">
            <w:pPr>
              <w:pStyle w:val="aa"/>
            </w:pPr>
            <w:r>
              <w:t>矿山工业场地不再使用的厂房、堆料场、沉沙设施、垃圾池、管线等各项建（构）筑物和基础设施应全部拆除，并进行景观和植被恢复。转为商住等其他用途的，应开展污染场地调查、风险评估与修复治理。</w:t>
            </w:r>
          </w:p>
        </w:tc>
        <w:tc>
          <w:tcPr>
            <w:tcW w:w="3506" w:type="dxa"/>
            <w:tcBorders>
              <w:top w:val="single" w:sz="4" w:space="0" w:color="auto"/>
              <w:left w:val="single" w:sz="4" w:space="0" w:color="auto"/>
              <w:bottom w:val="single" w:sz="4" w:space="0" w:color="auto"/>
              <w:right w:val="single" w:sz="4" w:space="0" w:color="auto"/>
            </w:tcBorders>
            <w:vAlign w:val="center"/>
          </w:tcPr>
          <w:p w14:paraId="695EC2FF" w14:textId="77777777" w:rsidR="00E579B9" w:rsidRDefault="006A1398">
            <w:pPr>
              <w:pStyle w:val="aa"/>
            </w:pPr>
            <w:r>
              <w:t>本项目闭矿后将对不再使用的</w:t>
            </w:r>
            <w:r>
              <w:rPr>
                <w:rFonts w:hint="eastAsia"/>
              </w:rPr>
              <w:t>沉淀池</w:t>
            </w:r>
            <w:r>
              <w:t>等各项建（构）筑物</w:t>
            </w:r>
            <w:r>
              <w:rPr>
                <w:rFonts w:hint="eastAsia"/>
              </w:rPr>
              <w:t>和</w:t>
            </w:r>
            <w:r>
              <w:t>基础设施全部拆除，并进行景观和植被恢复。若转为商住等其他用途的，则会开展污染场地调查、风险评估与修复治理。</w:t>
            </w:r>
          </w:p>
        </w:tc>
        <w:tc>
          <w:tcPr>
            <w:tcW w:w="639" w:type="dxa"/>
            <w:tcBorders>
              <w:top w:val="single" w:sz="4" w:space="0" w:color="auto"/>
              <w:left w:val="single" w:sz="4" w:space="0" w:color="auto"/>
              <w:bottom w:val="single" w:sz="4" w:space="0" w:color="auto"/>
              <w:right w:val="single" w:sz="4" w:space="0" w:color="auto"/>
            </w:tcBorders>
            <w:vAlign w:val="center"/>
          </w:tcPr>
          <w:p w14:paraId="736B9A49" w14:textId="77777777" w:rsidR="00E579B9" w:rsidRDefault="006A1398">
            <w:pPr>
              <w:pStyle w:val="aa"/>
            </w:pPr>
            <w:r>
              <w:t>相符</w:t>
            </w:r>
          </w:p>
        </w:tc>
      </w:tr>
      <w:tr w:rsidR="00E579B9" w14:paraId="26630DF4" w14:textId="77777777">
        <w:trPr>
          <w:trHeight w:val="645"/>
        </w:trPr>
        <w:tc>
          <w:tcPr>
            <w:tcW w:w="426" w:type="dxa"/>
            <w:tcBorders>
              <w:top w:val="single" w:sz="4" w:space="0" w:color="auto"/>
              <w:left w:val="single" w:sz="4" w:space="0" w:color="auto"/>
              <w:bottom w:val="single" w:sz="4" w:space="0" w:color="auto"/>
              <w:right w:val="single" w:sz="4" w:space="0" w:color="auto"/>
            </w:tcBorders>
            <w:vAlign w:val="center"/>
          </w:tcPr>
          <w:p w14:paraId="750217E3" w14:textId="77777777" w:rsidR="00E579B9" w:rsidRDefault="006A1398">
            <w:pPr>
              <w:pStyle w:val="aa"/>
            </w:pPr>
            <w:r>
              <w:t>18</w:t>
            </w:r>
          </w:p>
        </w:tc>
        <w:tc>
          <w:tcPr>
            <w:tcW w:w="834" w:type="dxa"/>
            <w:tcBorders>
              <w:top w:val="single" w:sz="4" w:space="0" w:color="auto"/>
              <w:left w:val="single" w:sz="4" w:space="0" w:color="auto"/>
              <w:bottom w:val="single" w:sz="4" w:space="0" w:color="auto"/>
              <w:right w:val="single" w:sz="4" w:space="0" w:color="auto"/>
            </w:tcBorders>
            <w:vAlign w:val="center"/>
          </w:tcPr>
          <w:p w14:paraId="6C5B5733" w14:textId="77777777" w:rsidR="00E579B9" w:rsidRDefault="006A1398">
            <w:pPr>
              <w:pStyle w:val="aa"/>
            </w:pPr>
            <w:r>
              <w:t>矿山大气污染防治</w:t>
            </w:r>
          </w:p>
        </w:tc>
        <w:tc>
          <w:tcPr>
            <w:tcW w:w="3225" w:type="dxa"/>
            <w:tcBorders>
              <w:top w:val="single" w:sz="4" w:space="0" w:color="auto"/>
              <w:left w:val="single" w:sz="4" w:space="0" w:color="auto"/>
              <w:bottom w:val="single" w:sz="4" w:space="0" w:color="auto"/>
              <w:right w:val="single" w:sz="4" w:space="0" w:color="auto"/>
            </w:tcBorders>
            <w:vAlign w:val="center"/>
          </w:tcPr>
          <w:p w14:paraId="072D3A7D" w14:textId="77777777" w:rsidR="00E579B9" w:rsidRDefault="006A1398">
            <w:pPr>
              <w:pStyle w:val="aa"/>
            </w:pPr>
            <w:r>
              <w:t>采矿清理地面植被时，禁止燃烧植被。运输剥离土的道路应洒水或采取其他措施减少粉尘；勘探、采矿及选矿作业中所用设备应配备粉尘收集或降尘设施；矿物和矿渣运输道路应硬化并洒水防尘，运输车辆应采取围挡、遮盖等措施；矿物堆场和临时料场应采取防止风蚀和扬尘措施。</w:t>
            </w:r>
          </w:p>
        </w:tc>
        <w:tc>
          <w:tcPr>
            <w:tcW w:w="3506" w:type="dxa"/>
            <w:tcBorders>
              <w:top w:val="single" w:sz="4" w:space="0" w:color="auto"/>
              <w:left w:val="single" w:sz="4" w:space="0" w:color="auto"/>
              <w:bottom w:val="single" w:sz="4" w:space="0" w:color="auto"/>
              <w:right w:val="single" w:sz="4" w:space="0" w:color="auto"/>
            </w:tcBorders>
            <w:vAlign w:val="center"/>
          </w:tcPr>
          <w:p w14:paraId="6D2983BB" w14:textId="77777777" w:rsidR="00E579B9" w:rsidRDefault="006A1398">
            <w:pPr>
              <w:pStyle w:val="aa"/>
            </w:pPr>
            <w:r>
              <w:t>本项目禁止燃烧植被；运输剥离土的道路定期洒水减少粉尘；采矿过程采用湿式作业、选用自带捕尘器设备。本次评定提出对运矿道路进行全面硬化，企业将积极配合完成路面硬化。定期对运输道路洒水抑尘的方式减少粉尘排放；运输车辆全封闭，密闭运输；矿物堆场终了的台面及坡面均进行防尘网覆盖，防止风蚀和扬尘。</w:t>
            </w:r>
          </w:p>
        </w:tc>
        <w:tc>
          <w:tcPr>
            <w:tcW w:w="639" w:type="dxa"/>
            <w:tcBorders>
              <w:top w:val="single" w:sz="4" w:space="0" w:color="auto"/>
              <w:left w:val="single" w:sz="4" w:space="0" w:color="auto"/>
              <w:bottom w:val="single" w:sz="4" w:space="0" w:color="auto"/>
              <w:right w:val="single" w:sz="4" w:space="0" w:color="auto"/>
            </w:tcBorders>
            <w:vAlign w:val="center"/>
          </w:tcPr>
          <w:p w14:paraId="6CAF9138" w14:textId="77777777" w:rsidR="00E579B9" w:rsidRDefault="006A1398">
            <w:pPr>
              <w:pStyle w:val="aa"/>
            </w:pPr>
            <w:r>
              <w:t>相符</w:t>
            </w:r>
          </w:p>
        </w:tc>
      </w:tr>
      <w:tr w:rsidR="00E579B9" w14:paraId="4BFFBA69" w14:textId="77777777">
        <w:trPr>
          <w:trHeight w:val="2123"/>
        </w:trPr>
        <w:tc>
          <w:tcPr>
            <w:tcW w:w="426" w:type="dxa"/>
            <w:tcBorders>
              <w:top w:val="single" w:sz="4" w:space="0" w:color="auto"/>
              <w:left w:val="single" w:sz="4" w:space="0" w:color="auto"/>
              <w:bottom w:val="single" w:sz="4" w:space="0" w:color="auto"/>
              <w:right w:val="single" w:sz="4" w:space="0" w:color="auto"/>
            </w:tcBorders>
            <w:vAlign w:val="center"/>
          </w:tcPr>
          <w:p w14:paraId="411AFFD0" w14:textId="77777777" w:rsidR="00E579B9" w:rsidRDefault="006A1398">
            <w:pPr>
              <w:pStyle w:val="aa"/>
            </w:pPr>
            <w:r>
              <w:lastRenderedPageBreak/>
              <w:t>19</w:t>
            </w:r>
          </w:p>
        </w:tc>
        <w:tc>
          <w:tcPr>
            <w:tcW w:w="834" w:type="dxa"/>
            <w:tcBorders>
              <w:top w:val="single" w:sz="4" w:space="0" w:color="auto"/>
              <w:left w:val="single" w:sz="4" w:space="0" w:color="auto"/>
              <w:bottom w:val="single" w:sz="4" w:space="0" w:color="auto"/>
              <w:right w:val="single" w:sz="4" w:space="0" w:color="auto"/>
            </w:tcBorders>
            <w:vAlign w:val="center"/>
          </w:tcPr>
          <w:p w14:paraId="43D4B4EA" w14:textId="77777777" w:rsidR="00E579B9" w:rsidRDefault="006A1398">
            <w:pPr>
              <w:pStyle w:val="aa"/>
            </w:pPr>
            <w:r>
              <w:t>矿山水污染防治</w:t>
            </w:r>
          </w:p>
        </w:tc>
        <w:tc>
          <w:tcPr>
            <w:tcW w:w="3225" w:type="dxa"/>
            <w:tcBorders>
              <w:top w:val="single" w:sz="4" w:space="0" w:color="auto"/>
              <w:left w:val="single" w:sz="4" w:space="0" w:color="auto"/>
              <w:bottom w:val="single" w:sz="4" w:space="0" w:color="auto"/>
              <w:right w:val="single" w:sz="4" w:space="0" w:color="auto"/>
            </w:tcBorders>
            <w:vAlign w:val="center"/>
          </w:tcPr>
          <w:p w14:paraId="522D537E" w14:textId="77777777" w:rsidR="00E579B9" w:rsidRDefault="006A1398">
            <w:pPr>
              <w:pStyle w:val="aa"/>
            </w:pPr>
            <w:r>
              <w:t>可能产生酸性废水的采矿废石堆场、临时料场等场地的矿山，应采取有效隔离和覆盖措施，减少降水入渗，并采用沉淀法、石灰中和法、微生物法、膜分离法等方法处理矿区酸性废水；矿井水和露天采场内的季节性和临时性积水应在采取沉淀、过滤等措施去除污染物后重复利用。</w:t>
            </w:r>
          </w:p>
        </w:tc>
        <w:tc>
          <w:tcPr>
            <w:tcW w:w="3506" w:type="dxa"/>
            <w:tcBorders>
              <w:top w:val="single" w:sz="4" w:space="0" w:color="auto"/>
              <w:left w:val="single" w:sz="4" w:space="0" w:color="auto"/>
              <w:bottom w:val="single" w:sz="4" w:space="0" w:color="auto"/>
              <w:right w:val="single" w:sz="4" w:space="0" w:color="auto"/>
            </w:tcBorders>
            <w:vAlign w:val="center"/>
          </w:tcPr>
          <w:p w14:paraId="2FE8E47D" w14:textId="77777777" w:rsidR="00E579B9" w:rsidRDefault="006A1398">
            <w:pPr>
              <w:pStyle w:val="aa"/>
            </w:pPr>
            <w:r>
              <w:t>本项目为建筑石料用大理岩矿开采项目，不产生酸性废水；喷淋抑尘以及初期雨水收集进入矿区沉淀池，沉淀处理后用于洒水抑尘。</w:t>
            </w:r>
          </w:p>
        </w:tc>
        <w:tc>
          <w:tcPr>
            <w:tcW w:w="639" w:type="dxa"/>
            <w:tcBorders>
              <w:top w:val="single" w:sz="4" w:space="0" w:color="auto"/>
              <w:left w:val="single" w:sz="4" w:space="0" w:color="auto"/>
              <w:bottom w:val="single" w:sz="4" w:space="0" w:color="auto"/>
              <w:right w:val="single" w:sz="4" w:space="0" w:color="auto"/>
            </w:tcBorders>
            <w:vAlign w:val="center"/>
          </w:tcPr>
          <w:p w14:paraId="14924F7A" w14:textId="77777777" w:rsidR="00E579B9" w:rsidRDefault="006A1398">
            <w:pPr>
              <w:pStyle w:val="aa"/>
            </w:pPr>
            <w:r>
              <w:t>相符</w:t>
            </w:r>
          </w:p>
        </w:tc>
      </w:tr>
    </w:tbl>
    <w:p w14:paraId="2C9F25BD" w14:textId="77777777" w:rsidR="00E579B9" w:rsidRDefault="006A1398">
      <w:pPr>
        <w:rPr>
          <w:szCs w:val="24"/>
        </w:rPr>
      </w:pPr>
      <w:r>
        <w:rPr>
          <w:szCs w:val="24"/>
        </w:rPr>
        <w:t>经分析比较，评价认为本项目建设符合</w:t>
      </w:r>
      <w:r>
        <w:t>《矿山生态环境保护与恢复治理技术规范（试行）》（</w:t>
      </w:r>
      <w:r>
        <w:t>HJ651-2013</w:t>
      </w:r>
      <w:r>
        <w:t>）</w:t>
      </w:r>
      <w:r>
        <w:rPr>
          <w:rFonts w:hint="eastAsia"/>
        </w:rPr>
        <w:t>相关</w:t>
      </w:r>
      <w:r>
        <w:rPr>
          <w:szCs w:val="24"/>
        </w:rPr>
        <w:t>要求。</w:t>
      </w:r>
    </w:p>
    <w:p w14:paraId="70778419" w14:textId="77777777" w:rsidR="00E579B9" w:rsidRDefault="006A1398">
      <w:pPr>
        <w:pStyle w:val="3"/>
        <w:ind w:firstLine="560"/>
        <w:rPr>
          <w:rFonts w:cs="Times New Roman"/>
          <w:b/>
          <w:bCs/>
          <w:szCs w:val="24"/>
          <w:u w:val="single"/>
        </w:rPr>
      </w:pPr>
      <w:r>
        <w:rPr>
          <w:rFonts w:hint="eastAsia"/>
        </w:rPr>
        <w:t>10.1.13</w:t>
      </w:r>
      <w:r>
        <w:rPr>
          <w:rFonts w:hint="eastAsia"/>
        </w:rPr>
        <w:t>与</w:t>
      </w:r>
      <w:r>
        <w:t>《</w:t>
      </w:r>
      <w:r>
        <w:rPr>
          <w:rFonts w:hint="eastAsia"/>
        </w:rPr>
        <w:t>非金属矿绿色矿山建设规范</w:t>
      </w:r>
      <w:r>
        <w:t>》（</w:t>
      </w:r>
      <w:r>
        <w:t>DB41/T1666-218</w:t>
      </w:r>
      <w:r>
        <w:t>）</w:t>
      </w:r>
      <w:r>
        <w:rPr>
          <w:rFonts w:hint="eastAsia"/>
        </w:rPr>
        <w:t>相符性分析</w:t>
      </w:r>
    </w:p>
    <w:p w14:paraId="34139504" w14:textId="77777777" w:rsidR="00E579B9" w:rsidRDefault="006A1398">
      <w:pPr>
        <w:widowControl w:val="0"/>
        <w:spacing w:line="500" w:lineRule="exact"/>
        <w:jc w:val="both"/>
        <w:rPr>
          <w:rFonts w:ascii="黑体" w:eastAsia="黑体" w:hAnsi="黑体" w:cs="Times New Roman"/>
          <w:bCs/>
          <w:szCs w:val="24"/>
        </w:rPr>
      </w:pPr>
      <w:r>
        <w:rPr>
          <w:rFonts w:ascii="黑体" w:eastAsia="黑体" w:hAnsi="黑体" w:cs="Times New Roman" w:hint="eastAsia"/>
          <w:bCs/>
          <w:szCs w:val="24"/>
        </w:rPr>
        <w:t>表</w:t>
      </w:r>
      <w:r>
        <w:rPr>
          <w:rFonts w:ascii="黑体" w:eastAsia="黑体" w:hAnsi="黑体" w:cs="Times New Roman"/>
          <w:bCs/>
          <w:szCs w:val="24"/>
        </w:rPr>
        <w:t>10.1-7</w:t>
      </w:r>
      <w:r>
        <w:rPr>
          <w:rFonts w:ascii="黑体" w:eastAsia="黑体" w:hAnsi="黑体" w:cs="Times New Roman" w:hint="eastAsia"/>
          <w:bCs/>
          <w:szCs w:val="24"/>
        </w:rPr>
        <w:t>与《非金属矿绿色矿山建设规范》（DB41/T1666-2018）相符性分析</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5320"/>
        <w:gridCol w:w="1984"/>
        <w:gridCol w:w="645"/>
      </w:tblGrid>
      <w:tr w:rsidR="00E579B9" w14:paraId="11AF8069" w14:textId="77777777">
        <w:trPr>
          <w:jc w:val="center"/>
        </w:trPr>
        <w:tc>
          <w:tcPr>
            <w:tcW w:w="681" w:type="dxa"/>
            <w:tcBorders>
              <w:top w:val="single" w:sz="4" w:space="0" w:color="auto"/>
              <w:left w:val="single" w:sz="4" w:space="0" w:color="auto"/>
              <w:bottom w:val="single" w:sz="4" w:space="0" w:color="auto"/>
              <w:right w:val="single" w:sz="4" w:space="0" w:color="auto"/>
            </w:tcBorders>
            <w:vAlign w:val="center"/>
          </w:tcPr>
          <w:p w14:paraId="6E487D83" w14:textId="77777777" w:rsidR="00E579B9" w:rsidRDefault="006A1398">
            <w:pPr>
              <w:pStyle w:val="aa"/>
              <w:spacing w:line="240" w:lineRule="atLeast"/>
            </w:pPr>
            <w:r>
              <w:rPr>
                <w:rFonts w:hint="eastAsia"/>
              </w:rPr>
              <w:t>项目</w:t>
            </w:r>
          </w:p>
        </w:tc>
        <w:tc>
          <w:tcPr>
            <w:tcW w:w="5320" w:type="dxa"/>
            <w:tcBorders>
              <w:top w:val="single" w:sz="4" w:space="0" w:color="auto"/>
              <w:left w:val="nil"/>
              <w:bottom w:val="single" w:sz="4" w:space="0" w:color="auto"/>
              <w:right w:val="single" w:sz="4" w:space="0" w:color="auto"/>
            </w:tcBorders>
            <w:vAlign w:val="center"/>
          </w:tcPr>
          <w:p w14:paraId="6E03FA3B" w14:textId="77777777" w:rsidR="00E579B9" w:rsidRDefault="006A1398">
            <w:pPr>
              <w:pStyle w:val="aa"/>
              <w:spacing w:line="240" w:lineRule="atLeast"/>
            </w:pPr>
            <w:r>
              <w:rPr>
                <w:rFonts w:hint="eastAsia"/>
              </w:rPr>
              <w:t>《非金属矿行业绿色矿山建设规范》要求</w:t>
            </w:r>
          </w:p>
        </w:tc>
        <w:tc>
          <w:tcPr>
            <w:tcW w:w="1984" w:type="dxa"/>
            <w:tcBorders>
              <w:top w:val="single" w:sz="4" w:space="0" w:color="auto"/>
              <w:left w:val="nil"/>
              <w:bottom w:val="single" w:sz="4" w:space="0" w:color="auto"/>
              <w:right w:val="single" w:sz="4" w:space="0" w:color="auto"/>
            </w:tcBorders>
            <w:vAlign w:val="center"/>
          </w:tcPr>
          <w:p w14:paraId="29A39C27" w14:textId="77777777" w:rsidR="00E579B9" w:rsidRDefault="006A1398">
            <w:pPr>
              <w:pStyle w:val="aa"/>
              <w:spacing w:line="240" w:lineRule="atLeast"/>
            </w:pPr>
            <w:r>
              <w:rPr>
                <w:rFonts w:hint="eastAsia"/>
              </w:rPr>
              <w:t>本项目建设情况</w:t>
            </w:r>
          </w:p>
        </w:tc>
        <w:tc>
          <w:tcPr>
            <w:tcW w:w="645" w:type="dxa"/>
            <w:tcBorders>
              <w:top w:val="single" w:sz="4" w:space="0" w:color="auto"/>
              <w:left w:val="nil"/>
              <w:bottom w:val="single" w:sz="4" w:space="0" w:color="auto"/>
              <w:right w:val="single" w:sz="4" w:space="0" w:color="auto"/>
            </w:tcBorders>
            <w:vAlign w:val="center"/>
          </w:tcPr>
          <w:p w14:paraId="04AA3B3F" w14:textId="77777777" w:rsidR="00E579B9" w:rsidRDefault="006A1398">
            <w:pPr>
              <w:pStyle w:val="aa"/>
              <w:spacing w:line="240" w:lineRule="atLeast"/>
            </w:pPr>
            <w:r>
              <w:rPr>
                <w:rFonts w:hint="eastAsia"/>
              </w:rPr>
              <w:t>相符性</w:t>
            </w:r>
          </w:p>
        </w:tc>
      </w:tr>
      <w:tr w:rsidR="00E579B9" w14:paraId="66458EC5" w14:textId="77777777">
        <w:trPr>
          <w:jc w:val="center"/>
        </w:trPr>
        <w:tc>
          <w:tcPr>
            <w:tcW w:w="681" w:type="dxa"/>
            <w:vMerge w:val="restart"/>
            <w:tcBorders>
              <w:top w:val="nil"/>
              <w:left w:val="single" w:sz="4" w:space="0" w:color="auto"/>
              <w:bottom w:val="single" w:sz="4" w:space="0" w:color="auto"/>
              <w:right w:val="single" w:sz="4" w:space="0" w:color="auto"/>
            </w:tcBorders>
            <w:vAlign w:val="center"/>
          </w:tcPr>
          <w:p w14:paraId="14DDE92E" w14:textId="77777777" w:rsidR="00E579B9" w:rsidRDefault="006A1398">
            <w:pPr>
              <w:pStyle w:val="aa"/>
              <w:spacing w:line="240" w:lineRule="atLeast"/>
            </w:pPr>
            <w:r>
              <w:rPr>
                <w:rFonts w:hint="eastAsia"/>
              </w:rPr>
              <w:t>矿容矿貌</w:t>
            </w:r>
          </w:p>
        </w:tc>
        <w:tc>
          <w:tcPr>
            <w:tcW w:w="5320" w:type="dxa"/>
            <w:tcBorders>
              <w:top w:val="single" w:sz="4" w:space="0" w:color="auto"/>
              <w:left w:val="nil"/>
              <w:bottom w:val="single" w:sz="4" w:space="0" w:color="auto"/>
              <w:right w:val="single" w:sz="4" w:space="0" w:color="auto"/>
            </w:tcBorders>
            <w:vAlign w:val="center"/>
          </w:tcPr>
          <w:p w14:paraId="2047438F" w14:textId="77777777" w:rsidR="00E579B9" w:rsidRDefault="006A1398">
            <w:pPr>
              <w:pStyle w:val="aa"/>
              <w:spacing w:line="240" w:lineRule="atLeast"/>
            </w:pPr>
            <w:r>
              <w:rPr>
                <w:rFonts w:hint="eastAsia"/>
              </w:rPr>
              <w:t>矿区范围应符合相关规划，不应涉及禁止、限制开采区，资源开采应与城乡建设、环境保护、资源保护相协调。周边安全距离应符合要求</w:t>
            </w:r>
          </w:p>
        </w:tc>
        <w:tc>
          <w:tcPr>
            <w:tcW w:w="1984" w:type="dxa"/>
            <w:tcBorders>
              <w:top w:val="single" w:sz="4" w:space="0" w:color="auto"/>
              <w:left w:val="nil"/>
              <w:bottom w:val="single" w:sz="4" w:space="0" w:color="auto"/>
              <w:right w:val="single" w:sz="4" w:space="0" w:color="auto"/>
            </w:tcBorders>
            <w:vAlign w:val="center"/>
          </w:tcPr>
          <w:p w14:paraId="68F7811D" w14:textId="77777777" w:rsidR="00E579B9" w:rsidRDefault="006A1398">
            <w:pPr>
              <w:pStyle w:val="aa"/>
              <w:spacing w:line="240" w:lineRule="atLeast"/>
            </w:pPr>
            <w:r>
              <w:rPr>
                <w:rFonts w:hint="eastAsia"/>
              </w:rPr>
              <w:t>项目建设符合河南省、驻马店市矿产资源总体规划要求；不在重点开采区、限制开采区和禁止开采区之列</w:t>
            </w:r>
          </w:p>
        </w:tc>
        <w:tc>
          <w:tcPr>
            <w:tcW w:w="645" w:type="dxa"/>
            <w:tcBorders>
              <w:top w:val="single" w:sz="4" w:space="0" w:color="auto"/>
              <w:left w:val="nil"/>
              <w:bottom w:val="single" w:sz="4" w:space="0" w:color="auto"/>
              <w:right w:val="single" w:sz="4" w:space="0" w:color="auto"/>
            </w:tcBorders>
            <w:vAlign w:val="center"/>
          </w:tcPr>
          <w:p w14:paraId="7A213044" w14:textId="77777777" w:rsidR="00E579B9" w:rsidRDefault="006A1398">
            <w:pPr>
              <w:pStyle w:val="aa"/>
              <w:spacing w:line="240" w:lineRule="atLeast"/>
            </w:pPr>
            <w:r>
              <w:rPr>
                <w:rFonts w:hint="eastAsia"/>
              </w:rPr>
              <w:t>符合</w:t>
            </w:r>
          </w:p>
        </w:tc>
      </w:tr>
      <w:tr w:rsidR="00E579B9" w14:paraId="09A1E3CD"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15831554"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60D5F15C" w14:textId="77777777" w:rsidR="00E579B9" w:rsidRDefault="006A1398">
            <w:pPr>
              <w:pStyle w:val="aa"/>
              <w:spacing w:line="240" w:lineRule="atLeast"/>
            </w:pPr>
            <w:r>
              <w:rPr>
                <w:rFonts w:hint="eastAsia"/>
              </w:rPr>
              <w:t>工业场地、废石场、废渣场、表土堆场、选矿厂（加工厂）、尾矿库、矿区生产道路、办公区、生活区等矿山主要功能区选址、布局应符合</w:t>
            </w:r>
            <w:r>
              <w:rPr>
                <w:rFonts w:hint="eastAsia"/>
              </w:rPr>
              <w:t>GB50187</w:t>
            </w:r>
            <w:r>
              <w:rPr>
                <w:rFonts w:hint="eastAsia"/>
              </w:rPr>
              <w:t>的规定</w:t>
            </w:r>
          </w:p>
        </w:tc>
        <w:tc>
          <w:tcPr>
            <w:tcW w:w="1984" w:type="dxa"/>
            <w:tcBorders>
              <w:top w:val="single" w:sz="4" w:space="0" w:color="auto"/>
              <w:left w:val="nil"/>
              <w:bottom w:val="single" w:sz="4" w:space="0" w:color="auto"/>
              <w:right w:val="single" w:sz="4" w:space="0" w:color="auto"/>
            </w:tcBorders>
            <w:vAlign w:val="center"/>
          </w:tcPr>
          <w:p w14:paraId="0A9938F5" w14:textId="77777777" w:rsidR="00E579B9" w:rsidRDefault="006A1398">
            <w:pPr>
              <w:pStyle w:val="aa"/>
              <w:spacing w:line="240" w:lineRule="atLeast"/>
            </w:pPr>
            <w:r>
              <w:rPr>
                <w:rFonts w:hint="eastAsia"/>
              </w:rPr>
              <w:t>项目包括露采场、表土临时堆场、运矿道路和工业场地等，布局简单、合理</w:t>
            </w:r>
          </w:p>
        </w:tc>
        <w:tc>
          <w:tcPr>
            <w:tcW w:w="645" w:type="dxa"/>
            <w:tcBorders>
              <w:top w:val="single" w:sz="4" w:space="0" w:color="auto"/>
              <w:left w:val="nil"/>
              <w:bottom w:val="single" w:sz="4" w:space="0" w:color="auto"/>
              <w:right w:val="single" w:sz="4" w:space="0" w:color="auto"/>
            </w:tcBorders>
            <w:vAlign w:val="center"/>
          </w:tcPr>
          <w:p w14:paraId="332ABD03" w14:textId="77777777" w:rsidR="00E579B9" w:rsidRDefault="006A1398">
            <w:pPr>
              <w:pStyle w:val="aa"/>
              <w:spacing w:line="240" w:lineRule="atLeast"/>
            </w:pPr>
            <w:r>
              <w:rPr>
                <w:rFonts w:hint="eastAsia"/>
              </w:rPr>
              <w:t>符合</w:t>
            </w:r>
          </w:p>
        </w:tc>
      </w:tr>
      <w:tr w:rsidR="00E579B9" w14:paraId="5E002AFB"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22ACDC6F"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5C914133" w14:textId="77777777" w:rsidR="00E579B9" w:rsidRDefault="006A1398">
            <w:pPr>
              <w:pStyle w:val="aa"/>
              <w:spacing w:line="240" w:lineRule="atLeast"/>
            </w:pPr>
            <w:r>
              <w:rPr>
                <w:rFonts w:hint="eastAsia"/>
              </w:rPr>
              <w:t>生产区应整洁卫生，环境优美，管理规范。机械设备、物资材料应摆放有序、管理规范，场地保持清洁</w:t>
            </w:r>
          </w:p>
        </w:tc>
        <w:tc>
          <w:tcPr>
            <w:tcW w:w="1984" w:type="dxa"/>
            <w:tcBorders>
              <w:top w:val="single" w:sz="4" w:space="0" w:color="auto"/>
              <w:left w:val="nil"/>
              <w:bottom w:val="single" w:sz="4" w:space="0" w:color="auto"/>
              <w:right w:val="single" w:sz="4" w:space="0" w:color="auto"/>
            </w:tcBorders>
            <w:vAlign w:val="center"/>
          </w:tcPr>
          <w:p w14:paraId="4B7F282E" w14:textId="77777777" w:rsidR="00E579B9" w:rsidRDefault="006A1398">
            <w:pPr>
              <w:pStyle w:val="aa"/>
              <w:spacing w:line="240" w:lineRule="atLeast"/>
            </w:pPr>
            <w:r>
              <w:rPr>
                <w:rFonts w:hint="eastAsia"/>
              </w:rPr>
              <w:t>运营期加强卫生管理</w:t>
            </w:r>
          </w:p>
        </w:tc>
        <w:tc>
          <w:tcPr>
            <w:tcW w:w="645" w:type="dxa"/>
            <w:tcBorders>
              <w:top w:val="single" w:sz="4" w:space="0" w:color="auto"/>
              <w:left w:val="nil"/>
              <w:bottom w:val="single" w:sz="4" w:space="0" w:color="auto"/>
              <w:right w:val="single" w:sz="4" w:space="0" w:color="auto"/>
            </w:tcBorders>
            <w:vAlign w:val="center"/>
          </w:tcPr>
          <w:p w14:paraId="683540B4" w14:textId="77777777" w:rsidR="00E579B9" w:rsidRDefault="006A1398">
            <w:pPr>
              <w:pStyle w:val="aa"/>
              <w:spacing w:line="240" w:lineRule="atLeast"/>
            </w:pPr>
            <w:r>
              <w:rPr>
                <w:rFonts w:hint="eastAsia"/>
              </w:rPr>
              <w:t>符合</w:t>
            </w:r>
          </w:p>
        </w:tc>
      </w:tr>
      <w:tr w:rsidR="00E579B9" w14:paraId="2547EFF8"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477DC71C"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3F4C548A" w14:textId="77777777" w:rsidR="00E579B9" w:rsidRDefault="006A1398">
            <w:pPr>
              <w:pStyle w:val="aa"/>
              <w:spacing w:line="240" w:lineRule="atLeast"/>
            </w:pPr>
            <w:r>
              <w:rPr>
                <w:rFonts w:hint="eastAsia"/>
              </w:rPr>
              <w:t>办公区、生活区设施应齐全，布置有序，干净卫生，符合相关要求</w:t>
            </w:r>
          </w:p>
        </w:tc>
        <w:tc>
          <w:tcPr>
            <w:tcW w:w="1984" w:type="dxa"/>
            <w:tcBorders>
              <w:top w:val="single" w:sz="4" w:space="0" w:color="auto"/>
              <w:left w:val="nil"/>
              <w:bottom w:val="single" w:sz="4" w:space="0" w:color="auto"/>
              <w:right w:val="single" w:sz="4" w:space="0" w:color="auto"/>
            </w:tcBorders>
            <w:vAlign w:val="center"/>
          </w:tcPr>
          <w:p w14:paraId="6E540407" w14:textId="77777777" w:rsidR="00E579B9" w:rsidRDefault="006A1398">
            <w:pPr>
              <w:pStyle w:val="aa"/>
              <w:spacing w:line="240" w:lineRule="atLeast"/>
            </w:pPr>
            <w:r>
              <w:rPr>
                <w:rFonts w:hint="eastAsia"/>
              </w:rPr>
              <w:t>运营期加强管理，布置有序</w:t>
            </w:r>
          </w:p>
        </w:tc>
        <w:tc>
          <w:tcPr>
            <w:tcW w:w="645" w:type="dxa"/>
            <w:tcBorders>
              <w:top w:val="single" w:sz="4" w:space="0" w:color="auto"/>
              <w:left w:val="nil"/>
              <w:bottom w:val="single" w:sz="4" w:space="0" w:color="auto"/>
              <w:right w:val="single" w:sz="4" w:space="0" w:color="auto"/>
            </w:tcBorders>
            <w:vAlign w:val="center"/>
          </w:tcPr>
          <w:p w14:paraId="282B6ED7" w14:textId="77777777" w:rsidR="00E579B9" w:rsidRDefault="006A1398">
            <w:pPr>
              <w:pStyle w:val="aa"/>
              <w:spacing w:line="240" w:lineRule="atLeast"/>
            </w:pPr>
            <w:r>
              <w:rPr>
                <w:rFonts w:hint="eastAsia"/>
              </w:rPr>
              <w:t>符合</w:t>
            </w:r>
          </w:p>
        </w:tc>
      </w:tr>
      <w:tr w:rsidR="00E579B9" w14:paraId="1F8965FC"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53CDC9F8"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18CA16DF" w14:textId="77777777" w:rsidR="00E579B9" w:rsidRDefault="006A1398">
            <w:pPr>
              <w:pStyle w:val="aa"/>
              <w:spacing w:line="240" w:lineRule="atLeast"/>
            </w:pPr>
            <w:r>
              <w:rPr>
                <w:rFonts w:hint="eastAsia"/>
              </w:rPr>
              <w:t>矿山标牌、安全、环保等警示标志应齐全、规范，标牌设置应符合</w:t>
            </w:r>
            <w:r>
              <w:rPr>
                <w:rFonts w:hint="eastAsia"/>
              </w:rPr>
              <w:t>GB/T13306</w:t>
            </w:r>
            <w:r>
              <w:rPr>
                <w:rFonts w:hint="eastAsia"/>
              </w:rPr>
              <w:t>的规定，安全警示标志设置应符合</w:t>
            </w:r>
            <w:r>
              <w:rPr>
                <w:rFonts w:hint="eastAsia"/>
              </w:rPr>
              <w:t>GB14161</w:t>
            </w:r>
            <w:r>
              <w:rPr>
                <w:rFonts w:hint="eastAsia"/>
              </w:rPr>
              <w:t>的规定</w:t>
            </w:r>
          </w:p>
        </w:tc>
        <w:tc>
          <w:tcPr>
            <w:tcW w:w="1984" w:type="dxa"/>
            <w:tcBorders>
              <w:top w:val="single" w:sz="4" w:space="0" w:color="auto"/>
              <w:left w:val="nil"/>
              <w:bottom w:val="single" w:sz="4" w:space="0" w:color="auto"/>
              <w:right w:val="single" w:sz="4" w:space="0" w:color="auto"/>
            </w:tcBorders>
            <w:vAlign w:val="center"/>
          </w:tcPr>
          <w:p w14:paraId="1BDC3272" w14:textId="77777777" w:rsidR="00E579B9" w:rsidRDefault="006A1398">
            <w:pPr>
              <w:pStyle w:val="aa"/>
              <w:spacing w:line="240" w:lineRule="atLeast"/>
            </w:pPr>
            <w:r>
              <w:rPr>
                <w:rFonts w:hint="eastAsia"/>
              </w:rPr>
              <w:t>运营期按要求落实</w:t>
            </w:r>
          </w:p>
        </w:tc>
        <w:tc>
          <w:tcPr>
            <w:tcW w:w="645" w:type="dxa"/>
            <w:tcBorders>
              <w:top w:val="single" w:sz="4" w:space="0" w:color="auto"/>
              <w:left w:val="nil"/>
              <w:bottom w:val="single" w:sz="4" w:space="0" w:color="auto"/>
              <w:right w:val="single" w:sz="4" w:space="0" w:color="auto"/>
            </w:tcBorders>
            <w:vAlign w:val="center"/>
          </w:tcPr>
          <w:p w14:paraId="6987F330" w14:textId="77777777" w:rsidR="00E579B9" w:rsidRDefault="006A1398">
            <w:pPr>
              <w:pStyle w:val="aa"/>
              <w:spacing w:line="240" w:lineRule="atLeast"/>
            </w:pPr>
            <w:r>
              <w:rPr>
                <w:rFonts w:hint="eastAsia"/>
              </w:rPr>
              <w:t>符合</w:t>
            </w:r>
          </w:p>
        </w:tc>
      </w:tr>
      <w:tr w:rsidR="00E579B9" w14:paraId="3F92B6E3" w14:textId="77777777">
        <w:trPr>
          <w:jc w:val="center"/>
        </w:trPr>
        <w:tc>
          <w:tcPr>
            <w:tcW w:w="681" w:type="dxa"/>
            <w:vMerge w:val="restart"/>
            <w:tcBorders>
              <w:top w:val="nil"/>
              <w:left w:val="single" w:sz="4" w:space="0" w:color="auto"/>
              <w:bottom w:val="single" w:sz="4" w:space="0" w:color="auto"/>
              <w:right w:val="single" w:sz="4" w:space="0" w:color="auto"/>
            </w:tcBorders>
            <w:vAlign w:val="center"/>
          </w:tcPr>
          <w:p w14:paraId="751A3D73"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0AB45ADE" w14:textId="77777777" w:rsidR="00E579B9" w:rsidRDefault="006A1398">
            <w:pPr>
              <w:pStyle w:val="aa"/>
              <w:spacing w:line="240" w:lineRule="atLeast"/>
              <w:jc w:val="left"/>
            </w:pPr>
            <w:r>
              <w:rPr>
                <w:rFonts w:hint="eastAsia"/>
              </w:rPr>
              <w:t>矿山固体废弃物堆存于处置应符合以下规定：</w:t>
            </w:r>
          </w:p>
          <w:p w14:paraId="440EB451" w14:textId="77777777" w:rsidR="00E579B9" w:rsidRDefault="006A1398">
            <w:pPr>
              <w:pStyle w:val="aa"/>
              <w:spacing w:line="240" w:lineRule="atLeast"/>
              <w:jc w:val="left"/>
            </w:pPr>
            <w:r>
              <w:rPr>
                <w:rFonts w:hint="eastAsia"/>
              </w:rPr>
              <w:lastRenderedPageBreak/>
              <w:t>1</w:t>
            </w:r>
            <w:r>
              <w:rPr>
                <w:rFonts w:hint="eastAsia"/>
              </w:rPr>
              <w:t>、固体废弃物应有专用堆存场所，其建设、运营和管理应符合</w:t>
            </w:r>
            <w:r>
              <w:rPr>
                <w:rFonts w:hint="eastAsia"/>
              </w:rPr>
              <w:t>GB18599</w:t>
            </w:r>
            <w:r>
              <w:rPr>
                <w:rFonts w:hint="eastAsia"/>
              </w:rPr>
              <w:t>的规定；</w:t>
            </w:r>
          </w:p>
          <w:p w14:paraId="03284DB6" w14:textId="77777777" w:rsidR="00E579B9" w:rsidRDefault="006A1398">
            <w:pPr>
              <w:pStyle w:val="aa"/>
              <w:spacing w:line="240" w:lineRule="atLeast"/>
              <w:jc w:val="left"/>
            </w:pPr>
            <w:r>
              <w:rPr>
                <w:rFonts w:hint="eastAsia"/>
              </w:rPr>
              <w:t>2</w:t>
            </w:r>
            <w:r>
              <w:rPr>
                <w:rFonts w:hint="eastAsia"/>
              </w:rPr>
              <w:t>、废石、废渣、尾矿、表土等固体废弃物应分类处置，处置率应达到</w:t>
            </w:r>
            <w:r>
              <w:rPr>
                <w:rFonts w:hint="eastAsia"/>
              </w:rPr>
              <w:t>100%</w:t>
            </w:r>
          </w:p>
          <w:p w14:paraId="3C3A0121" w14:textId="77777777" w:rsidR="00E579B9" w:rsidRDefault="006A1398">
            <w:pPr>
              <w:pStyle w:val="aa"/>
              <w:spacing w:line="240" w:lineRule="atLeast"/>
              <w:jc w:val="left"/>
            </w:pPr>
            <w:r>
              <w:rPr>
                <w:rFonts w:hint="eastAsia"/>
              </w:rPr>
              <w:t>3</w:t>
            </w:r>
            <w:r>
              <w:rPr>
                <w:rFonts w:hint="eastAsia"/>
              </w:rPr>
              <w:t>、矿山办公、生活垃圾排放与处置应符合环保、安全规定</w:t>
            </w:r>
          </w:p>
          <w:p w14:paraId="184A29CE" w14:textId="77777777" w:rsidR="00E579B9" w:rsidRDefault="006A1398">
            <w:pPr>
              <w:pStyle w:val="aa"/>
              <w:spacing w:line="240" w:lineRule="atLeast"/>
              <w:jc w:val="left"/>
            </w:pPr>
            <w:r>
              <w:rPr>
                <w:rFonts w:hint="eastAsia"/>
              </w:rPr>
              <w:t>4</w:t>
            </w:r>
            <w:r>
              <w:rPr>
                <w:rFonts w:hint="eastAsia"/>
              </w:rPr>
              <w:t>、生产过程中产生的有毒有害物质应采取有效的防治措施，排放指标控制及堆存处置应符合环保和职业健康要求。</w:t>
            </w:r>
          </w:p>
        </w:tc>
        <w:tc>
          <w:tcPr>
            <w:tcW w:w="1984" w:type="dxa"/>
            <w:tcBorders>
              <w:top w:val="single" w:sz="4" w:space="0" w:color="auto"/>
              <w:left w:val="nil"/>
              <w:bottom w:val="single" w:sz="4" w:space="0" w:color="auto"/>
              <w:right w:val="single" w:sz="4" w:space="0" w:color="auto"/>
            </w:tcBorders>
            <w:vAlign w:val="center"/>
          </w:tcPr>
          <w:p w14:paraId="70329402" w14:textId="77777777" w:rsidR="00E579B9" w:rsidRDefault="006A1398">
            <w:pPr>
              <w:pStyle w:val="aa"/>
              <w:spacing w:line="240" w:lineRule="atLeast"/>
            </w:pPr>
            <w:r>
              <w:rPr>
                <w:rFonts w:hint="eastAsia"/>
              </w:rPr>
              <w:lastRenderedPageBreak/>
              <w:t>剥离表土暂存至表土临时堆场，用于</w:t>
            </w:r>
            <w:r>
              <w:rPr>
                <w:rFonts w:hint="eastAsia"/>
              </w:rPr>
              <w:lastRenderedPageBreak/>
              <w:t>生态恢复覆土；生活垃圾经垃圾箱收集暂存后由环卫部门清运至镇垃圾中转站集中处置</w:t>
            </w:r>
          </w:p>
        </w:tc>
        <w:tc>
          <w:tcPr>
            <w:tcW w:w="645" w:type="dxa"/>
            <w:tcBorders>
              <w:top w:val="single" w:sz="4" w:space="0" w:color="auto"/>
              <w:left w:val="nil"/>
              <w:bottom w:val="single" w:sz="4" w:space="0" w:color="auto"/>
              <w:right w:val="single" w:sz="4" w:space="0" w:color="auto"/>
            </w:tcBorders>
            <w:vAlign w:val="center"/>
          </w:tcPr>
          <w:p w14:paraId="5F64F833" w14:textId="77777777" w:rsidR="00E579B9" w:rsidRDefault="006A1398">
            <w:pPr>
              <w:pStyle w:val="aa"/>
              <w:spacing w:line="240" w:lineRule="atLeast"/>
            </w:pPr>
            <w:r>
              <w:rPr>
                <w:rFonts w:hint="eastAsia"/>
              </w:rPr>
              <w:lastRenderedPageBreak/>
              <w:t>符合</w:t>
            </w:r>
          </w:p>
        </w:tc>
      </w:tr>
      <w:tr w:rsidR="00E579B9" w14:paraId="1C08E930"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7A7EEDB1"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72718739" w14:textId="77777777" w:rsidR="00E579B9" w:rsidRDefault="006A1398">
            <w:pPr>
              <w:pStyle w:val="aa"/>
              <w:spacing w:line="240" w:lineRule="atLeast"/>
            </w:pPr>
            <w:r>
              <w:rPr>
                <w:rFonts w:hint="eastAsia"/>
              </w:rPr>
              <w:t>废水收集系统应健全完善，废水处理后应优先回用，未能回用的应</w:t>
            </w:r>
            <w:r>
              <w:rPr>
                <w:rFonts w:hint="eastAsia"/>
              </w:rPr>
              <w:t>100%</w:t>
            </w:r>
            <w:r>
              <w:rPr>
                <w:rFonts w:hint="eastAsia"/>
              </w:rPr>
              <w:t>达标排放，生活污水、矿井水、选矿厂（加工厂）生产废水等排放应符合</w:t>
            </w:r>
            <w:r>
              <w:rPr>
                <w:rFonts w:hint="eastAsia"/>
              </w:rPr>
              <w:t>GB8978</w:t>
            </w:r>
            <w:r>
              <w:rPr>
                <w:rFonts w:hint="eastAsia"/>
              </w:rPr>
              <w:t>的规定</w:t>
            </w:r>
          </w:p>
        </w:tc>
        <w:tc>
          <w:tcPr>
            <w:tcW w:w="1984" w:type="dxa"/>
            <w:tcBorders>
              <w:top w:val="single" w:sz="4" w:space="0" w:color="auto"/>
              <w:left w:val="nil"/>
              <w:bottom w:val="single" w:sz="4" w:space="0" w:color="auto"/>
              <w:right w:val="single" w:sz="4" w:space="0" w:color="auto"/>
            </w:tcBorders>
            <w:vAlign w:val="center"/>
          </w:tcPr>
          <w:p w14:paraId="085D9384" w14:textId="77777777" w:rsidR="00E579B9" w:rsidRDefault="006A1398">
            <w:pPr>
              <w:pStyle w:val="aa"/>
              <w:spacing w:line="240" w:lineRule="atLeast"/>
            </w:pPr>
            <w:r>
              <w:rPr>
                <w:rFonts w:hint="eastAsia"/>
              </w:rPr>
              <w:t>露采区初期雨水、车辆清洗废水、生活污水综合利用不外排</w:t>
            </w:r>
          </w:p>
        </w:tc>
        <w:tc>
          <w:tcPr>
            <w:tcW w:w="645" w:type="dxa"/>
            <w:tcBorders>
              <w:top w:val="single" w:sz="4" w:space="0" w:color="auto"/>
              <w:left w:val="nil"/>
              <w:bottom w:val="single" w:sz="4" w:space="0" w:color="auto"/>
              <w:right w:val="single" w:sz="4" w:space="0" w:color="auto"/>
            </w:tcBorders>
            <w:vAlign w:val="center"/>
          </w:tcPr>
          <w:p w14:paraId="08F0E189" w14:textId="77777777" w:rsidR="00E579B9" w:rsidRDefault="006A1398">
            <w:pPr>
              <w:pStyle w:val="aa"/>
              <w:spacing w:line="240" w:lineRule="atLeast"/>
            </w:pPr>
            <w:r>
              <w:rPr>
                <w:rFonts w:hint="eastAsia"/>
              </w:rPr>
              <w:t>符合</w:t>
            </w:r>
          </w:p>
        </w:tc>
      </w:tr>
      <w:tr w:rsidR="00E579B9" w14:paraId="497F8322"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1CE6948E"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54DDD550" w14:textId="77777777" w:rsidR="00E579B9" w:rsidRDefault="006A1398">
            <w:pPr>
              <w:pStyle w:val="aa"/>
              <w:spacing w:line="240" w:lineRule="atLeast"/>
            </w:pPr>
            <w:r>
              <w:rPr>
                <w:rFonts w:hint="eastAsia"/>
              </w:rPr>
              <w:t>应采用合理有效的技术措施对高噪声设备进行降噪，工作场所噪声接触限值应符合</w:t>
            </w:r>
            <w:r>
              <w:rPr>
                <w:rFonts w:hint="eastAsia"/>
              </w:rPr>
              <w:t>GBZ2.2</w:t>
            </w:r>
            <w:r>
              <w:rPr>
                <w:rFonts w:hint="eastAsia"/>
              </w:rPr>
              <w:t>的规定，工业企业厂界噪声排放限值应符合</w:t>
            </w:r>
            <w:r>
              <w:rPr>
                <w:rFonts w:hint="eastAsia"/>
              </w:rPr>
              <w:t>GB12348</w:t>
            </w:r>
            <w:r>
              <w:rPr>
                <w:rFonts w:hint="eastAsia"/>
              </w:rPr>
              <w:t>的规定，建筑施工场界噪声排放限值应符合</w:t>
            </w:r>
            <w:r>
              <w:rPr>
                <w:rFonts w:hint="eastAsia"/>
              </w:rPr>
              <w:t>GB12523</w:t>
            </w:r>
            <w:r>
              <w:rPr>
                <w:rFonts w:hint="eastAsia"/>
              </w:rPr>
              <w:t>的规定</w:t>
            </w:r>
          </w:p>
        </w:tc>
        <w:tc>
          <w:tcPr>
            <w:tcW w:w="1984" w:type="dxa"/>
            <w:tcBorders>
              <w:top w:val="single" w:sz="4" w:space="0" w:color="auto"/>
              <w:left w:val="nil"/>
              <w:bottom w:val="single" w:sz="4" w:space="0" w:color="auto"/>
              <w:right w:val="single" w:sz="4" w:space="0" w:color="auto"/>
            </w:tcBorders>
            <w:vAlign w:val="center"/>
          </w:tcPr>
          <w:p w14:paraId="5D4D5413" w14:textId="77777777" w:rsidR="00E579B9" w:rsidRDefault="006A1398">
            <w:pPr>
              <w:pStyle w:val="aa"/>
              <w:spacing w:line="240" w:lineRule="atLeast"/>
            </w:pPr>
            <w:r>
              <w:rPr>
                <w:rFonts w:hint="eastAsia"/>
              </w:rPr>
              <w:t>根据设备采取降噪措施</w:t>
            </w:r>
          </w:p>
        </w:tc>
        <w:tc>
          <w:tcPr>
            <w:tcW w:w="645" w:type="dxa"/>
            <w:tcBorders>
              <w:top w:val="single" w:sz="4" w:space="0" w:color="auto"/>
              <w:left w:val="nil"/>
              <w:bottom w:val="single" w:sz="4" w:space="0" w:color="auto"/>
              <w:right w:val="single" w:sz="4" w:space="0" w:color="auto"/>
            </w:tcBorders>
            <w:vAlign w:val="center"/>
          </w:tcPr>
          <w:p w14:paraId="7A9F39F6" w14:textId="77777777" w:rsidR="00E579B9" w:rsidRDefault="006A1398">
            <w:pPr>
              <w:pStyle w:val="aa"/>
              <w:spacing w:line="240" w:lineRule="atLeast"/>
            </w:pPr>
            <w:r>
              <w:rPr>
                <w:rFonts w:hint="eastAsia"/>
              </w:rPr>
              <w:t>符合</w:t>
            </w:r>
          </w:p>
        </w:tc>
      </w:tr>
      <w:tr w:rsidR="00E579B9" w14:paraId="0C484EB6"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3BD6976D"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327C15E7" w14:textId="77777777" w:rsidR="00E579B9" w:rsidRDefault="006A1398">
            <w:pPr>
              <w:pStyle w:val="aa"/>
              <w:spacing w:line="240" w:lineRule="atLeast"/>
            </w:pPr>
            <w:r>
              <w:rPr>
                <w:rFonts w:hint="eastAsia"/>
              </w:rPr>
              <w:t>矿山粉尘和废气控制应符合以下要求：</w:t>
            </w:r>
          </w:p>
          <w:p w14:paraId="5D610892" w14:textId="77777777" w:rsidR="00E579B9" w:rsidRDefault="006A1398">
            <w:pPr>
              <w:pStyle w:val="aa"/>
              <w:spacing w:line="240" w:lineRule="atLeast"/>
            </w:pPr>
            <w:r>
              <w:rPr>
                <w:rFonts w:hint="eastAsia"/>
              </w:rPr>
              <w:t>1</w:t>
            </w:r>
            <w:r>
              <w:rPr>
                <w:rFonts w:hint="eastAsia"/>
              </w:rPr>
              <w:t>、应采取有效的粉尘防治措施，工作场所粉尘浓度应符合</w:t>
            </w:r>
            <w:r>
              <w:rPr>
                <w:rFonts w:hint="eastAsia"/>
              </w:rPr>
              <w:t>GBZ2.1</w:t>
            </w:r>
            <w:r>
              <w:rPr>
                <w:rFonts w:hint="eastAsia"/>
              </w:rPr>
              <w:t>规定的粉尘容许浓度要求，矿区周边环境空气质量应符合</w:t>
            </w:r>
            <w:r>
              <w:rPr>
                <w:rFonts w:hint="eastAsia"/>
              </w:rPr>
              <w:t>GB3095</w:t>
            </w:r>
            <w:r>
              <w:rPr>
                <w:rFonts w:hint="eastAsia"/>
              </w:rPr>
              <w:t>的规定。环保有特别要求的区域、时段，粉尘排放应达到其要求的标准。</w:t>
            </w:r>
          </w:p>
          <w:p w14:paraId="6E92B815" w14:textId="77777777" w:rsidR="00E579B9" w:rsidRDefault="006A1398">
            <w:pPr>
              <w:pStyle w:val="aa"/>
              <w:spacing w:line="240" w:lineRule="atLeast"/>
            </w:pPr>
            <w:r>
              <w:rPr>
                <w:rFonts w:hint="eastAsia"/>
              </w:rPr>
              <w:t>2</w:t>
            </w:r>
            <w:r>
              <w:rPr>
                <w:rFonts w:hint="eastAsia"/>
              </w:rPr>
              <w:t>、生产、运输过程中应采取有效的有毒有害气体防治措施，其排放指标控制应符合</w:t>
            </w:r>
            <w:r>
              <w:rPr>
                <w:rFonts w:hint="eastAsia"/>
              </w:rPr>
              <w:t>GB16297</w:t>
            </w:r>
            <w:r>
              <w:rPr>
                <w:rFonts w:hint="eastAsia"/>
              </w:rPr>
              <w:t>的规定。</w:t>
            </w:r>
          </w:p>
          <w:p w14:paraId="0DACDED0" w14:textId="77777777" w:rsidR="00E579B9" w:rsidRDefault="006A1398">
            <w:pPr>
              <w:pStyle w:val="aa"/>
              <w:spacing w:line="240" w:lineRule="atLeast"/>
            </w:pPr>
            <w:r>
              <w:rPr>
                <w:rFonts w:hint="eastAsia"/>
              </w:rPr>
              <w:t>3</w:t>
            </w:r>
            <w:r>
              <w:rPr>
                <w:rFonts w:hint="eastAsia"/>
              </w:rPr>
              <w:t>、破碎车间、输送廊道应采取封闭措施，破碎机输送设备应配备收尘设施；矿山运输道路应定期洒水，大中型矿山应配置雾化喷淋装置，车辆驶离矿区前应冲洗除泥，途中物料不洒落</w:t>
            </w:r>
          </w:p>
        </w:tc>
        <w:tc>
          <w:tcPr>
            <w:tcW w:w="1984" w:type="dxa"/>
            <w:tcBorders>
              <w:top w:val="single" w:sz="4" w:space="0" w:color="auto"/>
              <w:left w:val="nil"/>
              <w:bottom w:val="single" w:sz="4" w:space="0" w:color="auto"/>
              <w:right w:val="single" w:sz="4" w:space="0" w:color="auto"/>
            </w:tcBorders>
            <w:vAlign w:val="center"/>
          </w:tcPr>
          <w:p w14:paraId="3BEC9BAB" w14:textId="77777777" w:rsidR="00E579B9" w:rsidRDefault="006A1398">
            <w:pPr>
              <w:pStyle w:val="aa"/>
              <w:spacing w:line="240" w:lineRule="atLeast"/>
            </w:pPr>
            <w:r>
              <w:rPr>
                <w:rFonts w:hint="eastAsia"/>
              </w:rPr>
              <w:t>矿山运营期废气主要为露采粉尘、表土临时堆场扬尘和道路运输扬尘，评价提出了相应的防治措施</w:t>
            </w:r>
          </w:p>
        </w:tc>
        <w:tc>
          <w:tcPr>
            <w:tcW w:w="645" w:type="dxa"/>
            <w:tcBorders>
              <w:top w:val="single" w:sz="4" w:space="0" w:color="auto"/>
              <w:left w:val="nil"/>
              <w:bottom w:val="single" w:sz="4" w:space="0" w:color="auto"/>
              <w:right w:val="single" w:sz="4" w:space="0" w:color="auto"/>
            </w:tcBorders>
            <w:vAlign w:val="center"/>
          </w:tcPr>
          <w:p w14:paraId="7F1CBB3F" w14:textId="77777777" w:rsidR="00E579B9" w:rsidRDefault="006A1398">
            <w:pPr>
              <w:pStyle w:val="aa"/>
              <w:spacing w:line="240" w:lineRule="atLeast"/>
            </w:pPr>
            <w:r>
              <w:rPr>
                <w:rFonts w:hint="eastAsia"/>
              </w:rPr>
              <w:t>符合</w:t>
            </w:r>
          </w:p>
        </w:tc>
      </w:tr>
      <w:tr w:rsidR="00E579B9" w14:paraId="7384035F"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4D00421B"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1DF4E32C" w14:textId="77777777" w:rsidR="00E579B9" w:rsidRDefault="006A1398">
            <w:pPr>
              <w:pStyle w:val="aa"/>
              <w:spacing w:line="240" w:lineRule="atLeast"/>
            </w:pPr>
            <w:r>
              <w:rPr>
                <w:rFonts w:hint="eastAsia"/>
              </w:rPr>
              <w:t>应建立环境监测系统，对生产废水、噪声、粉尘等污染源和污染物实行动态监测，并制定突发环境事件处置应急预案</w:t>
            </w:r>
          </w:p>
        </w:tc>
        <w:tc>
          <w:tcPr>
            <w:tcW w:w="1984" w:type="dxa"/>
            <w:tcBorders>
              <w:top w:val="single" w:sz="4" w:space="0" w:color="auto"/>
              <w:left w:val="nil"/>
              <w:bottom w:val="single" w:sz="4" w:space="0" w:color="auto"/>
              <w:right w:val="single" w:sz="4" w:space="0" w:color="auto"/>
            </w:tcBorders>
            <w:vAlign w:val="center"/>
          </w:tcPr>
          <w:p w14:paraId="56BBCEE6" w14:textId="77777777" w:rsidR="00E579B9" w:rsidRDefault="006A1398">
            <w:pPr>
              <w:pStyle w:val="aa"/>
              <w:spacing w:line="240" w:lineRule="atLeast"/>
            </w:pPr>
            <w:r>
              <w:rPr>
                <w:rFonts w:hint="eastAsia"/>
              </w:rPr>
              <w:t>本次评价提出环境管理和环境监测计划，运营期进行落实</w:t>
            </w:r>
          </w:p>
        </w:tc>
        <w:tc>
          <w:tcPr>
            <w:tcW w:w="645" w:type="dxa"/>
            <w:tcBorders>
              <w:top w:val="single" w:sz="4" w:space="0" w:color="auto"/>
              <w:left w:val="nil"/>
              <w:bottom w:val="single" w:sz="4" w:space="0" w:color="auto"/>
              <w:right w:val="single" w:sz="4" w:space="0" w:color="auto"/>
            </w:tcBorders>
            <w:vAlign w:val="center"/>
          </w:tcPr>
          <w:p w14:paraId="7DFD2511" w14:textId="77777777" w:rsidR="00E579B9" w:rsidRDefault="006A1398">
            <w:pPr>
              <w:pStyle w:val="aa"/>
              <w:spacing w:line="240" w:lineRule="atLeast"/>
            </w:pPr>
            <w:r>
              <w:rPr>
                <w:rFonts w:hint="eastAsia"/>
              </w:rPr>
              <w:t>符合</w:t>
            </w:r>
          </w:p>
        </w:tc>
      </w:tr>
      <w:tr w:rsidR="00E579B9" w14:paraId="667DBD5A" w14:textId="77777777">
        <w:trPr>
          <w:jc w:val="center"/>
        </w:trPr>
        <w:tc>
          <w:tcPr>
            <w:tcW w:w="681" w:type="dxa"/>
            <w:vMerge w:val="restart"/>
            <w:tcBorders>
              <w:top w:val="nil"/>
              <w:left w:val="single" w:sz="4" w:space="0" w:color="auto"/>
              <w:bottom w:val="single" w:sz="4" w:space="0" w:color="auto"/>
              <w:right w:val="single" w:sz="4" w:space="0" w:color="auto"/>
            </w:tcBorders>
            <w:vAlign w:val="center"/>
          </w:tcPr>
          <w:p w14:paraId="2A8239A4" w14:textId="77777777" w:rsidR="00E579B9" w:rsidRDefault="006A1398">
            <w:pPr>
              <w:pStyle w:val="aa"/>
              <w:spacing w:line="240" w:lineRule="atLeast"/>
            </w:pPr>
            <w:r>
              <w:rPr>
                <w:rFonts w:hint="eastAsia"/>
              </w:rPr>
              <w:t>矿区绿化</w:t>
            </w:r>
          </w:p>
        </w:tc>
        <w:tc>
          <w:tcPr>
            <w:tcW w:w="5320" w:type="dxa"/>
            <w:tcBorders>
              <w:top w:val="single" w:sz="4" w:space="0" w:color="auto"/>
              <w:left w:val="nil"/>
              <w:bottom w:val="single" w:sz="4" w:space="0" w:color="auto"/>
              <w:right w:val="single" w:sz="4" w:space="0" w:color="auto"/>
            </w:tcBorders>
            <w:vAlign w:val="center"/>
          </w:tcPr>
          <w:p w14:paraId="60EA123B" w14:textId="77777777" w:rsidR="00E579B9" w:rsidRDefault="006A1398">
            <w:pPr>
              <w:pStyle w:val="aa"/>
              <w:spacing w:line="240" w:lineRule="atLeast"/>
            </w:pPr>
            <w:r>
              <w:rPr>
                <w:rFonts w:hint="eastAsia"/>
              </w:rPr>
              <w:t>矿山应因地制宜绿化、美化矿区环境，绿化覆盖率应达到</w:t>
            </w:r>
            <w:r>
              <w:rPr>
                <w:rFonts w:hint="eastAsia"/>
              </w:rPr>
              <w:t>100%</w:t>
            </w:r>
          </w:p>
        </w:tc>
        <w:tc>
          <w:tcPr>
            <w:tcW w:w="1984" w:type="dxa"/>
            <w:vMerge w:val="restart"/>
            <w:tcBorders>
              <w:top w:val="nil"/>
              <w:left w:val="nil"/>
              <w:bottom w:val="single" w:sz="4" w:space="0" w:color="auto"/>
              <w:right w:val="single" w:sz="4" w:space="0" w:color="auto"/>
            </w:tcBorders>
            <w:vAlign w:val="center"/>
          </w:tcPr>
          <w:p w14:paraId="0ECA507B" w14:textId="77777777" w:rsidR="00E579B9" w:rsidRDefault="006A1398">
            <w:pPr>
              <w:pStyle w:val="aa"/>
              <w:spacing w:line="240" w:lineRule="atLeast"/>
            </w:pPr>
            <w:r>
              <w:rPr>
                <w:rFonts w:hint="eastAsia"/>
              </w:rPr>
              <w:t>运营期对可绿化区域全部进行绿化</w:t>
            </w:r>
          </w:p>
        </w:tc>
        <w:tc>
          <w:tcPr>
            <w:tcW w:w="645" w:type="dxa"/>
            <w:vMerge w:val="restart"/>
            <w:tcBorders>
              <w:top w:val="nil"/>
              <w:left w:val="nil"/>
              <w:bottom w:val="single" w:sz="4" w:space="0" w:color="auto"/>
              <w:right w:val="single" w:sz="4" w:space="0" w:color="auto"/>
            </w:tcBorders>
            <w:vAlign w:val="center"/>
          </w:tcPr>
          <w:p w14:paraId="027E3982" w14:textId="77777777" w:rsidR="00E579B9" w:rsidRDefault="006A1398">
            <w:pPr>
              <w:pStyle w:val="aa"/>
              <w:spacing w:line="240" w:lineRule="atLeast"/>
            </w:pPr>
            <w:r>
              <w:rPr>
                <w:rFonts w:hint="eastAsia"/>
              </w:rPr>
              <w:t>符合</w:t>
            </w:r>
          </w:p>
          <w:p w14:paraId="3F70D3E5" w14:textId="77777777" w:rsidR="00E579B9" w:rsidRDefault="00E579B9">
            <w:pPr>
              <w:pStyle w:val="aa"/>
              <w:spacing w:line="240" w:lineRule="atLeast"/>
            </w:pPr>
          </w:p>
        </w:tc>
      </w:tr>
      <w:tr w:rsidR="00E579B9" w14:paraId="55E0A6A0"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00D60947"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2E2EABA1" w14:textId="77777777" w:rsidR="00E579B9" w:rsidRDefault="006A1398">
            <w:pPr>
              <w:pStyle w:val="aa"/>
              <w:spacing w:line="240" w:lineRule="atLeast"/>
            </w:pPr>
            <w:r>
              <w:rPr>
                <w:rFonts w:hint="eastAsia"/>
              </w:rPr>
              <w:t>绿化树种及植物应搭配合理，长势良好</w:t>
            </w:r>
          </w:p>
        </w:tc>
        <w:tc>
          <w:tcPr>
            <w:tcW w:w="1984" w:type="dxa"/>
            <w:vMerge/>
            <w:tcBorders>
              <w:top w:val="nil"/>
              <w:left w:val="nil"/>
              <w:bottom w:val="single" w:sz="4" w:space="0" w:color="auto"/>
              <w:right w:val="single" w:sz="4" w:space="0" w:color="auto"/>
            </w:tcBorders>
            <w:vAlign w:val="center"/>
          </w:tcPr>
          <w:p w14:paraId="4F7B1A3A" w14:textId="77777777" w:rsidR="00E579B9" w:rsidRDefault="00E579B9">
            <w:pPr>
              <w:pStyle w:val="aa"/>
              <w:spacing w:line="240" w:lineRule="atLeast"/>
            </w:pPr>
          </w:p>
        </w:tc>
        <w:tc>
          <w:tcPr>
            <w:tcW w:w="645" w:type="dxa"/>
            <w:vMerge/>
            <w:tcBorders>
              <w:top w:val="nil"/>
              <w:left w:val="nil"/>
              <w:bottom w:val="single" w:sz="4" w:space="0" w:color="auto"/>
              <w:right w:val="single" w:sz="4" w:space="0" w:color="auto"/>
            </w:tcBorders>
            <w:vAlign w:val="center"/>
          </w:tcPr>
          <w:p w14:paraId="40AA0723" w14:textId="77777777" w:rsidR="00E579B9" w:rsidRDefault="00E579B9">
            <w:pPr>
              <w:pStyle w:val="aa"/>
              <w:spacing w:line="240" w:lineRule="atLeast"/>
            </w:pPr>
          </w:p>
        </w:tc>
      </w:tr>
      <w:tr w:rsidR="00E579B9" w14:paraId="27545EA2" w14:textId="77777777">
        <w:trPr>
          <w:jc w:val="center"/>
        </w:trPr>
        <w:tc>
          <w:tcPr>
            <w:tcW w:w="681" w:type="dxa"/>
            <w:vMerge w:val="restart"/>
            <w:tcBorders>
              <w:top w:val="nil"/>
              <w:left w:val="single" w:sz="4" w:space="0" w:color="auto"/>
              <w:bottom w:val="single" w:sz="4" w:space="0" w:color="auto"/>
              <w:right w:val="single" w:sz="4" w:space="0" w:color="auto"/>
            </w:tcBorders>
            <w:vAlign w:val="center"/>
          </w:tcPr>
          <w:p w14:paraId="26652AF5" w14:textId="77777777" w:rsidR="00E579B9" w:rsidRDefault="006A1398">
            <w:pPr>
              <w:pStyle w:val="aa"/>
              <w:spacing w:line="240" w:lineRule="atLeast"/>
            </w:pPr>
            <w:r>
              <w:rPr>
                <w:rFonts w:hint="eastAsia"/>
              </w:rPr>
              <w:t>开采方式与方法</w:t>
            </w:r>
          </w:p>
        </w:tc>
        <w:tc>
          <w:tcPr>
            <w:tcW w:w="5320" w:type="dxa"/>
            <w:tcBorders>
              <w:top w:val="single" w:sz="4" w:space="0" w:color="auto"/>
              <w:left w:val="nil"/>
              <w:bottom w:val="single" w:sz="4" w:space="0" w:color="auto"/>
              <w:right w:val="single" w:sz="4" w:space="0" w:color="auto"/>
            </w:tcBorders>
            <w:vAlign w:val="center"/>
          </w:tcPr>
          <w:p w14:paraId="122DC2E3" w14:textId="77777777" w:rsidR="00E579B9" w:rsidRDefault="006A1398">
            <w:pPr>
              <w:pStyle w:val="aa"/>
              <w:spacing w:line="240" w:lineRule="atLeast"/>
            </w:pPr>
            <w:r>
              <w:rPr>
                <w:rFonts w:hint="eastAsia"/>
              </w:rPr>
              <w:t>新建、改扩建矿山设计应符合相关设计规范的规定。水泥原料新建、改扩建矿山应符合</w:t>
            </w:r>
            <w:r>
              <w:rPr>
                <w:rFonts w:hint="eastAsia"/>
              </w:rPr>
              <w:t>GB50598</w:t>
            </w:r>
            <w:r>
              <w:rPr>
                <w:rFonts w:hint="eastAsia"/>
              </w:rPr>
              <w:t>的规定</w:t>
            </w:r>
          </w:p>
        </w:tc>
        <w:tc>
          <w:tcPr>
            <w:tcW w:w="1984" w:type="dxa"/>
            <w:vMerge w:val="restart"/>
            <w:tcBorders>
              <w:top w:val="nil"/>
              <w:left w:val="nil"/>
              <w:bottom w:val="single" w:sz="4" w:space="0" w:color="auto"/>
              <w:right w:val="single" w:sz="4" w:space="0" w:color="auto"/>
            </w:tcBorders>
            <w:vAlign w:val="center"/>
          </w:tcPr>
          <w:p w14:paraId="009A35B1" w14:textId="77777777" w:rsidR="00E579B9" w:rsidRDefault="006A1398">
            <w:pPr>
              <w:pStyle w:val="aa"/>
              <w:spacing w:line="240" w:lineRule="atLeast"/>
            </w:pPr>
            <w:r>
              <w:rPr>
                <w:rFonts w:hint="eastAsia"/>
              </w:rPr>
              <w:t>项目已编制开发利用方案，并取得审查意见</w:t>
            </w:r>
          </w:p>
        </w:tc>
        <w:tc>
          <w:tcPr>
            <w:tcW w:w="645" w:type="dxa"/>
            <w:tcBorders>
              <w:top w:val="single" w:sz="4" w:space="0" w:color="auto"/>
              <w:left w:val="nil"/>
              <w:bottom w:val="single" w:sz="4" w:space="0" w:color="auto"/>
              <w:right w:val="single" w:sz="4" w:space="0" w:color="auto"/>
            </w:tcBorders>
            <w:vAlign w:val="center"/>
          </w:tcPr>
          <w:p w14:paraId="370A75C2" w14:textId="77777777" w:rsidR="00E579B9" w:rsidRDefault="006A1398">
            <w:pPr>
              <w:pStyle w:val="aa"/>
              <w:spacing w:line="240" w:lineRule="atLeast"/>
            </w:pPr>
            <w:r>
              <w:rPr>
                <w:rFonts w:hint="eastAsia"/>
              </w:rPr>
              <w:t>符合</w:t>
            </w:r>
          </w:p>
        </w:tc>
      </w:tr>
      <w:tr w:rsidR="00E579B9" w14:paraId="2CB022CA"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6ABF32E8"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4410E81D" w14:textId="77777777" w:rsidR="00E579B9" w:rsidRDefault="006A1398">
            <w:pPr>
              <w:pStyle w:val="aa"/>
              <w:spacing w:line="240" w:lineRule="atLeast"/>
            </w:pPr>
            <w:r>
              <w:rPr>
                <w:rFonts w:hint="eastAsia"/>
              </w:rPr>
              <w:t>矿山建设和开采应按设计和开发利用方案实施，最大限度的减少对自然环境的扰动和破坏，兼顾矿山闭坑时生态环境恢复和土地复垦利用。选择资源节约型、环境友好型开发利用方式。因地制宜选择合理的开采方式、开采顺序。对矿区范围大的露天矿山，宜分期、分区开采，避免采场长时间、大面积裸露。</w:t>
            </w:r>
          </w:p>
        </w:tc>
        <w:tc>
          <w:tcPr>
            <w:tcW w:w="1984" w:type="dxa"/>
            <w:vMerge/>
            <w:tcBorders>
              <w:top w:val="nil"/>
              <w:left w:val="nil"/>
              <w:bottom w:val="single" w:sz="4" w:space="0" w:color="auto"/>
              <w:right w:val="single" w:sz="4" w:space="0" w:color="auto"/>
            </w:tcBorders>
            <w:vAlign w:val="center"/>
          </w:tcPr>
          <w:p w14:paraId="57A587B6" w14:textId="77777777" w:rsidR="00E579B9" w:rsidRDefault="00E579B9">
            <w:pPr>
              <w:pStyle w:val="aa"/>
              <w:spacing w:line="240" w:lineRule="atLeast"/>
            </w:pPr>
          </w:p>
        </w:tc>
        <w:tc>
          <w:tcPr>
            <w:tcW w:w="645" w:type="dxa"/>
            <w:tcBorders>
              <w:top w:val="single" w:sz="4" w:space="0" w:color="auto"/>
              <w:left w:val="nil"/>
              <w:bottom w:val="single" w:sz="4" w:space="0" w:color="auto"/>
              <w:right w:val="single" w:sz="4" w:space="0" w:color="auto"/>
            </w:tcBorders>
            <w:vAlign w:val="center"/>
          </w:tcPr>
          <w:p w14:paraId="04542F88" w14:textId="77777777" w:rsidR="00E579B9" w:rsidRDefault="006A1398">
            <w:pPr>
              <w:pStyle w:val="aa"/>
              <w:spacing w:line="240" w:lineRule="atLeast"/>
            </w:pPr>
            <w:r>
              <w:rPr>
                <w:rFonts w:hint="eastAsia"/>
              </w:rPr>
              <w:t>符合</w:t>
            </w:r>
          </w:p>
        </w:tc>
      </w:tr>
      <w:tr w:rsidR="00E579B9" w14:paraId="4A737D7C"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7C336390"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5A7F96C1" w14:textId="77777777" w:rsidR="00E579B9" w:rsidRDefault="006A1398">
            <w:pPr>
              <w:pStyle w:val="aa"/>
              <w:spacing w:line="240" w:lineRule="atLeast"/>
            </w:pPr>
            <w:r>
              <w:rPr>
                <w:rFonts w:hint="eastAsia"/>
              </w:rPr>
              <w:t>采矿方法应先进合理，开采回采率不低于开发利用方案设计指标和附录</w:t>
            </w:r>
            <w:r>
              <w:rPr>
                <w:rFonts w:hint="eastAsia"/>
              </w:rPr>
              <w:t>A</w:t>
            </w:r>
            <w:r>
              <w:rPr>
                <w:rFonts w:hint="eastAsia"/>
              </w:rPr>
              <w:t>表</w:t>
            </w:r>
            <w:r>
              <w:rPr>
                <w:rFonts w:hint="eastAsia"/>
              </w:rPr>
              <w:t>A.1</w:t>
            </w:r>
            <w:r>
              <w:rPr>
                <w:rFonts w:hint="eastAsia"/>
              </w:rPr>
              <w:t>限定指标</w:t>
            </w:r>
          </w:p>
        </w:tc>
        <w:tc>
          <w:tcPr>
            <w:tcW w:w="1984" w:type="dxa"/>
            <w:tcBorders>
              <w:top w:val="single" w:sz="4" w:space="0" w:color="auto"/>
              <w:left w:val="nil"/>
              <w:bottom w:val="single" w:sz="4" w:space="0" w:color="auto"/>
              <w:right w:val="single" w:sz="4" w:space="0" w:color="auto"/>
            </w:tcBorders>
            <w:vAlign w:val="center"/>
          </w:tcPr>
          <w:p w14:paraId="6BC7454C" w14:textId="77777777" w:rsidR="00E579B9" w:rsidRDefault="006A1398">
            <w:pPr>
              <w:pStyle w:val="aa"/>
              <w:spacing w:line="240" w:lineRule="atLeast"/>
            </w:pPr>
            <w:r>
              <w:rPr>
                <w:rFonts w:hint="eastAsia"/>
              </w:rPr>
              <w:t>“三率”最低指标符合</w:t>
            </w:r>
            <w:r>
              <w:t>要求</w:t>
            </w:r>
          </w:p>
        </w:tc>
        <w:tc>
          <w:tcPr>
            <w:tcW w:w="645" w:type="dxa"/>
            <w:tcBorders>
              <w:top w:val="single" w:sz="4" w:space="0" w:color="auto"/>
              <w:left w:val="nil"/>
              <w:bottom w:val="single" w:sz="4" w:space="0" w:color="auto"/>
              <w:right w:val="single" w:sz="4" w:space="0" w:color="auto"/>
            </w:tcBorders>
            <w:vAlign w:val="center"/>
          </w:tcPr>
          <w:p w14:paraId="56BA76FC" w14:textId="77777777" w:rsidR="00E579B9" w:rsidRDefault="006A1398">
            <w:pPr>
              <w:pStyle w:val="aa"/>
              <w:spacing w:line="240" w:lineRule="atLeast"/>
            </w:pPr>
            <w:r>
              <w:rPr>
                <w:rFonts w:hint="eastAsia"/>
              </w:rPr>
              <w:t>符合</w:t>
            </w:r>
          </w:p>
        </w:tc>
      </w:tr>
      <w:tr w:rsidR="00E579B9" w14:paraId="045B350B"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4BA1D304"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1A29198C" w14:textId="77777777" w:rsidR="00E579B9" w:rsidRDefault="006A1398">
            <w:pPr>
              <w:pStyle w:val="aa"/>
              <w:spacing w:line="240" w:lineRule="atLeast"/>
            </w:pPr>
            <w:r>
              <w:rPr>
                <w:rFonts w:hint="eastAsia"/>
              </w:rPr>
              <w:t>回采工艺应先进，不应使用国家规定的限制类和淘汰类技术、材料、装备。</w:t>
            </w:r>
          </w:p>
        </w:tc>
        <w:tc>
          <w:tcPr>
            <w:tcW w:w="1984" w:type="dxa"/>
            <w:vMerge w:val="restart"/>
            <w:tcBorders>
              <w:top w:val="nil"/>
              <w:left w:val="nil"/>
              <w:bottom w:val="single" w:sz="4" w:space="0" w:color="auto"/>
              <w:right w:val="single" w:sz="4" w:space="0" w:color="auto"/>
            </w:tcBorders>
            <w:vAlign w:val="center"/>
          </w:tcPr>
          <w:p w14:paraId="35C5C236" w14:textId="77777777" w:rsidR="00E579B9" w:rsidRDefault="006A1398">
            <w:pPr>
              <w:pStyle w:val="aa"/>
              <w:spacing w:line="240" w:lineRule="atLeast"/>
            </w:pPr>
            <w:r>
              <w:rPr>
                <w:rFonts w:hint="eastAsia"/>
              </w:rPr>
              <w:t>开采工艺和设备不属于限制和淘汰类</w:t>
            </w:r>
          </w:p>
        </w:tc>
        <w:tc>
          <w:tcPr>
            <w:tcW w:w="645" w:type="dxa"/>
            <w:tcBorders>
              <w:top w:val="single" w:sz="4" w:space="0" w:color="auto"/>
              <w:left w:val="nil"/>
              <w:bottom w:val="single" w:sz="4" w:space="0" w:color="auto"/>
              <w:right w:val="single" w:sz="4" w:space="0" w:color="auto"/>
            </w:tcBorders>
            <w:vAlign w:val="center"/>
          </w:tcPr>
          <w:p w14:paraId="7EB86DDA" w14:textId="77777777" w:rsidR="00E579B9" w:rsidRDefault="006A1398">
            <w:pPr>
              <w:pStyle w:val="aa"/>
              <w:spacing w:line="240" w:lineRule="atLeast"/>
            </w:pPr>
            <w:r>
              <w:rPr>
                <w:rFonts w:hint="eastAsia"/>
              </w:rPr>
              <w:t>符合</w:t>
            </w:r>
          </w:p>
        </w:tc>
      </w:tr>
      <w:tr w:rsidR="00E579B9" w14:paraId="62C74A5A"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3A0E8964"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5AB9831D" w14:textId="77777777" w:rsidR="00E579B9" w:rsidRDefault="006A1398">
            <w:pPr>
              <w:pStyle w:val="aa"/>
              <w:spacing w:line="240" w:lineRule="atLeast"/>
            </w:pPr>
            <w:r>
              <w:rPr>
                <w:rFonts w:hint="eastAsia"/>
              </w:rPr>
              <w:t>应采用资源利用率高，废物产生量小、对生态破坏小的采矿技术、工艺与装备，符合清洁生产要求。</w:t>
            </w:r>
          </w:p>
        </w:tc>
        <w:tc>
          <w:tcPr>
            <w:tcW w:w="1984" w:type="dxa"/>
            <w:vMerge/>
            <w:tcBorders>
              <w:top w:val="nil"/>
              <w:left w:val="nil"/>
              <w:bottom w:val="single" w:sz="4" w:space="0" w:color="auto"/>
              <w:right w:val="single" w:sz="4" w:space="0" w:color="auto"/>
            </w:tcBorders>
            <w:vAlign w:val="center"/>
          </w:tcPr>
          <w:p w14:paraId="19E7DBCF" w14:textId="77777777" w:rsidR="00E579B9" w:rsidRDefault="00E579B9">
            <w:pPr>
              <w:pStyle w:val="aa"/>
              <w:spacing w:line="240" w:lineRule="atLeast"/>
            </w:pPr>
          </w:p>
        </w:tc>
        <w:tc>
          <w:tcPr>
            <w:tcW w:w="645" w:type="dxa"/>
            <w:tcBorders>
              <w:top w:val="single" w:sz="4" w:space="0" w:color="auto"/>
              <w:left w:val="nil"/>
              <w:bottom w:val="single" w:sz="4" w:space="0" w:color="auto"/>
              <w:right w:val="single" w:sz="4" w:space="0" w:color="auto"/>
            </w:tcBorders>
            <w:vAlign w:val="center"/>
          </w:tcPr>
          <w:p w14:paraId="6EE859BB" w14:textId="77777777" w:rsidR="00E579B9" w:rsidRDefault="006A1398">
            <w:pPr>
              <w:pStyle w:val="aa"/>
              <w:spacing w:line="240" w:lineRule="atLeast"/>
            </w:pPr>
            <w:r>
              <w:rPr>
                <w:rFonts w:hint="eastAsia"/>
              </w:rPr>
              <w:t>符合</w:t>
            </w:r>
          </w:p>
        </w:tc>
      </w:tr>
      <w:tr w:rsidR="00E579B9" w14:paraId="38C954BC"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127C3C6F"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43272AB7" w14:textId="77777777" w:rsidR="00E579B9" w:rsidRDefault="006A1398">
            <w:pPr>
              <w:pStyle w:val="aa"/>
              <w:spacing w:line="240" w:lineRule="atLeast"/>
            </w:pPr>
            <w:r>
              <w:rPr>
                <w:rFonts w:hint="eastAsia"/>
              </w:rPr>
              <w:t>露天矿山边坡稳定，终了平台（安全平台、清扫平台）留设规范，宽度有利于复垦绿化。露天矿山宜采用内排废石，地下矿山宜采用充填开采或废石不出井等技术</w:t>
            </w:r>
          </w:p>
        </w:tc>
        <w:tc>
          <w:tcPr>
            <w:tcW w:w="1984" w:type="dxa"/>
            <w:tcBorders>
              <w:top w:val="single" w:sz="4" w:space="0" w:color="auto"/>
              <w:left w:val="nil"/>
              <w:bottom w:val="single" w:sz="4" w:space="0" w:color="auto"/>
              <w:right w:val="single" w:sz="4" w:space="0" w:color="auto"/>
            </w:tcBorders>
            <w:vAlign w:val="center"/>
          </w:tcPr>
          <w:p w14:paraId="509E97C1" w14:textId="77777777" w:rsidR="00E579B9" w:rsidRDefault="006A1398">
            <w:pPr>
              <w:pStyle w:val="aa"/>
              <w:spacing w:line="240" w:lineRule="atLeast"/>
            </w:pPr>
            <w:r>
              <w:rPr>
                <w:rFonts w:hint="eastAsia"/>
              </w:rPr>
              <w:t>项目已编制开发利用方案，并取得审查意见；项目无废石产生，利用原有露采坑作为表土临时堆场</w:t>
            </w:r>
          </w:p>
        </w:tc>
        <w:tc>
          <w:tcPr>
            <w:tcW w:w="645" w:type="dxa"/>
            <w:tcBorders>
              <w:top w:val="single" w:sz="4" w:space="0" w:color="auto"/>
              <w:left w:val="nil"/>
              <w:bottom w:val="single" w:sz="4" w:space="0" w:color="auto"/>
              <w:right w:val="single" w:sz="4" w:space="0" w:color="auto"/>
            </w:tcBorders>
            <w:vAlign w:val="center"/>
          </w:tcPr>
          <w:p w14:paraId="6F30A8D1" w14:textId="77777777" w:rsidR="00E579B9" w:rsidRDefault="006A1398">
            <w:pPr>
              <w:pStyle w:val="aa"/>
              <w:spacing w:line="240" w:lineRule="atLeast"/>
            </w:pPr>
            <w:r>
              <w:rPr>
                <w:rFonts w:hint="eastAsia"/>
              </w:rPr>
              <w:t>符合</w:t>
            </w:r>
          </w:p>
        </w:tc>
      </w:tr>
      <w:tr w:rsidR="00E579B9" w14:paraId="1B438789"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1EC47F0D"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734AC586" w14:textId="77777777" w:rsidR="00E579B9" w:rsidRDefault="006A1398">
            <w:pPr>
              <w:pStyle w:val="aa"/>
              <w:spacing w:line="240" w:lineRule="atLeast"/>
            </w:pPr>
            <w:r>
              <w:rPr>
                <w:rFonts w:hint="eastAsia"/>
              </w:rPr>
              <w:t>矿山应建立采空区（群）基本信息库和相关记录台账</w:t>
            </w:r>
          </w:p>
        </w:tc>
        <w:tc>
          <w:tcPr>
            <w:tcW w:w="1984" w:type="dxa"/>
            <w:tcBorders>
              <w:top w:val="single" w:sz="4" w:space="0" w:color="auto"/>
              <w:left w:val="nil"/>
              <w:bottom w:val="single" w:sz="4" w:space="0" w:color="auto"/>
              <w:right w:val="single" w:sz="4" w:space="0" w:color="auto"/>
            </w:tcBorders>
            <w:vAlign w:val="center"/>
          </w:tcPr>
          <w:p w14:paraId="1688A18A" w14:textId="77777777" w:rsidR="00E579B9" w:rsidRDefault="006A1398">
            <w:pPr>
              <w:pStyle w:val="aa"/>
              <w:spacing w:line="240" w:lineRule="atLeast"/>
            </w:pPr>
            <w:r>
              <w:rPr>
                <w:rFonts w:hint="eastAsia"/>
              </w:rPr>
              <w:t>矿山不涉及地下采空区</w:t>
            </w:r>
          </w:p>
        </w:tc>
        <w:tc>
          <w:tcPr>
            <w:tcW w:w="645" w:type="dxa"/>
            <w:tcBorders>
              <w:top w:val="single" w:sz="4" w:space="0" w:color="auto"/>
              <w:left w:val="nil"/>
              <w:bottom w:val="single" w:sz="4" w:space="0" w:color="auto"/>
              <w:right w:val="single" w:sz="4" w:space="0" w:color="auto"/>
            </w:tcBorders>
            <w:vAlign w:val="center"/>
          </w:tcPr>
          <w:p w14:paraId="12A9E85A" w14:textId="77777777" w:rsidR="00E579B9" w:rsidRDefault="006A1398">
            <w:pPr>
              <w:pStyle w:val="aa"/>
              <w:spacing w:line="240" w:lineRule="atLeast"/>
            </w:pPr>
            <w:r>
              <w:rPr>
                <w:rFonts w:hint="eastAsia"/>
              </w:rPr>
              <w:t>符合</w:t>
            </w:r>
          </w:p>
        </w:tc>
      </w:tr>
      <w:tr w:rsidR="00E579B9" w14:paraId="7ADE198E" w14:textId="77777777">
        <w:trPr>
          <w:jc w:val="center"/>
        </w:trPr>
        <w:tc>
          <w:tcPr>
            <w:tcW w:w="681" w:type="dxa"/>
            <w:vMerge w:val="restart"/>
            <w:tcBorders>
              <w:top w:val="nil"/>
              <w:left w:val="single" w:sz="4" w:space="0" w:color="auto"/>
              <w:bottom w:val="single" w:sz="4" w:space="0" w:color="auto"/>
              <w:right w:val="single" w:sz="4" w:space="0" w:color="auto"/>
            </w:tcBorders>
            <w:vAlign w:val="center"/>
          </w:tcPr>
          <w:p w14:paraId="08B34726" w14:textId="77777777" w:rsidR="00E579B9" w:rsidRDefault="006A1398">
            <w:pPr>
              <w:pStyle w:val="aa"/>
              <w:spacing w:line="240" w:lineRule="atLeast"/>
            </w:pPr>
            <w:r>
              <w:rPr>
                <w:rFonts w:cs="黑体" w:hint="eastAsia"/>
                <w:kern w:val="0"/>
              </w:rPr>
              <w:t>矿山地质环境保护与土地复垦</w:t>
            </w:r>
          </w:p>
        </w:tc>
        <w:tc>
          <w:tcPr>
            <w:tcW w:w="5320" w:type="dxa"/>
            <w:tcBorders>
              <w:top w:val="single" w:sz="4" w:space="0" w:color="auto"/>
              <w:left w:val="nil"/>
              <w:bottom w:val="single" w:sz="4" w:space="0" w:color="auto"/>
              <w:right w:val="single" w:sz="4" w:space="0" w:color="auto"/>
            </w:tcBorders>
            <w:vAlign w:val="center"/>
          </w:tcPr>
          <w:p w14:paraId="60BD2F01" w14:textId="77777777" w:rsidR="00E579B9" w:rsidRDefault="006A1398">
            <w:pPr>
              <w:pStyle w:val="aa"/>
              <w:spacing w:line="240" w:lineRule="atLeast"/>
            </w:pPr>
            <w:r>
              <w:rPr>
                <w:rFonts w:hint="eastAsia"/>
              </w:rPr>
              <w:t>矿山建设、生产活动应统筹部署地质环境保护和土地复垦，使矿山地质环境能恢复、易恢复，土地复垦效果好。</w:t>
            </w:r>
          </w:p>
        </w:tc>
        <w:tc>
          <w:tcPr>
            <w:tcW w:w="1984" w:type="dxa"/>
            <w:vMerge w:val="restart"/>
            <w:tcBorders>
              <w:top w:val="nil"/>
              <w:left w:val="nil"/>
              <w:bottom w:val="single" w:sz="4" w:space="0" w:color="auto"/>
              <w:right w:val="single" w:sz="4" w:space="0" w:color="auto"/>
            </w:tcBorders>
            <w:vAlign w:val="center"/>
          </w:tcPr>
          <w:p w14:paraId="54C12E07" w14:textId="77777777" w:rsidR="00E579B9" w:rsidRDefault="006A1398">
            <w:pPr>
              <w:pStyle w:val="aa"/>
              <w:spacing w:line="240" w:lineRule="atLeast"/>
            </w:pPr>
            <w:r>
              <w:rPr>
                <w:rFonts w:hint="eastAsia"/>
              </w:rPr>
              <w:t>项目已编制矿山地质环境保护与土地复垦方案，运营期按照方案落实</w:t>
            </w:r>
          </w:p>
        </w:tc>
        <w:tc>
          <w:tcPr>
            <w:tcW w:w="645" w:type="dxa"/>
            <w:tcBorders>
              <w:top w:val="single" w:sz="4" w:space="0" w:color="auto"/>
              <w:left w:val="nil"/>
              <w:bottom w:val="single" w:sz="4" w:space="0" w:color="auto"/>
              <w:right w:val="single" w:sz="4" w:space="0" w:color="auto"/>
            </w:tcBorders>
            <w:vAlign w:val="center"/>
          </w:tcPr>
          <w:p w14:paraId="120F9544" w14:textId="77777777" w:rsidR="00E579B9" w:rsidRDefault="006A1398">
            <w:pPr>
              <w:pStyle w:val="aa"/>
              <w:spacing w:line="240" w:lineRule="atLeast"/>
            </w:pPr>
            <w:r>
              <w:rPr>
                <w:rFonts w:hint="eastAsia"/>
              </w:rPr>
              <w:t>符合</w:t>
            </w:r>
          </w:p>
        </w:tc>
      </w:tr>
      <w:tr w:rsidR="00E579B9" w14:paraId="4F383F8C"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35876435"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261C1667" w14:textId="77777777" w:rsidR="00E579B9" w:rsidRDefault="006A1398">
            <w:pPr>
              <w:pStyle w:val="aa"/>
              <w:spacing w:line="240" w:lineRule="atLeast"/>
            </w:pPr>
            <w:r>
              <w:rPr>
                <w:rFonts w:hint="eastAsia"/>
                <w:kern w:val="0"/>
              </w:rPr>
              <w:t>企业应履行矿山地质环境保护与土地复垦相关义务，建立责任机制，落实经费和各项措施，按矿山地质环境保护与土地复垦方案完成地质环境保护、治理和土地复垦、监测、管护等目标任务。</w:t>
            </w:r>
          </w:p>
        </w:tc>
        <w:tc>
          <w:tcPr>
            <w:tcW w:w="1984" w:type="dxa"/>
            <w:vMerge/>
            <w:tcBorders>
              <w:top w:val="nil"/>
              <w:left w:val="nil"/>
              <w:bottom w:val="single" w:sz="4" w:space="0" w:color="auto"/>
              <w:right w:val="single" w:sz="4" w:space="0" w:color="auto"/>
            </w:tcBorders>
            <w:vAlign w:val="center"/>
          </w:tcPr>
          <w:p w14:paraId="1E943C65" w14:textId="77777777" w:rsidR="00E579B9" w:rsidRDefault="00E579B9">
            <w:pPr>
              <w:pStyle w:val="aa"/>
              <w:spacing w:line="240" w:lineRule="atLeast"/>
            </w:pPr>
          </w:p>
        </w:tc>
        <w:tc>
          <w:tcPr>
            <w:tcW w:w="645" w:type="dxa"/>
            <w:tcBorders>
              <w:top w:val="single" w:sz="4" w:space="0" w:color="auto"/>
              <w:left w:val="nil"/>
              <w:bottom w:val="single" w:sz="4" w:space="0" w:color="auto"/>
              <w:right w:val="single" w:sz="4" w:space="0" w:color="auto"/>
            </w:tcBorders>
            <w:vAlign w:val="center"/>
          </w:tcPr>
          <w:p w14:paraId="37DDB367" w14:textId="77777777" w:rsidR="00E579B9" w:rsidRDefault="006A1398">
            <w:pPr>
              <w:pStyle w:val="aa"/>
              <w:spacing w:line="240" w:lineRule="atLeast"/>
            </w:pPr>
            <w:r>
              <w:rPr>
                <w:rFonts w:hint="eastAsia"/>
              </w:rPr>
              <w:t>符合</w:t>
            </w:r>
          </w:p>
        </w:tc>
      </w:tr>
      <w:tr w:rsidR="00E579B9" w14:paraId="4D3671F8"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3BEAC27D"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38340D14" w14:textId="77777777" w:rsidR="00E579B9" w:rsidRDefault="006A1398">
            <w:pPr>
              <w:pStyle w:val="aa"/>
              <w:spacing w:line="240" w:lineRule="atLeast"/>
            </w:pPr>
            <w:r>
              <w:rPr>
                <w:rFonts w:hint="eastAsia"/>
                <w:kern w:val="0"/>
              </w:rPr>
              <w:t>应按照边开采、边治理、边复垦的要求，及时治理恢复矿山地质环境，复垦损毁土地；暂时难以治理的，应采取有效措施控制对环境的负效应。</w:t>
            </w:r>
          </w:p>
        </w:tc>
        <w:tc>
          <w:tcPr>
            <w:tcW w:w="1984" w:type="dxa"/>
            <w:vMerge/>
            <w:tcBorders>
              <w:top w:val="nil"/>
              <w:left w:val="nil"/>
              <w:bottom w:val="single" w:sz="4" w:space="0" w:color="auto"/>
              <w:right w:val="single" w:sz="4" w:space="0" w:color="auto"/>
            </w:tcBorders>
            <w:vAlign w:val="center"/>
          </w:tcPr>
          <w:p w14:paraId="3FE67FAC" w14:textId="77777777" w:rsidR="00E579B9" w:rsidRDefault="00E579B9">
            <w:pPr>
              <w:pStyle w:val="aa"/>
              <w:spacing w:line="240" w:lineRule="atLeast"/>
            </w:pPr>
          </w:p>
        </w:tc>
        <w:tc>
          <w:tcPr>
            <w:tcW w:w="645" w:type="dxa"/>
            <w:tcBorders>
              <w:top w:val="single" w:sz="4" w:space="0" w:color="auto"/>
              <w:left w:val="nil"/>
              <w:bottom w:val="single" w:sz="4" w:space="0" w:color="auto"/>
              <w:right w:val="single" w:sz="4" w:space="0" w:color="auto"/>
            </w:tcBorders>
            <w:vAlign w:val="center"/>
          </w:tcPr>
          <w:p w14:paraId="08BCC74C" w14:textId="77777777" w:rsidR="00E579B9" w:rsidRDefault="006A1398">
            <w:pPr>
              <w:pStyle w:val="aa"/>
              <w:spacing w:line="240" w:lineRule="atLeast"/>
            </w:pPr>
            <w:r>
              <w:rPr>
                <w:rFonts w:hint="eastAsia"/>
              </w:rPr>
              <w:t>符合</w:t>
            </w:r>
          </w:p>
        </w:tc>
      </w:tr>
      <w:tr w:rsidR="00E579B9" w14:paraId="7E60539C"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3CBF1C3F"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0AAB7EF9" w14:textId="77777777" w:rsidR="00E579B9" w:rsidRDefault="006A1398">
            <w:pPr>
              <w:pStyle w:val="aa"/>
              <w:spacing w:line="240" w:lineRule="atLeast"/>
            </w:pPr>
            <w:r>
              <w:rPr>
                <w:rFonts w:hint="eastAsia"/>
              </w:rPr>
              <w:t>应落实表土（土壤）剥离与保护措施，表土堆放场应布置合理、堆存有序，耕作层土壤剥离应符合</w:t>
            </w:r>
            <w:r>
              <w:rPr>
                <w:rFonts w:hint="eastAsia"/>
              </w:rPr>
              <w:t>TD/T1048</w:t>
            </w:r>
            <w:r>
              <w:rPr>
                <w:rFonts w:hint="eastAsia"/>
              </w:rPr>
              <w:t>规定。</w:t>
            </w:r>
          </w:p>
        </w:tc>
        <w:tc>
          <w:tcPr>
            <w:tcW w:w="1984" w:type="dxa"/>
            <w:vMerge/>
            <w:tcBorders>
              <w:top w:val="nil"/>
              <w:left w:val="nil"/>
              <w:bottom w:val="single" w:sz="4" w:space="0" w:color="auto"/>
              <w:right w:val="single" w:sz="4" w:space="0" w:color="auto"/>
            </w:tcBorders>
            <w:vAlign w:val="center"/>
          </w:tcPr>
          <w:p w14:paraId="7032C104" w14:textId="77777777" w:rsidR="00E579B9" w:rsidRDefault="00E579B9">
            <w:pPr>
              <w:pStyle w:val="aa"/>
              <w:spacing w:line="240" w:lineRule="atLeast"/>
            </w:pPr>
          </w:p>
        </w:tc>
        <w:tc>
          <w:tcPr>
            <w:tcW w:w="645" w:type="dxa"/>
            <w:tcBorders>
              <w:top w:val="single" w:sz="4" w:space="0" w:color="auto"/>
              <w:left w:val="nil"/>
              <w:bottom w:val="single" w:sz="4" w:space="0" w:color="auto"/>
              <w:right w:val="single" w:sz="4" w:space="0" w:color="auto"/>
            </w:tcBorders>
            <w:vAlign w:val="center"/>
          </w:tcPr>
          <w:p w14:paraId="662396E2" w14:textId="77777777" w:rsidR="00E579B9" w:rsidRDefault="006A1398">
            <w:pPr>
              <w:pStyle w:val="aa"/>
              <w:spacing w:line="240" w:lineRule="atLeast"/>
            </w:pPr>
            <w:r>
              <w:rPr>
                <w:rFonts w:hint="eastAsia"/>
              </w:rPr>
              <w:t>符合</w:t>
            </w:r>
          </w:p>
        </w:tc>
      </w:tr>
      <w:tr w:rsidR="00E579B9" w14:paraId="63A10079"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50747D02"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1FECA0F4" w14:textId="77777777" w:rsidR="00E579B9" w:rsidRDefault="006A1398">
            <w:pPr>
              <w:pStyle w:val="aa"/>
              <w:spacing w:line="240" w:lineRule="atLeast"/>
            </w:pPr>
            <w:r>
              <w:rPr>
                <w:rFonts w:hint="eastAsia"/>
                <w:kern w:val="0"/>
              </w:rPr>
              <w:t>露天采场终了平台应及时复垦或绿化。</w:t>
            </w:r>
          </w:p>
        </w:tc>
        <w:tc>
          <w:tcPr>
            <w:tcW w:w="1984" w:type="dxa"/>
            <w:vMerge/>
            <w:tcBorders>
              <w:top w:val="nil"/>
              <w:left w:val="nil"/>
              <w:bottom w:val="single" w:sz="4" w:space="0" w:color="auto"/>
              <w:right w:val="single" w:sz="4" w:space="0" w:color="auto"/>
            </w:tcBorders>
            <w:vAlign w:val="center"/>
          </w:tcPr>
          <w:p w14:paraId="53E76158" w14:textId="77777777" w:rsidR="00E579B9" w:rsidRDefault="00E579B9">
            <w:pPr>
              <w:pStyle w:val="aa"/>
              <w:spacing w:line="240" w:lineRule="atLeast"/>
            </w:pPr>
          </w:p>
        </w:tc>
        <w:tc>
          <w:tcPr>
            <w:tcW w:w="645" w:type="dxa"/>
            <w:tcBorders>
              <w:top w:val="single" w:sz="4" w:space="0" w:color="auto"/>
              <w:left w:val="nil"/>
              <w:bottom w:val="single" w:sz="4" w:space="0" w:color="auto"/>
              <w:right w:val="single" w:sz="4" w:space="0" w:color="auto"/>
            </w:tcBorders>
            <w:vAlign w:val="center"/>
          </w:tcPr>
          <w:p w14:paraId="6E8E495A" w14:textId="77777777" w:rsidR="00E579B9" w:rsidRDefault="006A1398">
            <w:pPr>
              <w:pStyle w:val="aa"/>
              <w:spacing w:line="240" w:lineRule="atLeast"/>
            </w:pPr>
            <w:r>
              <w:rPr>
                <w:rFonts w:hint="eastAsia"/>
              </w:rPr>
              <w:t>符合</w:t>
            </w:r>
          </w:p>
        </w:tc>
      </w:tr>
      <w:tr w:rsidR="00E579B9" w14:paraId="278CA7B7"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329C08AF"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2705FC8A" w14:textId="77777777" w:rsidR="00E579B9" w:rsidRDefault="006A1398">
            <w:pPr>
              <w:pStyle w:val="aa"/>
              <w:spacing w:line="240" w:lineRule="atLeast"/>
            </w:pPr>
            <w:r>
              <w:rPr>
                <w:rFonts w:hint="eastAsia"/>
              </w:rPr>
              <w:t>矿山地质环境恢复治理后的各类场地应达到：安全稳定，对周边环境不产生污染，与周边自然环境和景观相协调，区域整体生态功能得到保护和恢复。</w:t>
            </w:r>
          </w:p>
        </w:tc>
        <w:tc>
          <w:tcPr>
            <w:tcW w:w="1984" w:type="dxa"/>
            <w:vMerge/>
            <w:tcBorders>
              <w:top w:val="nil"/>
              <w:left w:val="nil"/>
              <w:bottom w:val="single" w:sz="4" w:space="0" w:color="auto"/>
              <w:right w:val="single" w:sz="4" w:space="0" w:color="auto"/>
            </w:tcBorders>
            <w:vAlign w:val="center"/>
          </w:tcPr>
          <w:p w14:paraId="2BB6013E" w14:textId="77777777" w:rsidR="00E579B9" w:rsidRDefault="00E579B9">
            <w:pPr>
              <w:pStyle w:val="aa"/>
              <w:spacing w:line="240" w:lineRule="atLeast"/>
            </w:pPr>
          </w:p>
        </w:tc>
        <w:tc>
          <w:tcPr>
            <w:tcW w:w="645" w:type="dxa"/>
            <w:tcBorders>
              <w:top w:val="single" w:sz="4" w:space="0" w:color="auto"/>
              <w:left w:val="nil"/>
              <w:bottom w:val="single" w:sz="4" w:space="0" w:color="auto"/>
              <w:right w:val="single" w:sz="4" w:space="0" w:color="auto"/>
            </w:tcBorders>
            <w:vAlign w:val="center"/>
          </w:tcPr>
          <w:p w14:paraId="005A6977" w14:textId="77777777" w:rsidR="00E579B9" w:rsidRDefault="006A1398">
            <w:pPr>
              <w:pStyle w:val="aa"/>
              <w:spacing w:line="240" w:lineRule="atLeast"/>
            </w:pPr>
            <w:r>
              <w:rPr>
                <w:rFonts w:hint="eastAsia"/>
              </w:rPr>
              <w:t>符合</w:t>
            </w:r>
          </w:p>
        </w:tc>
      </w:tr>
      <w:tr w:rsidR="00E579B9" w14:paraId="2976EFFD"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5A0AD4C6"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6C91881E" w14:textId="77777777" w:rsidR="00E579B9" w:rsidRDefault="006A1398">
            <w:pPr>
              <w:pStyle w:val="aa"/>
              <w:spacing w:line="240" w:lineRule="atLeast"/>
            </w:pPr>
            <w:r>
              <w:rPr>
                <w:rFonts w:hint="eastAsia"/>
              </w:rPr>
              <w:t>土地复垦应恢复土地基本功能，因地制宜实现土地可持续利用，土地复垦质量应符合</w:t>
            </w:r>
            <w:r>
              <w:rPr>
                <w:rFonts w:hint="eastAsia"/>
              </w:rPr>
              <w:t>TD/T1036</w:t>
            </w:r>
            <w:r>
              <w:rPr>
                <w:rFonts w:hint="eastAsia"/>
              </w:rPr>
              <w:t>的规定。复垦为农用地的，土壤环境质量应符合</w:t>
            </w:r>
            <w:r>
              <w:rPr>
                <w:rFonts w:hint="eastAsia"/>
              </w:rPr>
              <w:t>GB15618</w:t>
            </w:r>
            <w:r>
              <w:rPr>
                <w:rFonts w:hint="eastAsia"/>
              </w:rPr>
              <w:t>的规定；复垦为建设用地的，土壤环境质量应符合</w:t>
            </w:r>
            <w:r>
              <w:rPr>
                <w:rFonts w:hint="eastAsia"/>
              </w:rPr>
              <w:t>GB36600</w:t>
            </w:r>
            <w:r>
              <w:rPr>
                <w:rFonts w:hint="eastAsia"/>
              </w:rPr>
              <w:t>的规定。</w:t>
            </w:r>
          </w:p>
        </w:tc>
        <w:tc>
          <w:tcPr>
            <w:tcW w:w="1984" w:type="dxa"/>
            <w:vMerge/>
            <w:tcBorders>
              <w:top w:val="nil"/>
              <w:left w:val="nil"/>
              <w:bottom w:val="single" w:sz="4" w:space="0" w:color="auto"/>
              <w:right w:val="single" w:sz="4" w:space="0" w:color="auto"/>
            </w:tcBorders>
            <w:vAlign w:val="center"/>
          </w:tcPr>
          <w:p w14:paraId="261FDF16" w14:textId="77777777" w:rsidR="00E579B9" w:rsidRDefault="00E579B9">
            <w:pPr>
              <w:pStyle w:val="aa"/>
              <w:spacing w:line="240" w:lineRule="atLeast"/>
            </w:pPr>
          </w:p>
        </w:tc>
        <w:tc>
          <w:tcPr>
            <w:tcW w:w="645" w:type="dxa"/>
            <w:tcBorders>
              <w:top w:val="single" w:sz="4" w:space="0" w:color="auto"/>
              <w:left w:val="nil"/>
              <w:bottom w:val="single" w:sz="4" w:space="0" w:color="auto"/>
              <w:right w:val="single" w:sz="4" w:space="0" w:color="auto"/>
            </w:tcBorders>
            <w:vAlign w:val="center"/>
          </w:tcPr>
          <w:p w14:paraId="2FBE0FF5" w14:textId="77777777" w:rsidR="00E579B9" w:rsidRDefault="006A1398">
            <w:pPr>
              <w:pStyle w:val="aa"/>
              <w:spacing w:line="240" w:lineRule="atLeast"/>
            </w:pPr>
            <w:r>
              <w:rPr>
                <w:rFonts w:hint="eastAsia"/>
              </w:rPr>
              <w:t>符合</w:t>
            </w:r>
          </w:p>
        </w:tc>
      </w:tr>
      <w:tr w:rsidR="00E579B9" w14:paraId="2A51E1C5" w14:textId="77777777">
        <w:trPr>
          <w:jc w:val="center"/>
        </w:trPr>
        <w:tc>
          <w:tcPr>
            <w:tcW w:w="681" w:type="dxa"/>
            <w:vMerge/>
            <w:tcBorders>
              <w:top w:val="nil"/>
              <w:left w:val="single" w:sz="4" w:space="0" w:color="auto"/>
              <w:bottom w:val="single" w:sz="4" w:space="0" w:color="auto"/>
              <w:right w:val="single" w:sz="4" w:space="0" w:color="auto"/>
            </w:tcBorders>
            <w:vAlign w:val="center"/>
          </w:tcPr>
          <w:p w14:paraId="52E18969" w14:textId="77777777" w:rsidR="00E579B9" w:rsidRDefault="00E579B9">
            <w:pPr>
              <w:pStyle w:val="aa"/>
              <w:spacing w:line="240" w:lineRule="atLeast"/>
            </w:pPr>
          </w:p>
        </w:tc>
        <w:tc>
          <w:tcPr>
            <w:tcW w:w="5320" w:type="dxa"/>
            <w:tcBorders>
              <w:top w:val="single" w:sz="4" w:space="0" w:color="auto"/>
              <w:left w:val="nil"/>
              <w:bottom w:val="single" w:sz="4" w:space="0" w:color="auto"/>
              <w:right w:val="single" w:sz="4" w:space="0" w:color="auto"/>
            </w:tcBorders>
            <w:vAlign w:val="center"/>
          </w:tcPr>
          <w:p w14:paraId="31616C71" w14:textId="77777777" w:rsidR="00E579B9" w:rsidRDefault="006A1398">
            <w:pPr>
              <w:pStyle w:val="aa"/>
              <w:spacing w:line="240" w:lineRule="atLeast"/>
            </w:pPr>
            <w:r>
              <w:rPr>
                <w:rFonts w:hint="eastAsia"/>
                <w:kern w:val="0"/>
              </w:rPr>
              <w:t>应建立地质环境监测与地质灾害应急预警机制</w:t>
            </w:r>
          </w:p>
        </w:tc>
        <w:tc>
          <w:tcPr>
            <w:tcW w:w="1984" w:type="dxa"/>
            <w:vMerge/>
            <w:tcBorders>
              <w:top w:val="nil"/>
              <w:left w:val="nil"/>
              <w:bottom w:val="single" w:sz="4" w:space="0" w:color="auto"/>
              <w:right w:val="single" w:sz="4" w:space="0" w:color="auto"/>
            </w:tcBorders>
            <w:vAlign w:val="center"/>
          </w:tcPr>
          <w:p w14:paraId="018A0917" w14:textId="77777777" w:rsidR="00E579B9" w:rsidRDefault="00E579B9">
            <w:pPr>
              <w:pStyle w:val="aa"/>
              <w:spacing w:line="240" w:lineRule="atLeast"/>
            </w:pPr>
          </w:p>
        </w:tc>
        <w:tc>
          <w:tcPr>
            <w:tcW w:w="645" w:type="dxa"/>
            <w:tcBorders>
              <w:top w:val="single" w:sz="4" w:space="0" w:color="auto"/>
              <w:left w:val="nil"/>
              <w:bottom w:val="single" w:sz="4" w:space="0" w:color="auto"/>
              <w:right w:val="single" w:sz="4" w:space="0" w:color="auto"/>
            </w:tcBorders>
            <w:vAlign w:val="center"/>
          </w:tcPr>
          <w:p w14:paraId="278B6942" w14:textId="77777777" w:rsidR="00E579B9" w:rsidRDefault="006A1398">
            <w:pPr>
              <w:pStyle w:val="aa"/>
              <w:spacing w:line="240" w:lineRule="atLeast"/>
            </w:pPr>
            <w:r>
              <w:rPr>
                <w:rFonts w:hint="eastAsia"/>
              </w:rPr>
              <w:t>符合</w:t>
            </w:r>
          </w:p>
        </w:tc>
      </w:tr>
    </w:tbl>
    <w:p w14:paraId="224F0AE9" w14:textId="77777777" w:rsidR="00E579B9" w:rsidRDefault="006A1398">
      <w:r>
        <w:rPr>
          <w:rFonts w:hint="eastAsia"/>
        </w:rPr>
        <w:t>由上表可知，建设单位运营按照相关要求落实措施，能够满足《非金属矿绿色矿山建设规范》（</w:t>
      </w:r>
      <w:r>
        <w:rPr>
          <w:rFonts w:hint="eastAsia"/>
        </w:rPr>
        <w:t>DB41/T1666-2018</w:t>
      </w:r>
      <w:r>
        <w:rPr>
          <w:rFonts w:hint="eastAsia"/>
        </w:rPr>
        <w:t>）要求。</w:t>
      </w:r>
    </w:p>
    <w:p w14:paraId="4D6261A6" w14:textId="77777777" w:rsidR="00E579B9" w:rsidRDefault="006A1398">
      <w:pPr>
        <w:pStyle w:val="3"/>
        <w:ind w:firstLine="560"/>
      </w:pPr>
      <w:r>
        <w:t>10.1.14</w:t>
      </w:r>
      <w:r>
        <w:t>《</w:t>
      </w:r>
      <w:r>
        <w:rPr>
          <w:rFonts w:hint="eastAsia"/>
        </w:rPr>
        <w:t>非金属矿行业绿色矿山建设规范</w:t>
      </w:r>
      <w:r>
        <w:t>》（</w:t>
      </w:r>
      <w:r>
        <w:t>DZ/T0312-2018</w:t>
      </w:r>
      <w:r>
        <w:t>）</w:t>
      </w:r>
      <w:r>
        <w:rPr>
          <w:rFonts w:hint="eastAsia"/>
        </w:rPr>
        <w:t>相符性分析</w:t>
      </w:r>
    </w:p>
    <w:p w14:paraId="52490D0F" w14:textId="77777777" w:rsidR="00E579B9" w:rsidRDefault="006A1398">
      <w:pPr>
        <w:widowControl w:val="0"/>
        <w:spacing w:line="480" w:lineRule="exact"/>
        <w:jc w:val="both"/>
        <w:rPr>
          <w:rFonts w:ascii="黑体" w:eastAsia="黑体" w:hAnsi="黑体" w:cs="Times New Roman"/>
          <w:bCs/>
          <w:szCs w:val="24"/>
        </w:rPr>
      </w:pPr>
      <w:r>
        <w:rPr>
          <w:rFonts w:ascii="黑体" w:eastAsia="黑体" w:hAnsi="黑体" w:cs="Times New Roman" w:hint="eastAsia"/>
          <w:bCs/>
          <w:szCs w:val="24"/>
        </w:rPr>
        <w:t>表</w:t>
      </w:r>
      <w:r>
        <w:rPr>
          <w:rFonts w:ascii="黑体" w:eastAsia="黑体" w:hAnsi="黑体" w:cs="Times New Roman"/>
          <w:bCs/>
          <w:szCs w:val="24"/>
        </w:rPr>
        <w:t>10.1-8</w:t>
      </w:r>
      <w:r>
        <w:rPr>
          <w:rFonts w:ascii="黑体" w:eastAsia="黑体" w:hAnsi="黑体" w:cs="Times New Roman" w:hint="eastAsia"/>
          <w:bCs/>
          <w:szCs w:val="24"/>
        </w:rPr>
        <w:t>与《非金属矿行业绿色矿山建设规范》（DZ/T0312-2018）相符性</w:t>
      </w:r>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4498"/>
        <w:gridCol w:w="2592"/>
        <w:gridCol w:w="859"/>
      </w:tblGrid>
      <w:tr w:rsidR="00E579B9" w14:paraId="361AB473" w14:textId="77777777">
        <w:tc>
          <w:tcPr>
            <w:tcW w:w="681" w:type="dxa"/>
            <w:tcBorders>
              <w:top w:val="single" w:sz="4" w:space="0" w:color="auto"/>
              <w:left w:val="single" w:sz="4" w:space="0" w:color="auto"/>
              <w:bottom w:val="single" w:sz="4" w:space="0" w:color="auto"/>
              <w:right w:val="single" w:sz="4" w:space="0" w:color="auto"/>
            </w:tcBorders>
            <w:vAlign w:val="center"/>
          </w:tcPr>
          <w:p w14:paraId="5786E23F" w14:textId="77777777" w:rsidR="00E579B9" w:rsidRDefault="006A1398">
            <w:pPr>
              <w:pStyle w:val="aa"/>
            </w:pPr>
            <w:r>
              <w:rPr>
                <w:rFonts w:hint="eastAsia"/>
              </w:rPr>
              <w:t>项目</w:t>
            </w:r>
          </w:p>
        </w:tc>
        <w:tc>
          <w:tcPr>
            <w:tcW w:w="4498" w:type="dxa"/>
            <w:tcBorders>
              <w:top w:val="single" w:sz="4" w:space="0" w:color="auto"/>
              <w:left w:val="nil"/>
              <w:bottom w:val="single" w:sz="4" w:space="0" w:color="auto"/>
              <w:right w:val="single" w:sz="4" w:space="0" w:color="auto"/>
            </w:tcBorders>
            <w:vAlign w:val="center"/>
          </w:tcPr>
          <w:p w14:paraId="6CA27701" w14:textId="77777777" w:rsidR="00E579B9" w:rsidRDefault="006A1398">
            <w:pPr>
              <w:pStyle w:val="aa"/>
            </w:pPr>
            <w:r>
              <w:rPr>
                <w:rFonts w:hint="eastAsia"/>
              </w:rPr>
              <w:t>《非金属矿行业绿色矿山建设规范》要求</w:t>
            </w:r>
          </w:p>
        </w:tc>
        <w:tc>
          <w:tcPr>
            <w:tcW w:w="2592" w:type="dxa"/>
            <w:tcBorders>
              <w:top w:val="single" w:sz="4" w:space="0" w:color="auto"/>
              <w:left w:val="nil"/>
              <w:bottom w:val="single" w:sz="4" w:space="0" w:color="auto"/>
              <w:right w:val="single" w:sz="4" w:space="0" w:color="auto"/>
            </w:tcBorders>
            <w:vAlign w:val="center"/>
          </w:tcPr>
          <w:p w14:paraId="2FBC65B0" w14:textId="77777777" w:rsidR="00E579B9" w:rsidRDefault="006A1398">
            <w:pPr>
              <w:pStyle w:val="aa"/>
            </w:pPr>
            <w:r>
              <w:rPr>
                <w:rFonts w:hint="eastAsia"/>
              </w:rPr>
              <w:t>本项目建设情况</w:t>
            </w:r>
          </w:p>
        </w:tc>
        <w:tc>
          <w:tcPr>
            <w:tcW w:w="859" w:type="dxa"/>
            <w:tcBorders>
              <w:top w:val="single" w:sz="4" w:space="0" w:color="auto"/>
              <w:left w:val="nil"/>
              <w:bottom w:val="single" w:sz="4" w:space="0" w:color="auto"/>
              <w:right w:val="single" w:sz="4" w:space="0" w:color="auto"/>
            </w:tcBorders>
            <w:vAlign w:val="center"/>
          </w:tcPr>
          <w:p w14:paraId="6995E262" w14:textId="77777777" w:rsidR="00E579B9" w:rsidRDefault="006A1398">
            <w:pPr>
              <w:pStyle w:val="aa"/>
            </w:pPr>
            <w:r>
              <w:rPr>
                <w:rFonts w:hint="eastAsia"/>
              </w:rPr>
              <w:t>相符性</w:t>
            </w:r>
          </w:p>
        </w:tc>
      </w:tr>
      <w:tr w:rsidR="00E579B9" w14:paraId="7E879460" w14:textId="77777777">
        <w:tc>
          <w:tcPr>
            <w:tcW w:w="681" w:type="dxa"/>
            <w:vMerge w:val="restart"/>
            <w:tcBorders>
              <w:top w:val="nil"/>
              <w:left w:val="single" w:sz="4" w:space="0" w:color="auto"/>
              <w:bottom w:val="single" w:sz="4" w:space="0" w:color="auto"/>
              <w:right w:val="single" w:sz="4" w:space="0" w:color="auto"/>
            </w:tcBorders>
            <w:vAlign w:val="center"/>
          </w:tcPr>
          <w:p w14:paraId="39897A5E" w14:textId="77777777" w:rsidR="00E579B9" w:rsidRDefault="006A1398">
            <w:pPr>
              <w:pStyle w:val="aa"/>
            </w:pPr>
            <w:r>
              <w:rPr>
                <w:rFonts w:hint="eastAsia"/>
              </w:rPr>
              <w:lastRenderedPageBreak/>
              <w:t>矿容矿貌</w:t>
            </w:r>
          </w:p>
        </w:tc>
        <w:tc>
          <w:tcPr>
            <w:tcW w:w="4498" w:type="dxa"/>
            <w:tcBorders>
              <w:top w:val="single" w:sz="4" w:space="0" w:color="auto"/>
              <w:left w:val="nil"/>
              <w:bottom w:val="single" w:sz="4" w:space="0" w:color="auto"/>
              <w:right w:val="single" w:sz="4" w:space="0" w:color="auto"/>
            </w:tcBorders>
            <w:vAlign w:val="center"/>
          </w:tcPr>
          <w:p w14:paraId="6A2832C6" w14:textId="77777777" w:rsidR="00E579B9" w:rsidRDefault="006A1398">
            <w:pPr>
              <w:pStyle w:val="aa"/>
            </w:pPr>
            <w:r>
              <w:rPr>
                <w:rFonts w:hint="eastAsia"/>
              </w:rPr>
              <w:t>矿区按生产区、管理区、生活区和生态区等功能分区，各功能区应符合</w:t>
            </w:r>
            <w:r>
              <w:rPr>
                <w:rFonts w:hint="eastAsia"/>
              </w:rPr>
              <w:t>GB50187</w:t>
            </w:r>
            <w:r>
              <w:rPr>
                <w:rFonts w:hint="eastAsia"/>
              </w:rPr>
              <w:t>的规定；生产、生活、管理等功能区应有相应的管理机构和管理制度，运行有序、管理规范。</w:t>
            </w:r>
          </w:p>
        </w:tc>
        <w:tc>
          <w:tcPr>
            <w:tcW w:w="2592" w:type="dxa"/>
            <w:tcBorders>
              <w:top w:val="single" w:sz="4" w:space="0" w:color="auto"/>
              <w:left w:val="nil"/>
              <w:bottom w:val="single" w:sz="4" w:space="0" w:color="auto"/>
              <w:right w:val="single" w:sz="4" w:space="0" w:color="auto"/>
            </w:tcBorders>
            <w:vAlign w:val="center"/>
          </w:tcPr>
          <w:p w14:paraId="2330D2D6" w14:textId="77777777" w:rsidR="00E579B9" w:rsidRDefault="006A1398">
            <w:pPr>
              <w:pStyle w:val="aa"/>
            </w:pPr>
            <w:r>
              <w:rPr>
                <w:rFonts w:hint="eastAsia"/>
              </w:rPr>
              <w:t>运营期按要求实施</w:t>
            </w:r>
          </w:p>
        </w:tc>
        <w:tc>
          <w:tcPr>
            <w:tcW w:w="859" w:type="dxa"/>
            <w:tcBorders>
              <w:top w:val="single" w:sz="4" w:space="0" w:color="auto"/>
              <w:left w:val="nil"/>
              <w:bottom w:val="single" w:sz="4" w:space="0" w:color="auto"/>
              <w:right w:val="single" w:sz="4" w:space="0" w:color="auto"/>
            </w:tcBorders>
            <w:vAlign w:val="center"/>
          </w:tcPr>
          <w:p w14:paraId="23152DB7" w14:textId="77777777" w:rsidR="00E579B9" w:rsidRDefault="006A1398">
            <w:pPr>
              <w:pStyle w:val="aa"/>
            </w:pPr>
            <w:r>
              <w:rPr>
                <w:rFonts w:hint="eastAsia"/>
              </w:rPr>
              <w:t>相符</w:t>
            </w:r>
          </w:p>
        </w:tc>
      </w:tr>
      <w:tr w:rsidR="00E579B9" w14:paraId="6B548393" w14:textId="77777777">
        <w:tc>
          <w:tcPr>
            <w:tcW w:w="681" w:type="dxa"/>
            <w:vMerge/>
            <w:tcBorders>
              <w:top w:val="nil"/>
              <w:left w:val="single" w:sz="4" w:space="0" w:color="auto"/>
              <w:bottom w:val="single" w:sz="4" w:space="0" w:color="auto"/>
              <w:right w:val="single" w:sz="4" w:space="0" w:color="auto"/>
            </w:tcBorders>
            <w:vAlign w:val="center"/>
          </w:tcPr>
          <w:p w14:paraId="32543158" w14:textId="77777777" w:rsidR="00E579B9" w:rsidRDefault="00E579B9">
            <w:pPr>
              <w:pStyle w:val="aa"/>
            </w:pPr>
          </w:p>
        </w:tc>
        <w:tc>
          <w:tcPr>
            <w:tcW w:w="4498" w:type="dxa"/>
            <w:tcBorders>
              <w:top w:val="single" w:sz="4" w:space="0" w:color="auto"/>
              <w:left w:val="nil"/>
              <w:bottom w:val="single" w:sz="4" w:space="0" w:color="auto"/>
              <w:right w:val="single" w:sz="4" w:space="0" w:color="auto"/>
            </w:tcBorders>
            <w:vAlign w:val="center"/>
          </w:tcPr>
          <w:p w14:paraId="62F5CA38" w14:textId="77777777" w:rsidR="00E579B9" w:rsidRDefault="006A1398">
            <w:pPr>
              <w:pStyle w:val="aa"/>
            </w:pPr>
            <w:r>
              <w:rPr>
                <w:rFonts w:hint="eastAsia"/>
              </w:rPr>
              <w:t>矿区地面道路、供水、供电、卫生、环保等配套设施齐全；在生产区应设置操作提示牌、说明牌、线路示意图等标牌，标牌符合</w:t>
            </w:r>
            <w:r>
              <w:rPr>
                <w:rFonts w:hint="eastAsia"/>
              </w:rPr>
              <w:t>GB/T13306</w:t>
            </w:r>
            <w:r>
              <w:rPr>
                <w:rFonts w:hint="eastAsia"/>
              </w:rPr>
              <w:t>的规定；在需警示安全的区域设置安全标志，安全标志符合</w:t>
            </w:r>
            <w:r>
              <w:rPr>
                <w:rFonts w:hint="eastAsia"/>
              </w:rPr>
              <w:t>GB14161</w:t>
            </w:r>
            <w:r>
              <w:rPr>
                <w:rFonts w:hint="eastAsia"/>
              </w:rPr>
              <w:t>的规定</w:t>
            </w:r>
          </w:p>
        </w:tc>
        <w:tc>
          <w:tcPr>
            <w:tcW w:w="2592" w:type="dxa"/>
            <w:tcBorders>
              <w:top w:val="single" w:sz="4" w:space="0" w:color="auto"/>
              <w:left w:val="nil"/>
              <w:bottom w:val="single" w:sz="4" w:space="0" w:color="auto"/>
              <w:right w:val="single" w:sz="4" w:space="0" w:color="auto"/>
            </w:tcBorders>
            <w:vAlign w:val="center"/>
          </w:tcPr>
          <w:p w14:paraId="0A5BAA9A" w14:textId="77777777" w:rsidR="00E579B9" w:rsidRDefault="006A1398">
            <w:pPr>
              <w:pStyle w:val="aa"/>
            </w:pPr>
            <w:r>
              <w:rPr>
                <w:rFonts w:hint="eastAsia"/>
              </w:rPr>
              <w:t>运营期按要求实施</w:t>
            </w:r>
          </w:p>
        </w:tc>
        <w:tc>
          <w:tcPr>
            <w:tcW w:w="859" w:type="dxa"/>
            <w:tcBorders>
              <w:top w:val="single" w:sz="4" w:space="0" w:color="auto"/>
              <w:left w:val="nil"/>
              <w:bottom w:val="single" w:sz="4" w:space="0" w:color="auto"/>
              <w:right w:val="single" w:sz="4" w:space="0" w:color="auto"/>
            </w:tcBorders>
            <w:vAlign w:val="center"/>
          </w:tcPr>
          <w:p w14:paraId="79AC8AC4" w14:textId="77777777" w:rsidR="00E579B9" w:rsidRDefault="006A1398">
            <w:pPr>
              <w:pStyle w:val="aa"/>
            </w:pPr>
            <w:r>
              <w:rPr>
                <w:rFonts w:hint="eastAsia"/>
              </w:rPr>
              <w:t>相符</w:t>
            </w:r>
          </w:p>
        </w:tc>
      </w:tr>
      <w:tr w:rsidR="00E579B9" w14:paraId="633AC740" w14:textId="77777777">
        <w:tc>
          <w:tcPr>
            <w:tcW w:w="681" w:type="dxa"/>
            <w:vMerge/>
            <w:tcBorders>
              <w:top w:val="nil"/>
              <w:left w:val="single" w:sz="4" w:space="0" w:color="auto"/>
              <w:bottom w:val="single" w:sz="4" w:space="0" w:color="auto"/>
              <w:right w:val="single" w:sz="4" w:space="0" w:color="auto"/>
            </w:tcBorders>
            <w:vAlign w:val="center"/>
          </w:tcPr>
          <w:p w14:paraId="2448A0B4" w14:textId="77777777" w:rsidR="00E579B9" w:rsidRDefault="00E579B9">
            <w:pPr>
              <w:pStyle w:val="aa"/>
            </w:pPr>
          </w:p>
        </w:tc>
        <w:tc>
          <w:tcPr>
            <w:tcW w:w="4498" w:type="dxa"/>
            <w:tcBorders>
              <w:top w:val="single" w:sz="4" w:space="0" w:color="auto"/>
              <w:left w:val="nil"/>
              <w:bottom w:val="single" w:sz="4" w:space="0" w:color="auto"/>
              <w:right w:val="single" w:sz="4" w:space="0" w:color="auto"/>
            </w:tcBorders>
            <w:vAlign w:val="center"/>
          </w:tcPr>
          <w:p w14:paraId="1149EE70" w14:textId="77777777" w:rsidR="00E579B9" w:rsidRDefault="006A1398">
            <w:pPr>
              <w:pStyle w:val="aa"/>
            </w:pPr>
            <w:r>
              <w:rPr>
                <w:rFonts w:hint="eastAsia"/>
              </w:rPr>
              <w:t>矿山应采用喷雾、洒水、湿式凿岩、加设除尘装置等措施处置采选、运输等过程中产生的粉尘，工作场所空气中粉尘容许浓度应符合</w:t>
            </w:r>
            <w:r>
              <w:rPr>
                <w:rFonts w:hint="eastAsia"/>
              </w:rPr>
              <w:t>GBZ2.1</w:t>
            </w:r>
            <w:r>
              <w:rPr>
                <w:rFonts w:hint="eastAsia"/>
              </w:rPr>
              <w:t>的规定。</w:t>
            </w:r>
          </w:p>
          <w:p w14:paraId="5C4CF862" w14:textId="77777777" w:rsidR="00E579B9" w:rsidRDefault="00E579B9">
            <w:pPr>
              <w:pStyle w:val="aa"/>
            </w:pPr>
          </w:p>
        </w:tc>
        <w:tc>
          <w:tcPr>
            <w:tcW w:w="2592" w:type="dxa"/>
            <w:tcBorders>
              <w:top w:val="single" w:sz="4" w:space="0" w:color="auto"/>
              <w:left w:val="nil"/>
              <w:bottom w:val="single" w:sz="4" w:space="0" w:color="auto"/>
              <w:right w:val="single" w:sz="4" w:space="0" w:color="auto"/>
            </w:tcBorders>
            <w:vAlign w:val="center"/>
          </w:tcPr>
          <w:p w14:paraId="0FE19C33" w14:textId="77777777" w:rsidR="00E579B9" w:rsidRDefault="006A1398">
            <w:pPr>
              <w:pStyle w:val="aa"/>
            </w:pPr>
            <w:r>
              <w:rPr>
                <w:rFonts w:hint="eastAsia"/>
              </w:rPr>
              <w:t>本项目挖掘机直接挖掘铲装，采用洒水降尘</w:t>
            </w:r>
          </w:p>
        </w:tc>
        <w:tc>
          <w:tcPr>
            <w:tcW w:w="859" w:type="dxa"/>
            <w:tcBorders>
              <w:top w:val="single" w:sz="4" w:space="0" w:color="auto"/>
              <w:left w:val="nil"/>
              <w:bottom w:val="single" w:sz="4" w:space="0" w:color="auto"/>
              <w:right w:val="single" w:sz="4" w:space="0" w:color="auto"/>
            </w:tcBorders>
            <w:vAlign w:val="center"/>
          </w:tcPr>
          <w:p w14:paraId="5D3206C6" w14:textId="77777777" w:rsidR="00E579B9" w:rsidRDefault="006A1398">
            <w:pPr>
              <w:pStyle w:val="aa"/>
            </w:pPr>
            <w:r>
              <w:rPr>
                <w:rFonts w:hint="eastAsia"/>
              </w:rPr>
              <w:t>相符</w:t>
            </w:r>
          </w:p>
        </w:tc>
      </w:tr>
      <w:tr w:rsidR="00E579B9" w14:paraId="137B0210" w14:textId="77777777">
        <w:tc>
          <w:tcPr>
            <w:tcW w:w="681" w:type="dxa"/>
            <w:vMerge/>
            <w:tcBorders>
              <w:top w:val="nil"/>
              <w:left w:val="single" w:sz="4" w:space="0" w:color="auto"/>
              <w:bottom w:val="single" w:sz="4" w:space="0" w:color="auto"/>
              <w:right w:val="single" w:sz="4" w:space="0" w:color="auto"/>
            </w:tcBorders>
            <w:vAlign w:val="center"/>
          </w:tcPr>
          <w:p w14:paraId="60FABC9D" w14:textId="77777777" w:rsidR="00E579B9" w:rsidRDefault="00E579B9">
            <w:pPr>
              <w:pStyle w:val="aa"/>
            </w:pPr>
          </w:p>
        </w:tc>
        <w:tc>
          <w:tcPr>
            <w:tcW w:w="4498" w:type="dxa"/>
            <w:tcBorders>
              <w:top w:val="single" w:sz="4" w:space="0" w:color="auto"/>
              <w:left w:val="nil"/>
              <w:bottom w:val="single" w:sz="4" w:space="0" w:color="auto"/>
              <w:right w:val="single" w:sz="4" w:space="0" w:color="auto"/>
            </w:tcBorders>
            <w:vAlign w:val="center"/>
          </w:tcPr>
          <w:p w14:paraId="0E22AF20" w14:textId="77777777" w:rsidR="00E579B9" w:rsidRDefault="006A1398">
            <w:pPr>
              <w:pStyle w:val="aa"/>
            </w:pPr>
            <w:r>
              <w:rPr>
                <w:rFonts w:hint="eastAsia"/>
              </w:rPr>
              <w:t>矿山尾矿、废石等固体废弃物应有专用贮存、处置场所，其建设、运行和监督管理应符合</w:t>
            </w:r>
            <w:r>
              <w:rPr>
                <w:rFonts w:hint="eastAsia"/>
              </w:rPr>
              <w:t>GB18599</w:t>
            </w:r>
            <w:r>
              <w:rPr>
                <w:rFonts w:hint="eastAsia"/>
              </w:rPr>
              <w:t>的规定</w:t>
            </w:r>
          </w:p>
        </w:tc>
        <w:tc>
          <w:tcPr>
            <w:tcW w:w="2592" w:type="dxa"/>
            <w:tcBorders>
              <w:top w:val="single" w:sz="4" w:space="0" w:color="auto"/>
              <w:left w:val="nil"/>
              <w:bottom w:val="single" w:sz="4" w:space="0" w:color="auto"/>
              <w:right w:val="single" w:sz="4" w:space="0" w:color="auto"/>
            </w:tcBorders>
            <w:vAlign w:val="center"/>
          </w:tcPr>
          <w:p w14:paraId="63A51B2A" w14:textId="77777777" w:rsidR="00E579B9" w:rsidRDefault="006A1398">
            <w:pPr>
              <w:pStyle w:val="aa"/>
            </w:pPr>
            <w:r>
              <w:rPr>
                <w:rFonts w:hint="eastAsia"/>
              </w:rPr>
              <w:t>不涉及尾矿和废石，剥离表土妥善暂存至表土临时堆场用于生态恢复覆土</w:t>
            </w:r>
          </w:p>
        </w:tc>
        <w:tc>
          <w:tcPr>
            <w:tcW w:w="859" w:type="dxa"/>
            <w:tcBorders>
              <w:top w:val="single" w:sz="4" w:space="0" w:color="auto"/>
              <w:left w:val="nil"/>
              <w:bottom w:val="single" w:sz="4" w:space="0" w:color="auto"/>
              <w:right w:val="single" w:sz="4" w:space="0" w:color="auto"/>
            </w:tcBorders>
            <w:vAlign w:val="center"/>
          </w:tcPr>
          <w:p w14:paraId="50101178" w14:textId="77777777" w:rsidR="00E579B9" w:rsidRDefault="006A1398">
            <w:pPr>
              <w:pStyle w:val="aa"/>
            </w:pPr>
            <w:r>
              <w:rPr>
                <w:rFonts w:hint="eastAsia"/>
              </w:rPr>
              <w:t>相符</w:t>
            </w:r>
          </w:p>
        </w:tc>
      </w:tr>
      <w:tr w:rsidR="00E579B9" w14:paraId="28796B63" w14:textId="77777777">
        <w:tc>
          <w:tcPr>
            <w:tcW w:w="681" w:type="dxa"/>
            <w:vMerge/>
            <w:tcBorders>
              <w:top w:val="nil"/>
              <w:left w:val="single" w:sz="4" w:space="0" w:color="auto"/>
              <w:bottom w:val="single" w:sz="4" w:space="0" w:color="auto"/>
              <w:right w:val="single" w:sz="4" w:space="0" w:color="auto"/>
            </w:tcBorders>
            <w:vAlign w:val="center"/>
          </w:tcPr>
          <w:p w14:paraId="710ACEA4" w14:textId="77777777" w:rsidR="00E579B9" w:rsidRDefault="00E579B9">
            <w:pPr>
              <w:pStyle w:val="aa"/>
            </w:pPr>
          </w:p>
        </w:tc>
        <w:tc>
          <w:tcPr>
            <w:tcW w:w="4498" w:type="dxa"/>
            <w:tcBorders>
              <w:top w:val="single" w:sz="4" w:space="0" w:color="auto"/>
              <w:left w:val="nil"/>
              <w:bottom w:val="single" w:sz="4" w:space="0" w:color="auto"/>
              <w:right w:val="single" w:sz="4" w:space="0" w:color="auto"/>
            </w:tcBorders>
            <w:vAlign w:val="center"/>
          </w:tcPr>
          <w:p w14:paraId="46A65793" w14:textId="77777777" w:rsidR="00E579B9" w:rsidRDefault="006A1398">
            <w:pPr>
              <w:pStyle w:val="aa"/>
            </w:pPr>
            <w:r>
              <w:rPr>
                <w:rFonts w:hint="eastAsia"/>
              </w:rPr>
              <w:t>矿山应实施清污分流，污水排放应符合</w:t>
            </w:r>
            <w:r>
              <w:rPr>
                <w:rFonts w:hint="eastAsia"/>
              </w:rPr>
              <w:t>GB8978</w:t>
            </w:r>
            <w:r>
              <w:rPr>
                <w:rFonts w:hint="eastAsia"/>
              </w:rPr>
              <w:t>的规定</w:t>
            </w:r>
          </w:p>
        </w:tc>
        <w:tc>
          <w:tcPr>
            <w:tcW w:w="2592" w:type="dxa"/>
            <w:tcBorders>
              <w:top w:val="single" w:sz="4" w:space="0" w:color="auto"/>
              <w:left w:val="nil"/>
              <w:bottom w:val="single" w:sz="4" w:space="0" w:color="auto"/>
              <w:right w:val="single" w:sz="4" w:space="0" w:color="auto"/>
            </w:tcBorders>
            <w:vAlign w:val="center"/>
          </w:tcPr>
          <w:p w14:paraId="767A6EC0" w14:textId="77777777" w:rsidR="00E579B9" w:rsidRDefault="006A1398">
            <w:pPr>
              <w:pStyle w:val="aa"/>
            </w:pPr>
            <w:r>
              <w:rPr>
                <w:rFonts w:hint="eastAsia"/>
              </w:rPr>
              <w:t>矿山初期雨水、车辆清洗废水、生活污水综合利用不外排</w:t>
            </w:r>
          </w:p>
        </w:tc>
        <w:tc>
          <w:tcPr>
            <w:tcW w:w="859" w:type="dxa"/>
            <w:tcBorders>
              <w:top w:val="single" w:sz="4" w:space="0" w:color="auto"/>
              <w:left w:val="nil"/>
              <w:bottom w:val="single" w:sz="4" w:space="0" w:color="auto"/>
              <w:right w:val="single" w:sz="4" w:space="0" w:color="auto"/>
            </w:tcBorders>
            <w:vAlign w:val="center"/>
          </w:tcPr>
          <w:p w14:paraId="51F7BF79" w14:textId="77777777" w:rsidR="00E579B9" w:rsidRDefault="006A1398">
            <w:pPr>
              <w:pStyle w:val="aa"/>
            </w:pPr>
            <w:r>
              <w:rPr>
                <w:rFonts w:hint="eastAsia"/>
              </w:rPr>
              <w:t>相符</w:t>
            </w:r>
          </w:p>
        </w:tc>
      </w:tr>
      <w:tr w:rsidR="00E579B9" w14:paraId="351A7026" w14:textId="77777777">
        <w:tc>
          <w:tcPr>
            <w:tcW w:w="681" w:type="dxa"/>
            <w:vMerge/>
            <w:tcBorders>
              <w:top w:val="nil"/>
              <w:left w:val="single" w:sz="4" w:space="0" w:color="auto"/>
              <w:bottom w:val="single" w:sz="4" w:space="0" w:color="auto"/>
              <w:right w:val="single" w:sz="4" w:space="0" w:color="auto"/>
            </w:tcBorders>
            <w:vAlign w:val="center"/>
          </w:tcPr>
          <w:p w14:paraId="5519740E" w14:textId="77777777" w:rsidR="00E579B9" w:rsidRDefault="00E579B9">
            <w:pPr>
              <w:pStyle w:val="aa"/>
            </w:pPr>
          </w:p>
        </w:tc>
        <w:tc>
          <w:tcPr>
            <w:tcW w:w="4498" w:type="dxa"/>
            <w:tcBorders>
              <w:top w:val="single" w:sz="4" w:space="0" w:color="auto"/>
              <w:left w:val="nil"/>
              <w:bottom w:val="single" w:sz="4" w:space="0" w:color="auto"/>
              <w:right w:val="single" w:sz="4" w:space="0" w:color="auto"/>
            </w:tcBorders>
            <w:vAlign w:val="center"/>
          </w:tcPr>
          <w:p w14:paraId="4C8614AD" w14:textId="77777777" w:rsidR="00E579B9" w:rsidRDefault="006A1398">
            <w:pPr>
              <w:pStyle w:val="aa"/>
            </w:pPr>
            <w:r>
              <w:rPr>
                <w:rFonts w:hint="eastAsia"/>
              </w:rPr>
              <w:t>矿山应具备废气处理设施，气体排放应符合</w:t>
            </w:r>
            <w:r>
              <w:rPr>
                <w:rFonts w:hint="eastAsia"/>
              </w:rPr>
              <w:t>GB3095</w:t>
            </w:r>
            <w:r>
              <w:rPr>
                <w:rFonts w:hint="eastAsia"/>
              </w:rPr>
              <w:t>和</w:t>
            </w:r>
            <w:r>
              <w:rPr>
                <w:rFonts w:hint="eastAsia"/>
              </w:rPr>
              <w:t>GB16297</w:t>
            </w:r>
            <w:r>
              <w:rPr>
                <w:rFonts w:hint="eastAsia"/>
              </w:rPr>
              <w:t>的规定</w:t>
            </w:r>
          </w:p>
        </w:tc>
        <w:tc>
          <w:tcPr>
            <w:tcW w:w="2592" w:type="dxa"/>
            <w:tcBorders>
              <w:top w:val="single" w:sz="4" w:space="0" w:color="auto"/>
              <w:left w:val="nil"/>
              <w:bottom w:val="single" w:sz="4" w:space="0" w:color="auto"/>
              <w:right w:val="single" w:sz="4" w:space="0" w:color="auto"/>
            </w:tcBorders>
            <w:vAlign w:val="center"/>
          </w:tcPr>
          <w:p w14:paraId="4ED417A6" w14:textId="77777777" w:rsidR="00E579B9" w:rsidRDefault="006A1398">
            <w:pPr>
              <w:pStyle w:val="aa"/>
            </w:pPr>
            <w:r>
              <w:rPr>
                <w:rFonts w:hint="eastAsia"/>
              </w:rPr>
              <w:t>本次评价提出相应防尘措施，不改变区域环境空气功能</w:t>
            </w:r>
          </w:p>
        </w:tc>
        <w:tc>
          <w:tcPr>
            <w:tcW w:w="859" w:type="dxa"/>
            <w:tcBorders>
              <w:top w:val="single" w:sz="4" w:space="0" w:color="auto"/>
              <w:left w:val="nil"/>
              <w:bottom w:val="single" w:sz="4" w:space="0" w:color="auto"/>
              <w:right w:val="single" w:sz="4" w:space="0" w:color="auto"/>
            </w:tcBorders>
            <w:vAlign w:val="center"/>
          </w:tcPr>
          <w:p w14:paraId="399C1D3D" w14:textId="77777777" w:rsidR="00E579B9" w:rsidRDefault="006A1398">
            <w:pPr>
              <w:pStyle w:val="aa"/>
            </w:pPr>
            <w:r>
              <w:rPr>
                <w:rFonts w:hint="eastAsia"/>
              </w:rPr>
              <w:t>相符</w:t>
            </w:r>
          </w:p>
        </w:tc>
      </w:tr>
      <w:tr w:rsidR="00E579B9" w14:paraId="023C197D" w14:textId="77777777">
        <w:tc>
          <w:tcPr>
            <w:tcW w:w="681" w:type="dxa"/>
            <w:vMerge/>
            <w:tcBorders>
              <w:top w:val="nil"/>
              <w:left w:val="single" w:sz="4" w:space="0" w:color="auto"/>
              <w:bottom w:val="single" w:sz="4" w:space="0" w:color="auto"/>
              <w:right w:val="single" w:sz="4" w:space="0" w:color="auto"/>
            </w:tcBorders>
            <w:vAlign w:val="center"/>
          </w:tcPr>
          <w:p w14:paraId="524D241E" w14:textId="77777777" w:rsidR="00E579B9" w:rsidRDefault="00E579B9">
            <w:pPr>
              <w:pStyle w:val="aa"/>
            </w:pPr>
          </w:p>
        </w:tc>
        <w:tc>
          <w:tcPr>
            <w:tcW w:w="4498" w:type="dxa"/>
            <w:tcBorders>
              <w:top w:val="single" w:sz="4" w:space="0" w:color="auto"/>
              <w:left w:val="nil"/>
              <w:bottom w:val="single" w:sz="4" w:space="0" w:color="auto"/>
              <w:right w:val="single" w:sz="4" w:space="0" w:color="auto"/>
            </w:tcBorders>
            <w:vAlign w:val="center"/>
          </w:tcPr>
          <w:p w14:paraId="746F6338" w14:textId="77777777" w:rsidR="00E579B9" w:rsidRDefault="006A1398">
            <w:pPr>
              <w:pStyle w:val="aa"/>
            </w:pPr>
            <w:r>
              <w:rPr>
                <w:rFonts w:hint="eastAsia"/>
              </w:rPr>
              <w:t>矿山应采取消声、减振、隔振等措施降低采选、运输等过程中产生的噪声，厂界环境噪声排放限值应符合</w:t>
            </w:r>
            <w:r>
              <w:rPr>
                <w:rFonts w:hint="eastAsia"/>
              </w:rPr>
              <w:t>GB12348</w:t>
            </w:r>
            <w:r>
              <w:rPr>
                <w:rFonts w:hint="eastAsia"/>
              </w:rPr>
              <w:t>的规定。</w:t>
            </w:r>
          </w:p>
        </w:tc>
        <w:tc>
          <w:tcPr>
            <w:tcW w:w="2592" w:type="dxa"/>
            <w:tcBorders>
              <w:top w:val="single" w:sz="4" w:space="0" w:color="auto"/>
              <w:left w:val="nil"/>
              <w:bottom w:val="single" w:sz="4" w:space="0" w:color="auto"/>
              <w:right w:val="single" w:sz="4" w:space="0" w:color="auto"/>
            </w:tcBorders>
            <w:vAlign w:val="center"/>
          </w:tcPr>
          <w:p w14:paraId="703E50C1" w14:textId="77777777" w:rsidR="00E579B9" w:rsidRDefault="006A1398">
            <w:pPr>
              <w:pStyle w:val="aa"/>
            </w:pPr>
            <w:r>
              <w:rPr>
                <w:rFonts w:hint="eastAsia"/>
              </w:rPr>
              <w:t>根据采用设备情况采取降噪措施</w:t>
            </w:r>
          </w:p>
        </w:tc>
        <w:tc>
          <w:tcPr>
            <w:tcW w:w="859" w:type="dxa"/>
            <w:tcBorders>
              <w:top w:val="single" w:sz="4" w:space="0" w:color="auto"/>
              <w:left w:val="nil"/>
              <w:bottom w:val="single" w:sz="4" w:space="0" w:color="auto"/>
              <w:right w:val="single" w:sz="4" w:space="0" w:color="auto"/>
            </w:tcBorders>
            <w:vAlign w:val="center"/>
          </w:tcPr>
          <w:p w14:paraId="21ACEE3B" w14:textId="77777777" w:rsidR="00E579B9" w:rsidRDefault="006A1398">
            <w:pPr>
              <w:pStyle w:val="aa"/>
            </w:pPr>
            <w:r>
              <w:rPr>
                <w:rFonts w:hint="eastAsia"/>
              </w:rPr>
              <w:t>相符</w:t>
            </w:r>
          </w:p>
        </w:tc>
      </w:tr>
      <w:tr w:rsidR="00E579B9" w14:paraId="48689E75" w14:textId="77777777">
        <w:tc>
          <w:tcPr>
            <w:tcW w:w="681" w:type="dxa"/>
            <w:tcBorders>
              <w:top w:val="single" w:sz="4" w:space="0" w:color="auto"/>
              <w:left w:val="single" w:sz="4" w:space="0" w:color="auto"/>
              <w:bottom w:val="single" w:sz="4" w:space="0" w:color="auto"/>
              <w:right w:val="single" w:sz="4" w:space="0" w:color="auto"/>
            </w:tcBorders>
            <w:vAlign w:val="center"/>
          </w:tcPr>
          <w:p w14:paraId="56AA91E5" w14:textId="77777777" w:rsidR="00E579B9" w:rsidRDefault="006A1398">
            <w:pPr>
              <w:pStyle w:val="aa"/>
            </w:pPr>
            <w:r>
              <w:rPr>
                <w:rFonts w:hint="eastAsia"/>
              </w:rPr>
              <w:t>矿区绿化</w:t>
            </w:r>
          </w:p>
        </w:tc>
        <w:tc>
          <w:tcPr>
            <w:tcW w:w="4498" w:type="dxa"/>
            <w:tcBorders>
              <w:top w:val="single" w:sz="4" w:space="0" w:color="auto"/>
              <w:left w:val="nil"/>
              <w:bottom w:val="single" w:sz="4" w:space="0" w:color="auto"/>
              <w:right w:val="single" w:sz="4" w:space="0" w:color="auto"/>
            </w:tcBorders>
            <w:vAlign w:val="center"/>
          </w:tcPr>
          <w:p w14:paraId="68ABF4F4" w14:textId="77777777" w:rsidR="00E579B9" w:rsidRDefault="006A1398">
            <w:pPr>
              <w:pStyle w:val="aa"/>
            </w:pPr>
            <w:r>
              <w:rPr>
                <w:rFonts w:hint="eastAsia"/>
              </w:rPr>
              <w:t>矿区绿化应与周边自然环境和景观相协调，绿化植物搭配合理，矿区绿化覆盖率应达到</w:t>
            </w:r>
            <w:r>
              <w:rPr>
                <w:rFonts w:hint="eastAsia"/>
              </w:rPr>
              <w:t>100%</w:t>
            </w:r>
            <w:r>
              <w:rPr>
                <w:rFonts w:hint="eastAsia"/>
              </w:rPr>
              <w:t>。</w:t>
            </w:r>
          </w:p>
        </w:tc>
        <w:tc>
          <w:tcPr>
            <w:tcW w:w="2592" w:type="dxa"/>
            <w:tcBorders>
              <w:top w:val="single" w:sz="4" w:space="0" w:color="auto"/>
              <w:left w:val="nil"/>
              <w:bottom w:val="single" w:sz="4" w:space="0" w:color="auto"/>
              <w:right w:val="single" w:sz="4" w:space="0" w:color="auto"/>
            </w:tcBorders>
            <w:vAlign w:val="center"/>
          </w:tcPr>
          <w:p w14:paraId="27E121AA" w14:textId="77777777" w:rsidR="00E579B9" w:rsidRDefault="006A1398">
            <w:pPr>
              <w:pStyle w:val="aa"/>
            </w:pPr>
            <w:r>
              <w:rPr>
                <w:rFonts w:hint="eastAsia"/>
              </w:rPr>
              <w:t>运营期对可绿化区域全部进行绿化</w:t>
            </w:r>
          </w:p>
        </w:tc>
        <w:tc>
          <w:tcPr>
            <w:tcW w:w="859" w:type="dxa"/>
            <w:tcBorders>
              <w:top w:val="single" w:sz="4" w:space="0" w:color="auto"/>
              <w:left w:val="nil"/>
              <w:bottom w:val="single" w:sz="4" w:space="0" w:color="auto"/>
              <w:right w:val="single" w:sz="4" w:space="0" w:color="auto"/>
            </w:tcBorders>
            <w:vAlign w:val="center"/>
          </w:tcPr>
          <w:p w14:paraId="02D53541" w14:textId="77777777" w:rsidR="00E579B9" w:rsidRDefault="006A1398">
            <w:pPr>
              <w:pStyle w:val="aa"/>
            </w:pPr>
            <w:r>
              <w:rPr>
                <w:rFonts w:hint="eastAsia"/>
              </w:rPr>
              <w:t>相符</w:t>
            </w:r>
          </w:p>
        </w:tc>
      </w:tr>
      <w:tr w:rsidR="00E579B9" w14:paraId="641F20B6" w14:textId="77777777">
        <w:tc>
          <w:tcPr>
            <w:tcW w:w="681" w:type="dxa"/>
            <w:vMerge w:val="restart"/>
            <w:tcBorders>
              <w:top w:val="nil"/>
              <w:left w:val="single" w:sz="4" w:space="0" w:color="auto"/>
              <w:bottom w:val="single" w:sz="4" w:space="0" w:color="auto"/>
              <w:right w:val="single" w:sz="4" w:space="0" w:color="auto"/>
            </w:tcBorders>
            <w:vAlign w:val="center"/>
          </w:tcPr>
          <w:p w14:paraId="7093CFE9" w14:textId="77777777" w:rsidR="00E579B9" w:rsidRDefault="006A1398">
            <w:pPr>
              <w:pStyle w:val="aa"/>
            </w:pPr>
            <w:r>
              <w:rPr>
                <w:rFonts w:hint="eastAsia"/>
              </w:rPr>
              <w:t>绿色开发</w:t>
            </w:r>
          </w:p>
        </w:tc>
        <w:tc>
          <w:tcPr>
            <w:tcW w:w="4498" w:type="dxa"/>
            <w:tcBorders>
              <w:top w:val="single" w:sz="4" w:space="0" w:color="auto"/>
              <w:left w:val="nil"/>
              <w:bottom w:val="single" w:sz="4" w:space="0" w:color="auto"/>
              <w:right w:val="single" w:sz="4" w:space="0" w:color="auto"/>
            </w:tcBorders>
            <w:vAlign w:val="center"/>
          </w:tcPr>
          <w:p w14:paraId="719C1394" w14:textId="77777777" w:rsidR="00E579B9" w:rsidRDefault="006A1398">
            <w:pPr>
              <w:pStyle w:val="aa"/>
            </w:pPr>
            <w:r>
              <w:rPr>
                <w:rFonts w:hint="eastAsia"/>
              </w:rPr>
              <w:t>露天开采宜采用剥离</w:t>
            </w:r>
            <w:r>
              <w:rPr>
                <w:rFonts w:hint="eastAsia"/>
              </w:rPr>
              <w:t>-</w:t>
            </w:r>
            <w:r>
              <w:rPr>
                <w:rFonts w:hint="eastAsia"/>
              </w:rPr>
              <w:t>排土</w:t>
            </w:r>
            <w:r>
              <w:rPr>
                <w:rFonts w:hint="eastAsia"/>
              </w:rPr>
              <w:t>-</w:t>
            </w:r>
            <w:r>
              <w:rPr>
                <w:rFonts w:hint="eastAsia"/>
              </w:rPr>
              <w:t>开采</w:t>
            </w:r>
            <w:r>
              <w:rPr>
                <w:rFonts w:hint="eastAsia"/>
              </w:rPr>
              <w:t>-</w:t>
            </w:r>
            <w:r>
              <w:rPr>
                <w:rFonts w:hint="eastAsia"/>
              </w:rPr>
              <w:t>造地</w:t>
            </w:r>
            <w:r>
              <w:rPr>
                <w:rFonts w:hint="eastAsia"/>
              </w:rPr>
              <w:t>-</w:t>
            </w:r>
            <w:r>
              <w:rPr>
                <w:rFonts w:hint="eastAsia"/>
              </w:rPr>
              <w:t>复垦技术，露天矿边坡工程的设计、勘察、稳定性评价、监测和治理应符合</w:t>
            </w:r>
            <w:r>
              <w:rPr>
                <w:rFonts w:hint="eastAsia"/>
              </w:rPr>
              <w:t>GB51016</w:t>
            </w:r>
            <w:r>
              <w:rPr>
                <w:rFonts w:hint="eastAsia"/>
              </w:rPr>
              <w:t>的规定。地下开采应根据矿石、围岩等地质条件，结合矿山技术条件和经济因素，选择合理的可减轻地表沉陷的技术。</w:t>
            </w:r>
          </w:p>
        </w:tc>
        <w:tc>
          <w:tcPr>
            <w:tcW w:w="2592" w:type="dxa"/>
            <w:tcBorders>
              <w:top w:val="single" w:sz="4" w:space="0" w:color="auto"/>
              <w:left w:val="nil"/>
              <w:bottom w:val="single" w:sz="4" w:space="0" w:color="auto"/>
              <w:right w:val="single" w:sz="4" w:space="0" w:color="auto"/>
            </w:tcBorders>
            <w:vAlign w:val="center"/>
          </w:tcPr>
          <w:p w14:paraId="0BA81160" w14:textId="77777777" w:rsidR="00E579B9" w:rsidRDefault="006A1398">
            <w:pPr>
              <w:pStyle w:val="aa"/>
            </w:pPr>
            <w:r>
              <w:rPr>
                <w:rFonts w:hint="eastAsia"/>
              </w:rPr>
              <w:t>项目采用露天开采，运营期采用边开采边恢复措施</w:t>
            </w:r>
          </w:p>
        </w:tc>
        <w:tc>
          <w:tcPr>
            <w:tcW w:w="859" w:type="dxa"/>
            <w:tcBorders>
              <w:top w:val="single" w:sz="4" w:space="0" w:color="auto"/>
              <w:left w:val="nil"/>
              <w:bottom w:val="single" w:sz="4" w:space="0" w:color="auto"/>
              <w:right w:val="single" w:sz="4" w:space="0" w:color="auto"/>
            </w:tcBorders>
            <w:vAlign w:val="center"/>
          </w:tcPr>
          <w:p w14:paraId="49AF460C" w14:textId="77777777" w:rsidR="00E579B9" w:rsidRDefault="006A1398">
            <w:pPr>
              <w:pStyle w:val="aa"/>
            </w:pPr>
            <w:r>
              <w:rPr>
                <w:rFonts w:hint="eastAsia"/>
              </w:rPr>
              <w:t>相符</w:t>
            </w:r>
          </w:p>
        </w:tc>
      </w:tr>
      <w:tr w:rsidR="00E579B9" w14:paraId="4956C198" w14:textId="77777777">
        <w:tc>
          <w:tcPr>
            <w:tcW w:w="681" w:type="dxa"/>
            <w:vMerge/>
            <w:tcBorders>
              <w:top w:val="nil"/>
              <w:left w:val="single" w:sz="4" w:space="0" w:color="auto"/>
              <w:bottom w:val="single" w:sz="4" w:space="0" w:color="auto"/>
              <w:right w:val="single" w:sz="4" w:space="0" w:color="auto"/>
            </w:tcBorders>
            <w:vAlign w:val="center"/>
          </w:tcPr>
          <w:p w14:paraId="1936C49B" w14:textId="77777777" w:rsidR="00E579B9" w:rsidRDefault="00E579B9">
            <w:pPr>
              <w:pStyle w:val="aa"/>
            </w:pPr>
          </w:p>
        </w:tc>
        <w:tc>
          <w:tcPr>
            <w:tcW w:w="4498" w:type="dxa"/>
            <w:tcBorders>
              <w:top w:val="single" w:sz="4" w:space="0" w:color="auto"/>
              <w:left w:val="nil"/>
              <w:bottom w:val="single" w:sz="4" w:space="0" w:color="auto"/>
              <w:right w:val="single" w:sz="4" w:space="0" w:color="auto"/>
            </w:tcBorders>
            <w:vAlign w:val="center"/>
          </w:tcPr>
          <w:p w14:paraId="652123A8" w14:textId="77777777" w:rsidR="00E579B9" w:rsidRDefault="006A1398">
            <w:pPr>
              <w:pStyle w:val="aa"/>
            </w:pPr>
            <w:r>
              <w:rPr>
                <w:rFonts w:hint="eastAsia"/>
              </w:rPr>
              <w:t>矿产资源开发利用指标应符合当地产业政策及准入条件等规定，部分矿种矿山回采率、选矿回收率和综合利用率指标应达到国土资源部公告发布的“三率”最低指标要求</w:t>
            </w:r>
          </w:p>
        </w:tc>
        <w:tc>
          <w:tcPr>
            <w:tcW w:w="2592" w:type="dxa"/>
            <w:tcBorders>
              <w:top w:val="single" w:sz="4" w:space="0" w:color="auto"/>
              <w:left w:val="nil"/>
              <w:bottom w:val="single" w:sz="4" w:space="0" w:color="auto"/>
              <w:right w:val="single" w:sz="4" w:space="0" w:color="auto"/>
            </w:tcBorders>
            <w:vAlign w:val="center"/>
          </w:tcPr>
          <w:p w14:paraId="4361CA75" w14:textId="77777777" w:rsidR="00E579B9" w:rsidRDefault="006A1398">
            <w:pPr>
              <w:pStyle w:val="aa"/>
            </w:pPr>
            <w:r>
              <w:rPr>
                <w:rFonts w:hint="eastAsia"/>
              </w:rPr>
              <w:t>“三率”最低指标满足要求</w:t>
            </w:r>
          </w:p>
        </w:tc>
        <w:tc>
          <w:tcPr>
            <w:tcW w:w="859" w:type="dxa"/>
            <w:tcBorders>
              <w:top w:val="single" w:sz="4" w:space="0" w:color="auto"/>
              <w:left w:val="nil"/>
              <w:bottom w:val="single" w:sz="4" w:space="0" w:color="auto"/>
              <w:right w:val="single" w:sz="4" w:space="0" w:color="auto"/>
            </w:tcBorders>
            <w:vAlign w:val="center"/>
          </w:tcPr>
          <w:p w14:paraId="19A0CFF6" w14:textId="77777777" w:rsidR="00E579B9" w:rsidRDefault="006A1398">
            <w:pPr>
              <w:pStyle w:val="aa"/>
            </w:pPr>
            <w:r>
              <w:rPr>
                <w:rFonts w:hint="eastAsia"/>
              </w:rPr>
              <w:t>相符</w:t>
            </w:r>
          </w:p>
        </w:tc>
      </w:tr>
      <w:tr w:rsidR="00E579B9" w14:paraId="73560CC7" w14:textId="77777777">
        <w:tc>
          <w:tcPr>
            <w:tcW w:w="681" w:type="dxa"/>
            <w:vMerge w:val="restart"/>
            <w:tcBorders>
              <w:top w:val="nil"/>
              <w:left w:val="single" w:sz="4" w:space="0" w:color="auto"/>
              <w:bottom w:val="single" w:sz="4" w:space="0" w:color="auto"/>
              <w:right w:val="single" w:sz="4" w:space="0" w:color="auto"/>
            </w:tcBorders>
            <w:vAlign w:val="center"/>
          </w:tcPr>
          <w:p w14:paraId="204DCB06" w14:textId="77777777" w:rsidR="00E579B9" w:rsidRDefault="006A1398">
            <w:pPr>
              <w:pStyle w:val="aa"/>
            </w:pPr>
            <w:r>
              <w:rPr>
                <w:rFonts w:hint="eastAsia"/>
              </w:rPr>
              <w:t>生态环境保护与恢复</w:t>
            </w:r>
          </w:p>
        </w:tc>
        <w:tc>
          <w:tcPr>
            <w:tcW w:w="4498" w:type="dxa"/>
            <w:tcBorders>
              <w:top w:val="single" w:sz="4" w:space="0" w:color="auto"/>
              <w:left w:val="nil"/>
              <w:bottom w:val="single" w:sz="4" w:space="0" w:color="auto"/>
              <w:right w:val="single" w:sz="4" w:space="0" w:color="auto"/>
            </w:tcBorders>
            <w:vAlign w:val="center"/>
          </w:tcPr>
          <w:p w14:paraId="637260BF" w14:textId="77777777" w:rsidR="00E579B9" w:rsidRDefault="006A1398">
            <w:pPr>
              <w:pStyle w:val="aa"/>
            </w:pPr>
            <w:r>
              <w:rPr>
                <w:rFonts w:hint="eastAsia"/>
              </w:rPr>
              <w:t>按照矿山地质环境保护与土地复垦方案，建立责任机制，将治理和复垦与生产建设活动统一部署、统筹实施，制定年度计划，及时完成地质环境治理和土地复垦。</w:t>
            </w:r>
          </w:p>
        </w:tc>
        <w:tc>
          <w:tcPr>
            <w:tcW w:w="2592" w:type="dxa"/>
            <w:tcBorders>
              <w:top w:val="single" w:sz="4" w:space="0" w:color="auto"/>
              <w:left w:val="nil"/>
              <w:bottom w:val="single" w:sz="4" w:space="0" w:color="auto"/>
              <w:right w:val="single" w:sz="4" w:space="0" w:color="auto"/>
            </w:tcBorders>
            <w:vAlign w:val="center"/>
          </w:tcPr>
          <w:p w14:paraId="35F668BD" w14:textId="77777777" w:rsidR="00E579B9" w:rsidRDefault="006A1398">
            <w:pPr>
              <w:pStyle w:val="aa"/>
            </w:pPr>
            <w:r>
              <w:rPr>
                <w:rFonts w:hint="eastAsia"/>
              </w:rPr>
              <w:t>项目已编制矿山地质环境保护与土地复垦方案，运营期按照方案落实</w:t>
            </w:r>
          </w:p>
        </w:tc>
        <w:tc>
          <w:tcPr>
            <w:tcW w:w="859" w:type="dxa"/>
            <w:tcBorders>
              <w:top w:val="single" w:sz="4" w:space="0" w:color="auto"/>
              <w:left w:val="nil"/>
              <w:bottom w:val="single" w:sz="4" w:space="0" w:color="auto"/>
              <w:right w:val="single" w:sz="4" w:space="0" w:color="auto"/>
            </w:tcBorders>
            <w:vAlign w:val="center"/>
          </w:tcPr>
          <w:p w14:paraId="491CDCF9" w14:textId="77777777" w:rsidR="00E579B9" w:rsidRDefault="006A1398">
            <w:pPr>
              <w:pStyle w:val="aa"/>
            </w:pPr>
            <w:r>
              <w:rPr>
                <w:rFonts w:hint="eastAsia"/>
              </w:rPr>
              <w:t>相符</w:t>
            </w:r>
          </w:p>
        </w:tc>
      </w:tr>
      <w:tr w:rsidR="00E579B9" w14:paraId="68A78872" w14:textId="77777777">
        <w:tc>
          <w:tcPr>
            <w:tcW w:w="681" w:type="dxa"/>
            <w:vMerge/>
            <w:tcBorders>
              <w:top w:val="nil"/>
              <w:left w:val="single" w:sz="4" w:space="0" w:color="auto"/>
              <w:bottom w:val="single" w:sz="4" w:space="0" w:color="auto"/>
              <w:right w:val="single" w:sz="4" w:space="0" w:color="auto"/>
            </w:tcBorders>
            <w:vAlign w:val="center"/>
          </w:tcPr>
          <w:p w14:paraId="473523B5" w14:textId="77777777" w:rsidR="00E579B9" w:rsidRDefault="00E579B9">
            <w:pPr>
              <w:pStyle w:val="aa"/>
            </w:pPr>
          </w:p>
        </w:tc>
        <w:tc>
          <w:tcPr>
            <w:tcW w:w="4498" w:type="dxa"/>
            <w:tcBorders>
              <w:top w:val="single" w:sz="4" w:space="0" w:color="auto"/>
              <w:left w:val="nil"/>
              <w:bottom w:val="single" w:sz="4" w:space="0" w:color="auto"/>
              <w:right w:val="single" w:sz="4" w:space="0" w:color="auto"/>
            </w:tcBorders>
            <w:vAlign w:val="center"/>
          </w:tcPr>
          <w:p w14:paraId="5CA7A281" w14:textId="77777777" w:rsidR="00E579B9" w:rsidRDefault="006A1398">
            <w:pPr>
              <w:pStyle w:val="aa"/>
            </w:pPr>
            <w:r>
              <w:rPr>
                <w:rFonts w:hint="eastAsia"/>
              </w:rPr>
              <w:t>应建立环境监测机制，配备管理人员和监测人员</w:t>
            </w:r>
          </w:p>
        </w:tc>
        <w:tc>
          <w:tcPr>
            <w:tcW w:w="2592" w:type="dxa"/>
            <w:tcBorders>
              <w:top w:val="single" w:sz="4" w:space="0" w:color="auto"/>
              <w:left w:val="nil"/>
              <w:bottom w:val="single" w:sz="4" w:space="0" w:color="auto"/>
              <w:right w:val="single" w:sz="4" w:space="0" w:color="auto"/>
            </w:tcBorders>
            <w:vAlign w:val="center"/>
          </w:tcPr>
          <w:p w14:paraId="26122135" w14:textId="77777777" w:rsidR="00E579B9" w:rsidRDefault="006A1398">
            <w:pPr>
              <w:pStyle w:val="aa"/>
            </w:pPr>
            <w:r>
              <w:rPr>
                <w:rFonts w:hint="eastAsia"/>
              </w:rPr>
              <w:t>本次评价提出环境管理和环境监测计划，运营期进行落实</w:t>
            </w:r>
          </w:p>
        </w:tc>
        <w:tc>
          <w:tcPr>
            <w:tcW w:w="859" w:type="dxa"/>
            <w:tcBorders>
              <w:top w:val="single" w:sz="4" w:space="0" w:color="auto"/>
              <w:left w:val="nil"/>
              <w:bottom w:val="single" w:sz="4" w:space="0" w:color="auto"/>
              <w:right w:val="single" w:sz="4" w:space="0" w:color="auto"/>
            </w:tcBorders>
            <w:vAlign w:val="center"/>
          </w:tcPr>
          <w:p w14:paraId="2090A8C6" w14:textId="77777777" w:rsidR="00E579B9" w:rsidRDefault="006A1398">
            <w:pPr>
              <w:pStyle w:val="aa"/>
            </w:pPr>
            <w:r>
              <w:rPr>
                <w:rFonts w:hint="eastAsia"/>
              </w:rPr>
              <w:t>相符</w:t>
            </w:r>
          </w:p>
        </w:tc>
      </w:tr>
      <w:tr w:rsidR="00E579B9" w14:paraId="75AD25F4" w14:textId="77777777">
        <w:tc>
          <w:tcPr>
            <w:tcW w:w="681" w:type="dxa"/>
            <w:tcBorders>
              <w:top w:val="single" w:sz="4" w:space="0" w:color="auto"/>
              <w:left w:val="single" w:sz="4" w:space="0" w:color="auto"/>
              <w:bottom w:val="single" w:sz="4" w:space="0" w:color="auto"/>
              <w:right w:val="single" w:sz="4" w:space="0" w:color="auto"/>
            </w:tcBorders>
            <w:vAlign w:val="center"/>
          </w:tcPr>
          <w:p w14:paraId="7E2A796B" w14:textId="77777777" w:rsidR="00E579B9" w:rsidRDefault="006A1398">
            <w:pPr>
              <w:pStyle w:val="aa"/>
            </w:pPr>
            <w:r>
              <w:rPr>
                <w:rFonts w:hint="eastAsia"/>
              </w:rPr>
              <w:t>资源综合利用</w:t>
            </w:r>
          </w:p>
        </w:tc>
        <w:tc>
          <w:tcPr>
            <w:tcW w:w="4498" w:type="dxa"/>
            <w:tcBorders>
              <w:top w:val="single" w:sz="4" w:space="0" w:color="auto"/>
              <w:left w:val="nil"/>
              <w:bottom w:val="single" w:sz="4" w:space="0" w:color="auto"/>
              <w:right w:val="single" w:sz="4" w:space="0" w:color="auto"/>
            </w:tcBorders>
            <w:vAlign w:val="center"/>
          </w:tcPr>
          <w:p w14:paraId="3E80EF50" w14:textId="77777777" w:rsidR="00E579B9" w:rsidRDefault="006A1398">
            <w:pPr>
              <w:pStyle w:val="aa"/>
            </w:pPr>
            <w:r>
              <w:rPr>
                <w:rFonts w:hint="eastAsia"/>
              </w:rPr>
              <w:t>安装减量化、资源化、再利用的原则，综合开发利用共伴生矿产资源，科学合理利用废石、尾矿等固体废弃物及选矿废水</w:t>
            </w:r>
          </w:p>
        </w:tc>
        <w:tc>
          <w:tcPr>
            <w:tcW w:w="2592" w:type="dxa"/>
            <w:tcBorders>
              <w:top w:val="single" w:sz="4" w:space="0" w:color="auto"/>
              <w:left w:val="nil"/>
              <w:bottom w:val="single" w:sz="4" w:space="0" w:color="auto"/>
              <w:right w:val="single" w:sz="4" w:space="0" w:color="auto"/>
            </w:tcBorders>
            <w:vAlign w:val="center"/>
          </w:tcPr>
          <w:p w14:paraId="7369AA33" w14:textId="77777777" w:rsidR="00E579B9" w:rsidRDefault="006A1398">
            <w:pPr>
              <w:pStyle w:val="aa"/>
            </w:pPr>
            <w:r>
              <w:rPr>
                <w:rFonts w:hint="eastAsia"/>
              </w:rPr>
              <w:t>剥离表土妥善暂存至表土临时堆场用于生态恢复覆土</w:t>
            </w:r>
          </w:p>
        </w:tc>
        <w:tc>
          <w:tcPr>
            <w:tcW w:w="859" w:type="dxa"/>
            <w:tcBorders>
              <w:top w:val="single" w:sz="4" w:space="0" w:color="auto"/>
              <w:left w:val="nil"/>
              <w:bottom w:val="single" w:sz="4" w:space="0" w:color="auto"/>
              <w:right w:val="single" w:sz="4" w:space="0" w:color="auto"/>
            </w:tcBorders>
            <w:vAlign w:val="center"/>
          </w:tcPr>
          <w:p w14:paraId="37B35413" w14:textId="77777777" w:rsidR="00E579B9" w:rsidRDefault="006A1398">
            <w:pPr>
              <w:pStyle w:val="aa"/>
            </w:pPr>
            <w:r>
              <w:rPr>
                <w:rFonts w:hint="eastAsia"/>
              </w:rPr>
              <w:t>相符</w:t>
            </w:r>
          </w:p>
        </w:tc>
      </w:tr>
      <w:tr w:rsidR="00E579B9" w14:paraId="232D4045" w14:textId="77777777">
        <w:tc>
          <w:tcPr>
            <w:tcW w:w="681" w:type="dxa"/>
            <w:vMerge w:val="restart"/>
            <w:tcBorders>
              <w:top w:val="nil"/>
              <w:left w:val="single" w:sz="4" w:space="0" w:color="auto"/>
              <w:bottom w:val="single" w:sz="4" w:space="0" w:color="auto"/>
              <w:right w:val="single" w:sz="4" w:space="0" w:color="auto"/>
            </w:tcBorders>
            <w:vAlign w:val="center"/>
          </w:tcPr>
          <w:p w14:paraId="0E9605AB" w14:textId="77777777" w:rsidR="00E579B9" w:rsidRDefault="006A1398">
            <w:pPr>
              <w:pStyle w:val="aa"/>
            </w:pPr>
            <w:r>
              <w:rPr>
                <w:rFonts w:hint="eastAsia"/>
              </w:rPr>
              <w:t>节能减排</w:t>
            </w:r>
          </w:p>
        </w:tc>
        <w:tc>
          <w:tcPr>
            <w:tcW w:w="4498" w:type="dxa"/>
            <w:tcBorders>
              <w:top w:val="single" w:sz="4" w:space="0" w:color="auto"/>
              <w:left w:val="nil"/>
              <w:bottom w:val="single" w:sz="4" w:space="0" w:color="auto"/>
              <w:right w:val="single" w:sz="4" w:space="0" w:color="auto"/>
            </w:tcBorders>
            <w:vAlign w:val="center"/>
          </w:tcPr>
          <w:p w14:paraId="2C6426B2" w14:textId="77777777" w:rsidR="00E579B9" w:rsidRDefault="006A1398">
            <w:pPr>
              <w:pStyle w:val="aa"/>
            </w:pPr>
            <w:r>
              <w:rPr>
                <w:rFonts w:hint="eastAsia"/>
              </w:rPr>
              <w:t>建立生产全过程能耗核算体系，矿产资源开采能耗及产品综合能耗等相关指标应符合矿山设计、当地产业政策及行业准入条件等规定</w:t>
            </w:r>
          </w:p>
        </w:tc>
        <w:tc>
          <w:tcPr>
            <w:tcW w:w="2592" w:type="dxa"/>
            <w:tcBorders>
              <w:top w:val="single" w:sz="4" w:space="0" w:color="auto"/>
              <w:left w:val="nil"/>
              <w:bottom w:val="single" w:sz="4" w:space="0" w:color="auto"/>
              <w:right w:val="single" w:sz="4" w:space="0" w:color="auto"/>
            </w:tcBorders>
            <w:vAlign w:val="center"/>
          </w:tcPr>
          <w:p w14:paraId="192D4FA3" w14:textId="77777777" w:rsidR="00E579B9" w:rsidRDefault="006A1398">
            <w:pPr>
              <w:pStyle w:val="aa"/>
            </w:pPr>
            <w:r>
              <w:rPr>
                <w:rFonts w:hint="eastAsia"/>
              </w:rPr>
              <w:t>项目符合河南省、驻马店市矿产资源总体规划要求</w:t>
            </w:r>
          </w:p>
        </w:tc>
        <w:tc>
          <w:tcPr>
            <w:tcW w:w="859" w:type="dxa"/>
            <w:tcBorders>
              <w:top w:val="single" w:sz="4" w:space="0" w:color="auto"/>
              <w:left w:val="nil"/>
              <w:bottom w:val="single" w:sz="4" w:space="0" w:color="auto"/>
              <w:right w:val="single" w:sz="4" w:space="0" w:color="auto"/>
            </w:tcBorders>
            <w:vAlign w:val="center"/>
          </w:tcPr>
          <w:p w14:paraId="7A54D2F0" w14:textId="77777777" w:rsidR="00E579B9" w:rsidRDefault="006A1398">
            <w:pPr>
              <w:pStyle w:val="aa"/>
            </w:pPr>
            <w:r>
              <w:rPr>
                <w:rFonts w:hint="eastAsia"/>
              </w:rPr>
              <w:t>相符</w:t>
            </w:r>
          </w:p>
        </w:tc>
      </w:tr>
      <w:tr w:rsidR="00E579B9" w14:paraId="424102FD" w14:textId="77777777">
        <w:tc>
          <w:tcPr>
            <w:tcW w:w="681" w:type="dxa"/>
            <w:vMerge/>
            <w:tcBorders>
              <w:top w:val="nil"/>
              <w:left w:val="single" w:sz="4" w:space="0" w:color="auto"/>
              <w:bottom w:val="single" w:sz="4" w:space="0" w:color="auto"/>
              <w:right w:val="single" w:sz="4" w:space="0" w:color="auto"/>
            </w:tcBorders>
            <w:vAlign w:val="center"/>
          </w:tcPr>
          <w:p w14:paraId="1A074CF1" w14:textId="77777777" w:rsidR="00E579B9" w:rsidRDefault="00E579B9">
            <w:pPr>
              <w:pStyle w:val="aa"/>
            </w:pPr>
          </w:p>
        </w:tc>
        <w:tc>
          <w:tcPr>
            <w:tcW w:w="4498" w:type="dxa"/>
            <w:tcBorders>
              <w:top w:val="single" w:sz="4" w:space="0" w:color="auto"/>
              <w:left w:val="nil"/>
              <w:bottom w:val="single" w:sz="4" w:space="0" w:color="auto"/>
              <w:right w:val="single" w:sz="4" w:space="0" w:color="auto"/>
            </w:tcBorders>
            <w:vAlign w:val="center"/>
          </w:tcPr>
          <w:p w14:paraId="251F8408" w14:textId="77777777" w:rsidR="00E579B9" w:rsidRDefault="006A1398">
            <w:pPr>
              <w:pStyle w:val="aa"/>
            </w:pPr>
            <w:r>
              <w:rPr>
                <w:rFonts w:hint="eastAsia"/>
              </w:rPr>
              <w:t>矿山应利用高效节能的新技术、新工艺、新设备和新材料，及时淘汰高能耗、高污染、低效率的工艺和设备，宜合理利用太阳能、地热等清洁能源</w:t>
            </w:r>
          </w:p>
        </w:tc>
        <w:tc>
          <w:tcPr>
            <w:tcW w:w="2592" w:type="dxa"/>
            <w:tcBorders>
              <w:top w:val="single" w:sz="4" w:space="0" w:color="auto"/>
              <w:left w:val="nil"/>
              <w:bottom w:val="single" w:sz="4" w:space="0" w:color="auto"/>
              <w:right w:val="single" w:sz="4" w:space="0" w:color="auto"/>
            </w:tcBorders>
            <w:vAlign w:val="center"/>
          </w:tcPr>
          <w:p w14:paraId="4518EF83" w14:textId="77777777" w:rsidR="00E579B9" w:rsidRDefault="006A1398">
            <w:pPr>
              <w:pStyle w:val="aa"/>
            </w:pPr>
            <w:r>
              <w:rPr>
                <w:rFonts w:hint="eastAsia"/>
              </w:rPr>
              <w:t>项目不涉及限制和淘汰类设备和工艺</w:t>
            </w:r>
          </w:p>
        </w:tc>
        <w:tc>
          <w:tcPr>
            <w:tcW w:w="859" w:type="dxa"/>
            <w:tcBorders>
              <w:top w:val="single" w:sz="4" w:space="0" w:color="auto"/>
              <w:left w:val="nil"/>
              <w:bottom w:val="single" w:sz="4" w:space="0" w:color="auto"/>
              <w:right w:val="single" w:sz="4" w:space="0" w:color="auto"/>
            </w:tcBorders>
            <w:vAlign w:val="center"/>
          </w:tcPr>
          <w:p w14:paraId="68A94ECD" w14:textId="77777777" w:rsidR="00E579B9" w:rsidRDefault="006A1398">
            <w:pPr>
              <w:pStyle w:val="aa"/>
            </w:pPr>
            <w:r>
              <w:rPr>
                <w:rFonts w:hint="eastAsia"/>
              </w:rPr>
              <w:t>相符</w:t>
            </w:r>
          </w:p>
        </w:tc>
      </w:tr>
      <w:tr w:rsidR="00E579B9" w14:paraId="42A2D1C3" w14:textId="77777777">
        <w:tc>
          <w:tcPr>
            <w:tcW w:w="681" w:type="dxa"/>
            <w:vMerge/>
            <w:tcBorders>
              <w:top w:val="nil"/>
              <w:left w:val="single" w:sz="4" w:space="0" w:color="auto"/>
              <w:bottom w:val="single" w:sz="4" w:space="0" w:color="auto"/>
              <w:right w:val="single" w:sz="4" w:space="0" w:color="auto"/>
            </w:tcBorders>
            <w:vAlign w:val="center"/>
          </w:tcPr>
          <w:p w14:paraId="531C68B2" w14:textId="77777777" w:rsidR="00E579B9" w:rsidRDefault="00E579B9">
            <w:pPr>
              <w:pStyle w:val="aa"/>
            </w:pPr>
          </w:p>
        </w:tc>
        <w:tc>
          <w:tcPr>
            <w:tcW w:w="4498" w:type="dxa"/>
            <w:tcBorders>
              <w:top w:val="single" w:sz="4" w:space="0" w:color="auto"/>
              <w:left w:val="nil"/>
              <w:bottom w:val="single" w:sz="4" w:space="0" w:color="auto"/>
              <w:right w:val="single" w:sz="4" w:space="0" w:color="auto"/>
            </w:tcBorders>
            <w:vAlign w:val="center"/>
          </w:tcPr>
          <w:p w14:paraId="03E944C4" w14:textId="77777777" w:rsidR="00E579B9" w:rsidRDefault="006A1398">
            <w:pPr>
              <w:pStyle w:val="aa"/>
            </w:pPr>
            <w:r>
              <w:rPr>
                <w:rFonts w:hint="eastAsia"/>
              </w:rPr>
              <w:t>矿山应采区有效措施，减少粉尘、噪音、废水、废气、废石、尾矿等污染物的排放</w:t>
            </w:r>
          </w:p>
        </w:tc>
        <w:tc>
          <w:tcPr>
            <w:tcW w:w="2592" w:type="dxa"/>
            <w:tcBorders>
              <w:top w:val="single" w:sz="4" w:space="0" w:color="auto"/>
              <w:left w:val="nil"/>
              <w:bottom w:val="single" w:sz="4" w:space="0" w:color="auto"/>
              <w:right w:val="single" w:sz="4" w:space="0" w:color="auto"/>
            </w:tcBorders>
            <w:vAlign w:val="center"/>
          </w:tcPr>
          <w:p w14:paraId="26FFCD59" w14:textId="77777777" w:rsidR="00E579B9" w:rsidRDefault="006A1398">
            <w:pPr>
              <w:pStyle w:val="aa"/>
            </w:pPr>
            <w:r>
              <w:rPr>
                <w:rFonts w:hint="eastAsia"/>
              </w:rPr>
              <w:t>本次评价针对废气、噪声、废水、固废等提出相应防治措施，运营期落实</w:t>
            </w:r>
          </w:p>
        </w:tc>
        <w:tc>
          <w:tcPr>
            <w:tcW w:w="859" w:type="dxa"/>
            <w:tcBorders>
              <w:top w:val="single" w:sz="4" w:space="0" w:color="auto"/>
              <w:left w:val="nil"/>
              <w:bottom w:val="single" w:sz="4" w:space="0" w:color="auto"/>
              <w:right w:val="single" w:sz="4" w:space="0" w:color="auto"/>
            </w:tcBorders>
            <w:vAlign w:val="center"/>
          </w:tcPr>
          <w:p w14:paraId="3E75A760" w14:textId="77777777" w:rsidR="00E579B9" w:rsidRDefault="006A1398">
            <w:pPr>
              <w:pStyle w:val="aa"/>
            </w:pPr>
            <w:r>
              <w:rPr>
                <w:rFonts w:hint="eastAsia"/>
              </w:rPr>
              <w:t>相符</w:t>
            </w:r>
          </w:p>
        </w:tc>
      </w:tr>
    </w:tbl>
    <w:p w14:paraId="7B55EF0B" w14:textId="77777777" w:rsidR="00E579B9" w:rsidRDefault="006A1398">
      <w:r>
        <w:rPr>
          <w:rFonts w:ascii="宋体" w:hAnsi="宋体" w:hint="eastAsia"/>
        </w:rPr>
        <w:t>由上表可知，建设单位运营按照相关要求落实措施，能够满足《非金属矿行业绿色矿山建设规范》（</w:t>
      </w:r>
      <w:r>
        <w:rPr>
          <w:rFonts w:hint="eastAsia"/>
        </w:rPr>
        <w:t>DZ/T0312-2018</w:t>
      </w:r>
      <w:r>
        <w:rPr>
          <w:rFonts w:ascii="宋体" w:hAnsi="宋体" w:hint="eastAsia"/>
        </w:rPr>
        <w:t>）要求。</w:t>
      </w:r>
    </w:p>
    <w:p w14:paraId="2AC06498" w14:textId="77777777" w:rsidR="00E579B9" w:rsidRDefault="006A1398">
      <w:pPr>
        <w:pStyle w:val="3"/>
        <w:ind w:firstLine="560"/>
      </w:pPr>
      <w:r>
        <w:rPr>
          <w:rFonts w:hint="eastAsia"/>
        </w:rPr>
        <w:t>10.1.15</w:t>
      </w:r>
      <w:r>
        <w:t>与《</w:t>
      </w:r>
      <w:r>
        <w:rPr>
          <w:rFonts w:hint="eastAsia"/>
        </w:rPr>
        <w:t>驻马店市山体保护条例</w:t>
      </w:r>
      <w:r>
        <w:t>》</w:t>
      </w:r>
      <w:r>
        <w:rPr>
          <w:rFonts w:hint="eastAsia"/>
        </w:rPr>
        <w:t>（驻马店市第四届人民代表大会常务委员会公告第</w:t>
      </w:r>
      <w:r>
        <w:rPr>
          <w:rFonts w:hint="eastAsia"/>
        </w:rPr>
        <w:t>19</w:t>
      </w:r>
      <w:r>
        <w:rPr>
          <w:rFonts w:hint="eastAsia"/>
        </w:rPr>
        <w:t>号）</w:t>
      </w:r>
      <w:r>
        <w:t>相符性分析</w:t>
      </w:r>
    </w:p>
    <w:p w14:paraId="31DFEEC4" w14:textId="77777777" w:rsidR="00E579B9" w:rsidRDefault="006A1398">
      <w:r>
        <w:rPr>
          <w:rFonts w:ascii="宋体" w:hAnsi="宋体" w:hint="eastAsia"/>
        </w:rPr>
        <w:t>（</w:t>
      </w:r>
      <w:r>
        <w:rPr>
          <w:rFonts w:hint="eastAsia"/>
        </w:rPr>
        <w:t>1</w:t>
      </w:r>
      <w:r>
        <w:rPr>
          <w:rFonts w:ascii="宋体" w:hAnsi="宋体" w:hint="eastAsia"/>
        </w:rPr>
        <w:t>）《驻马店市山体保护条例》主要内容</w:t>
      </w:r>
    </w:p>
    <w:p w14:paraId="76D79CFB" w14:textId="77777777" w:rsidR="00E579B9" w:rsidRDefault="006A1398">
      <w:r>
        <w:rPr>
          <w:rFonts w:ascii="宋体" w:hAnsi="宋体" w:hint="eastAsia"/>
        </w:rPr>
        <w:t>《驻马店市山体保护条例》于</w:t>
      </w:r>
      <w:r>
        <w:rPr>
          <w:rFonts w:hint="eastAsia"/>
        </w:rPr>
        <w:t>2019</w:t>
      </w:r>
      <w:r>
        <w:rPr>
          <w:rFonts w:ascii="宋体" w:hAnsi="宋体" w:hint="eastAsia"/>
        </w:rPr>
        <w:t>年</w:t>
      </w:r>
      <w:r>
        <w:rPr>
          <w:rFonts w:hint="eastAsia"/>
        </w:rPr>
        <w:t>4</w:t>
      </w:r>
      <w:r>
        <w:rPr>
          <w:rFonts w:ascii="宋体" w:hAnsi="宋体" w:hint="eastAsia"/>
        </w:rPr>
        <w:t>月</w:t>
      </w:r>
      <w:r>
        <w:rPr>
          <w:rFonts w:hint="eastAsia"/>
        </w:rPr>
        <w:t>10</w:t>
      </w:r>
      <w:r>
        <w:rPr>
          <w:rFonts w:ascii="宋体" w:hAnsi="宋体" w:hint="eastAsia"/>
        </w:rPr>
        <w:t>日驻马店市第四届人民代表大会常务委员会第十七次会议通过，</w:t>
      </w:r>
      <w:r>
        <w:rPr>
          <w:rFonts w:hint="eastAsia"/>
        </w:rPr>
        <w:t>2019</w:t>
      </w:r>
      <w:r>
        <w:rPr>
          <w:rFonts w:ascii="宋体" w:hAnsi="宋体" w:hint="eastAsia"/>
        </w:rPr>
        <w:t>年</w:t>
      </w:r>
      <w:r>
        <w:rPr>
          <w:rFonts w:hint="eastAsia"/>
        </w:rPr>
        <w:t>5</w:t>
      </w:r>
      <w:r>
        <w:rPr>
          <w:rFonts w:ascii="宋体" w:hAnsi="宋体" w:hint="eastAsia"/>
        </w:rPr>
        <w:t>月</w:t>
      </w:r>
      <w:r>
        <w:rPr>
          <w:rFonts w:hint="eastAsia"/>
        </w:rPr>
        <w:t>31</w:t>
      </w:r>
      <w:r>
        <w:rPr>
          <w:rFonts w:ascii="宋体" w:hAnsi="宋体" w:hint="eastAsia"/>
        </w:rPr>
        <w:t>日河南省第十三届人民代表大会常务委员会第十次会议批准，</w:t>
      </w:r>
      <w:r>
        <w:rPr>
          <w:rFonts w:hint="eastAsia"/>
        </w:rPr>
        <w:t>2019</w:t>
      </w:r>
      <w:r>
        <w:rPr>
          <w:rFonts w:ascii="宋体" w:hAnsi="宋体" w:hint="eastAsia"/>
        </w:rPr>
        <w:t>年</w:t>
      </w:r>
      <w:r>
        <w:rPr>
          <w:rFonts w:hint="eastAsia"/>
        </w:rPr>
        <w:t>9</w:t>
      </w:r>
      <w:r>
        <w:rPr>
          <w:rFonts w:ascii="宋体" w:hAnsi="宋体" w:hint="eastAsia"/>
        </w:rPr>
        <w:t>月</w:t>
      </w:r>
      <w:r>
        <w:rPr>
          <w:rFonts w:hint="eastAsia"/>
        </w:rPr>
        <w:t>1</w:t>
      </w:r>
      <w:r>
        <w:rPr>
          <w:rFonts w:ascii="宋体" w:hAnsi="宋体" w:hint="eastAsia"/>
        </w:rPr>
        <w:t>日起施行。</w:t>
      </w:r>
    </w:p>
    <w:p w14:paraId="48AE49D6" w14:textId="77777777" w:rsidR="00E579B9" w:rsidRDefault="006A1398">
      <w:r>
        <w:rPr>
          <w:rFonts w:ascii="宋体" w:hAnsi="宋体" w:hint="eastAsia"/>
        </w:rPr>
        <w:lastRenderedPageBreak/>
        <w:t>第一条为了加强山体保护，提高森林覆盖率，净化饮用水水源，修复破损山体，推进生态文明建设，促进经济社会可持续发展，根据《中华人民共和国环境保护法》《中华人民共和国矿产资源法》等有关法律、法规，结合本市实际，制定本条例。</w:t>
      </w:r>
    </w:p>
    <w:p w14:paraId="61536BEF" w14:textId="77777777" w:rsidR="00E579B9" w:rsidRDefault="006A1398">
      <w:r>
        <w:rPr>
          <w:rFonts w:ascii="宋体" w:hAnsi="宋体" w:hint="eastAsia"/>
        </w:rPr>
        <w:t>第二条本条例适用于本市行政区域内相对高度二十米以上的自然山体的保护管理、科学利用、修复治理等活动。</w:t>
      </w:r>
    </w:p>
    <w:p w14:paraId="58609DD1" w14:textId="77777777" w:rsidR="00E579B9" w:rsidRDefault="006A1398">
      <w:r>
        <w:rPr>
          <w:rFonts w:ascii="宋体" w:hAnsi="宋体" w:hint="eastAsia"/>
        </w:rPr>
        <w:t>第十一条市人民政府自然资源和规划主管部门应当依据国土空间规划、城乡规划和土地利用总体规划，编制山体保护规划，报市人民政府批准并公布实施。</w:t>
      </w:r>
    </w:p>
    <w:p w14:paraId="0D934DA5" w14:textId="77777777" w:rsidR="00E579B9" w:rsidRDefault="006A1398">
      <w:r>
        <w:rPr>
          <w:rFonts w:ascii="宋体" w:hAnsi="宋体" w:hint="eastAsia"/>
        </w:rPr>
        <w:t>山体保护规划应当符合国家、省主体功能区规划和生态保护红线要求，与环境保护、森林资源保护、饮用水水源保护、文物保护、旅游、水土保持和矿产资源等规划相衔接。</w:t>
      </w:r>
    </w:p>
    <w:p w14:paraId="671669F0" w14:textId="77777777" w:rsidR="00E579B9" w:rsidRDefault="006A1398">
      <w:r>
        <w:rPr>
          <w:rFonts w:ascii="宋体" w:hAnsi="宋体" w:hint="eastAsia"/>
        </w:rPr>
        <w:t>山体保护规划应当在本条例实施后六个月内编制完成。</w:t>
      </w:r>
    </w:p>
    <w:p w14:paraId="61EB0276" w14:textId="77777777" w:rsidR="00E579B9" w:rsidRDefault="006A1398">
      <w:r>
        <w:rPr>
          <w:rFonts w:ascii="宋体" w:hAnsi="宋体" w:hint="eastAsia"/>
        </w:rPr>
        <w:t>第十四条市人民政府自然资源和规划主管部门应当会同有关部门对本市行政区域内的山体资源情况进行普查、登记，建立山体保护名录，并向社会公布。</w:t>
      </w:r>
    </w:p>
    <w:p w14:paraId="0FCA66C0" w14:textId="77777777" w:rsidR="00E579B9" w:rsidRDefault="006A1398">
      <w:r>
        <w:rPr>
          <w:rFonts w:ascii="宋体" w:hAnsi="宋体" w:hint="eastAsia"/>
        </w:rPr>
        <w:t>山体保护名录分为重点保护名录和一般保护名录。对保护名录中的山体，应当划定保护控制线，确定保护范围。</w:t>
      </w:r>
    </w:p>
    <w:p w14:paraId="62D48D38" w14:textId="77777777" w:rsidR="00E579B9" w:rsidRDefault="006A1398">
      <w:r>
        <w:rPr>
          <w:rFonts w:ascii="宋体" w:hAnsi="宋体" w:hint="eastAsia"/>
        </w:rPr>
        <w:t>第十五条符合下列条件之一的山体，应当列入重点保护名录：</w:t>
      </w:r>
    </w:p>
    <w:p w14:paraId="0F3A8366" w14:textId="77777777" w:rsidR="00E579B9" w:rsidRDefault="006A1398">
      <w:r>
        <w:rPr>
          <w:rFonts w:ascii="宋体" w:hAnsi="宋体" w:hint="eastAsia"/>
        </w:rPr>
        <w:t>（一）位于旅游景区、风景名胜区、自然保护区、饮用水水源保护区内的；</w:t>
      </w:r>
    </w:p>
    <w:p w14:paraId="52CFA2AA" w14:textId="77777777" w:rsidR="00E579B9" w:rsidRDefault="006A1398">
      <w:r>
        <w:rPr>
          <w:rFonts w:ascii="宋体" w:hAnsi="宋体" w:hint="eastAsia"/>
        </w:rPr>
        <w:t>（二）国有林场、森林公园、</w:t>
      </w:r>
      <w:r>
        <w:rPr>
          <w:rFonts w:hint="eastAsia"/>
        </w:rPr>
        <w:t>Ⅰ级保护林地以及一级国家公益林地所在的；</w:t>
      </w:r>
    </w:p>
    <w:p w14:paraId="02A03FF5" w14:textId="77777777" w:rsidR="00E579B9" w:rsidRDefault="006A1398">
      <w:r>
        <w:rPr>
          <w:rFonts w:ascii="宋体" w:hAnsi="宋体" w:hint="eastAsia"/>
        </w:rPr>
        <w:t>（三）崩塌、滑坡危险区和泥石流易发区等水土流失严重、生态脆弱区域所在的；</w:t>
      </w:r>
    </w:p>
    <w:p w14:paraId="58C25891" w14:textId="77777777" w:rsidR="00E579B9" w:rsidRDefault="006A1398">
      <w:r>
        <w:rPr>
          <w:rFonts w:ascii="宋体" w:hAnsi="宋体" w:hint="eastAsia"/>
        </w:rPr>
        <w:t>（四）文物保护单位、不可移动文物、地质公园、地质遗迹和历史文化遗产保护区所在的；</w:t>
      </w:r>
    </w:p>
    <w:p w14:paraId="32CCA638" w14:textId="77777777" w:rsidR="00E579B9" w:rsidRDefault="006A1398">
      <w:r>
        <w:rPr>
          <w:rFonts w:ascii="宋体" w:hAnsi="宋体" w:hint="eastAsia"/>
        </w:rPr>
        <w:t>（五）位于高速公路、国道、铁路沿线两侧五百米内的；</w:t>
      </w:r>
    </w:p>
    <w:p w14:paraId="70118044" w14:textId="77777777" w:rsidR="00E579B9" w:rsidRDefault="006A1398">
      <w:r>
        <w:rPr>
          <w:rFonts w:ascii="宋体" w:hAnsi="宋体" w:hint="eastAsia"/>
        </w:rPr>
        <w:t>（六）位于城市规划区内的。</w:t>
      </w:r>
    </w:p>
    <w:p w14:paraId="6A72AD4E" w14:textId="77777777" w:rsidR="00E579B9" w:rsidRDefault="006A1398">
      <w:r>
        <w:rPr>
          <w:rFonts w:ascii="宋体" w:hAnsi="宋体" w:hint="eastAsia"/>
        </w:rPr>
        <w:t>前款规定范围之外的山体列入一般保护名录。</w:t>
      </w:r>
    </w:p>
    <w:p w14:paraId="4C6F8C3C" w14:textId="77777777" w:rsidR="00E579B9" w:rsidRDefault="006A1398">
      <w:r>
        <w:rPr>
          <w:rFonts w:ascii="宋体" w:hAnsi="宋体" w:hint="eastAsia"/>
        </w:rPr>
        <w:t>第十七条在重点保护名录山体范围内，禁止从事下列行为：</w:t>
      </w:r>
    </w:p>
    <w:p w14:paraId="6E63C025" w14:textId="77777777" w:rsidR="00E579B9" w:rsidRDefault="006A1398">
      <w:r>
        <w:rPr>
          <w:rFonts w:ascii="宋体" w:hAnsi="宋体" w:hint="eastAsia"/>
        </w:rPr>
        <w:lastRenderedPageBreak/>
        <w:t>（一）采石、采矿、挖砂、取土；</w:t>
      </w:r>
    </w:p>
    <w:p w14:paraId="03CF504B" w14:textId="77777777" w:rsidR="00E579B9" w:rsidRDefault="006A1398">
      <w:r>
        <w:rPr>
          <w:rFonts w:ascii="宋体" w:hAnsi="宋体" w:hint="eastAsia"/>
        </w:rPr>
        <w:t>（二）新建、扩建公墓；</w:t>
      </w:r>
    </w:p>
    <w:p w14:paraId="434802AC" w14:textId="77777777" w:rsidR="00E579B9" w:rsidRDefault="006A1398">
      <w:r>
        <w:rPr>
          <w:rFonts w:ascii="宋体" w:hAnsi="宋体" w:hint="eastAsia"/>
        </w:rPr>
        <w:t>（三）新建风力发电项目；</w:t>
      </w:r>
    </w:p>
    <w:p w14:paraId="3C9B4784" w14:textId="77777777" w:rsidR="00E579B9" w:rsidRDefault="006A1398">
      <w:r>
        <w:rPr>
          <w:rFonts w:ascii="宋体" w:hAnsi="宋体" w:hint="eastAsia"/>
        </w:rPr>
        <w:t>（四）新建、改建或者扩建宾馆、招待所、培训中心、疗养院、商品住宅以及与山体保护无关的其他建筑；</w:t>
      </w:r>
    </w:p>
    <w:p w14:paraId="2C137449" w14:textId="77777777" w:rsidR="00E579B9" w:rsidRDefault="006A1398">
      <w:r>
        <w:rPr>
          <w:rFonts w:ascii="宋体" w:hAnsi="宋体" w:hint="eastAsia"/>
        </w:rPr>
        <w:t>（五）建设工业固体废物和危险废物集中贮存、处置的设施、场所和生活垃圾填埋场；</w:t>
      </w:r>
    </w:p>
    <w:p w14:paraId="0160EC7D" w14:textId="77777777" w:rsidR="00E579B9" w:rsidRDefault="006A1398">
      <w:r>
        <w:rPr>
          <w:rFonts w:ascii="宋体" w:hAnsi="宋体" w:hint="eastAsia"/>
        </w:rPr>
        <w:t>（六）倾倒、堆放生活垃圾或者建筑垃圾；</w:t>
      </w:r>
    </w:p>
    <w:p w14:paraId="7E5D3453" w14:textId="77777777" w:rsidR="00E579B9" w:rsidRDefault="006A1398">
      <w:r>
        <w:rPr>
          <w:rFonts w:ascii="宋体" w:hAnsi="宋体" w:hint="eastAsia"/>
        </w:rPr>
        <w:t>（七）倾倒、堆放、填埋废石、矿渣等固体废物和危险废物；</w:t>
      </w:r>
    </w:p>
    <w:p w14:paraId="58AD47D7" w14:textId="77777777" w:rsidR="00E579B9" w:rsidRDefault="006A1398">
      <w:r>
        <w:rPr>
          <w:rFonts w:ascii="宋体" w:hAnsi="宋体" w:hint="eastAsia"/>
        </w:rPr>
        <w:t>（八）毁林开垦、滥伐林木；</w:t>
      </w:r>
    </w:p>
    <w:p w14:paraId="0AA9F9DF" w14:textId="77777777" w:rsidR="00E579B9" w:rsidRDefault="006A1398">
      <w:r>
        <w:rPr>
          <w:rFonts w:ascii="宋体" w:hAnsi="宋体" w:hint="eastAsia"/>
        </w:rPr>
        <w:t>（九）其他破坏山体的行为。</w:t>
      </w:r>
    </w:p>
    <w:p w14:paraId="35E38FAB" w14:textId="77777777" w:rsidR="00E579B9" w:rsidRDefault="006A1398">
      <w:r>
        <w:rPr>
          <w:rFonts w:ascii="宋体" w:hAnsi="宋体" w:hint="eastAsia"/>
        </w:rPr>
        <w:t>第十八条在一般保护名录山体范围内，任何单位和个人不得从事第十七条第三项至第八项规定的行为；从事第十七条第一项、第二项规定的行为，应当依照法律、法规的规定，报有关主管部门批准。</w:t>
      </w:r>
    </w:p>
    <w:p w14:paraId="760B5AAD" w14:textId="77777777" w:rsidR="00E579B9" w:rsidRDefault="006A1398">
      <w:r>
        <w:rPr>
          <w:rFonts w:ascii="宋体" w:hAnsi="宋体" w:hint="eastAsia"/>
        </w:rPr>
        <w:t>第十九条在重点保护名录山体范围内，属于自然保护区、风景名胜区等的，依照相关法律、法规的规定严格保护。</w:t>
      </w:r>
    </w:p>
    <w:p w14:paraId="2CA28A99" w14:textId="77777777" w:rsidR="00E579B9" w:rsidRDefault="006A1398">
      <w:r>
        <w:rPr>
          <w:rFonts w:ascii="宋体" w:hAnsi="宋体" w:hint="eastAsia"/>
        </w:rPr>
        <w:t>在重点保护名录山体范围内，经依法批准，可以进行交通、水利、林业、电力、消防、通信、气象、地震监测等公共设施以及旅游开发基础设施建设活动。</w:t>
      </w:r>
    </w:p>
    <w:p w14:paraId="72ABCAD9" w14:textId="77777777" w:rsidR="00E579B9" w:rsidRDefault="006A1398">
      <w:r>
        <w:rPr>
          <w:rFonts w:ascii="宋体" w:hAnsi="宋体" w:hint="eastAsia"/>
        </w:rPr>
        <w:t>第二十条在重点保护名录山体范围内，禁止审批新的采矿权。对已有的采矿企业，相关县区人民政府应当制订关停计划，采矿权期限届满的，予以拆除或者关闭；采矿权期限未届满的，给予合理补偿，限期拆除或者关闭。</w:t>
      </w:r>
    </w:p>
    <w:p w14:paraId="4391DAAC" w14:textId="77777777" w:rsidR="00E579B9" w:rsidRDefault="006A1398">
      <w:r>
        <w:rPr>
          <w:rFonts w:ascii="宋体" w:hAnsi="宋体" w:hint="eastAsia"/>
        </w:rPr>
        <w:t>第二十一条在一般保护名录山体范围内可以依照法律、法规规定设立开采区。采矿权的新设和延续应当符合山体保护规划和新设采矿权的准入条件。新设和延续的矿山企业应当按照绿色矿山建设标准进行建设和运营管理，落实生态环境、地质环境、土地复垦、水土保持、安全生产的主体责任。</w:t>
      </w:r>
    </w:p>
    <w:p w14:paraId="4D7ECB6E" w14:textId="77777777" w:rsidR="00E579B9" w:rsidRDefault="006A1398">
      <w:r>
        <w:rPr>
          <w:rFonts w:ascii="宋体" w:hAnsi="宋体" w:hint="eastAsia"/>
        </w:rPr>
        <w:t>（</w:t>
      </w:r>
      <w:r>
        <w:rPr>
          <w:rFonts w:hint="eastAsia"/>
        </w:rPr>
        <w:t>2</w:t>
      </w:r>
      <w:r>
        <w:rPr>
          <w:rFonts w:ascii="宋体" w:hAnsi="宋体" w:hint="eastAsia"/>
        </w:rPr>
        <w:t>）相符性分析</w:t>
      </w:r>
    </w:p>
    <w:p w14:paraId="144F17BA" w14:textId="77777777" w:rsidR="00E579B9" w:rsidRDefault="006A1398">
      <w:pPr>
        <w:rPr>
          <w:rFonts w:ascii="宋体" w:hAnsi="宋体"/>
        </w:rPr>
      </w:pPr>
      <w:r>
        <w:rPr>
          <w:rFonts w:ascii="宋体" w:hAnsi="宋体" w:hint="eastAsia"/>
        </w:rPr>
        <w:lastRenderedPageBreak/>
        <w:t>经调查了解，目前驻马店市尚未公布具体的山体保护规划。本项目位于驻马店市驿城区沙河店镇赵尧村，不在应当纳入重点保护名录的山体条件内。参考一般保护名录保护要求，本项目不属于一般保护名录禁止的行为之列，本项目依法办理采矿权，建设运营拟严格按照绿色矿山建设标准进行，落实生态环境、地质环境、土地复垦、水土保持、安全生产要求，综合分析，项目建设符合《驻马店市山体保护条例》要求。</w:t>
      </w:r>
    </w:p>
    <w:p w14:paraId="394DE91A" w14:textId="77777777" w:rsidR="00E579B9" w:rsidRDefault="006A1398">
      <w:pPr>
        <w:pStyle w:val="3"/>
        <w:ind w:firstLine="560"/>
      </w:pPr>
      <w:r>
        <w:rPr>
          <w:rFonts w:hint="eastAsia"/>
        </w:rPr>
        <w:t>10.1.16</w:t>
      </w:r>
      <w:r>
        <w:rPr>
          <w:rFonts w:hint="eastAsia"/>
        </w:rPr>
        <w:t>项目与河南省国土资源厅、河南省环境保护厅、河南省安全生产监督管理局《关于进一步加强露天矿山开发与综合整治工作的通知》（豫国土资发〔</w:t>
      </w:r>
      <w:r>
        <w:t>2018</w:t>
      </w:r>
      <w:r>
        <w:rPr>
          <w:rFonts w:hint="eastAsia"/>
        </w:rPr>
        <w:t>〕</w:t>
      </w:r>
      <w:r>
        <w:t>16</w:t>
      </w:r>
      <w:r>
        <w:rPr>
          <w:rFonts w:hint="eastAsia"/>
        </w:rPr>
        <w:t>号）相符性分析</w:t>
      </w:r>
    </w:p>
    <w:p w14:paraId="7CF45C90" w14:textId="77777777" w:rsidR="00E579B9" w:rsidRDefault="006A1398">
      <w:pPr>
        <w:ind w:firstLine="460"/>
      </w:pPr>
      <w:r>
        <w:rPr>
          <w:rFonts w:hint="eastAsia"/>
          <w:spacing w:val="-5"/>
        </w:rPr>
        <w:t>为加快生态文明建设，推进矿业绿色发展，提高资源利用水平，保障社会经济发展，</w:t>
      </w:r>
      <w:r>
        <w:rPr>
          <w:rFonts w:hint="eastAsia"/>
        </w:rPr>
        <w:t>河南省国土资源厅、河南省环境保护厅、河南省安全生产监督管理局联合发布了《关于</w:t>
      </w:r>
      <w:r>
        <w:rPr>
          <w:rFonts w:hint="eastAsia"/>
          <w:spacing w:val="-7"/>
        </w:rPr>
        <w:t>进一步加强露天矿山开发与综合整治工作的通知》（豫国土资发（</w:t>
      </w:r>
      <w:r>
        <w:rPr>
          <w:spacing w:val="-7"/>
        </w:rPr>
        <w:t>2018</w:t>
      </w:r>
      <w:r>
        <w:rPr>
          <w:rFonts w:hint="eastAsia"/>
          <w:spacing w:val="-7"/>
        </w:rPr>
        <w:t>）</w:t>
      </w:r>
      <w:r>
        <w:rPr>
          <w:spacing w:val="-7"/>
        </w:rPr>
        <w:t>16</w:t>
      </w:r>
      <w:r>
        <w:rPr>
          <w:rFonts w:hint="eastAsia"/>
          <w:spacing w:val="-7"/>
        </w:rPr>
        <w:t>号），本项目</w:t>
      </w:r>
      <w:r>
        <w:rPr>
          <w:rFonts w:hint="eastAsia"/>
        </w:rPr>
        <w:t>与相关要求对比分析如下：</w:t>
      </w:r>
    </w:p>
    <w:p w14:paraId="45900383" w14:textId="77777777" w:rsidR="00E579B9" w:rsidRDefault="006A1398">
      <w:pPr>
        <w:pStyle w:val="21"/>
      </w:pPr>
      <w:r>
        <w:rPr>
          <w:rFonts w:hint="eastAsia"/>
        </w:rPr>
        <w:t>表</w:t>
      </w:r>
      <w:r>
        <w:t>10.1-10</w:t>
      </w:r>
      <w:r>
        <w:tab/>
      </w:r>
      <w:r>
        <w:rPr>
          <w:rFonts w:hint="eastAsia"/>
        </w:rPr>
        <w:t>项目与豫国土资发〔</w:t>
      </w:r>
      <w:r>
        <w:t>2018</w:t>
      </w:r>
      <w:r>
        <w:rPr>
          <w:rFonts w:hint="eastAsia"/>
        </w:rPr>
        <w:t>〕</w:t>
      </w:r>
      <w:r>
        <w:t>16</w:t>
      </w:r>
      <w:r>
        <w:rPr>
          <w:rFonts w:hint="eastAsia"/>
        </w:rPr>
        <w:t>号相符性分析</w:t>
      </w:r>
    </w:p>
    <w:p w14:paraId="40E39487" w14:textId="77777777" w:rsidR="00E579B9" w:rsidRDefault="00E579B9">
      <w:pPr>
        <w:widowControl w:val="0"/>
        <w:spacing w:before="7" w:line="240" w:lineRule="auto"/>
        <w:ind w:firstLineChars="0" w:firstLine="0"/>
        <w:rPr>
          <w:rFonts w:ascii="宋体" w:hAnsi="宋体" w:cs="Times New Roman"/>
          <w:b/>
          <w:bCs/>
          <w:kern w:val="0"/>
          <w:sz w:val="4"/>
          <w:szCs w:val="4"/>
        </w:rPr>
      </w:pPr>
    </w:p>
    <w:tbl>
      <w:tblPr>
        <w:tblW w:w="8811" w:type="dxa"/>
        <w:tblInd w:w="3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87"/>
        <w:gridCol w:w="5052"/>
        <w:gridCol w:w="2552"/>
        <w:gridCol w:w="420"/>
      </w:tblGrid>
      <w:tr w:rsidR="00E579B9" w14:paraId="38638AB5" w14:textId="77777777">
        <w:trPr>
          <w:trHeight w:val="354"/>
        </w:trPr>
        <w:tc>
          <w:tcPr>
            <w:tcW w:w="5839" w:type="dxa"/>
            <w:gridSpan w:val="2"/>
          </w:tcPr>
          <w:p w14:paraId="75C5D402" w14:textId="77777777" w:rsidR="00E579B9" w:rsidRDefault="006A1398">
            <w:pPr>
              <w:pStyle w:val="aa"/>
            </w:pPr>
            <w:r>
              <w:rPr>
                <w:rFonts w:hint="eastAsia"/>
              </w:rPr>
              <w:t>豫国土资发〔</w:t>
            </w:r>
            <w:r>
              <w:t>2018</w:t>
            </w:r>
            <w:r>
              <w:rPr>
                <w:rFonts w:hint="eastAsia"/>
              </w:rPr>
              <w:t>〕</w:t>
            </w:r>
            <w:r>
              <w:t>16</w:t>
            </w:r>
            <w:r>
              <w:rPr>
                <w:rFonts w:hint="eastAsia"/>
              </w:rPr>
              <w:t>号要求</w:t>
            </w:r>
          </w:p>
        </w:tc>
        <w:tc>
          <w:tcPr>
            <w:tcW w:w="2552" w:type="dxa"/>
          </w:tcPr>
          <w:p w14:paraId="4163502E" w14:textId="77777777" w:rsidR="00E579B9" w:rsidRDefault="006A1398">
            <w:pPr>
              <w:pStyle w:val="aa"/>
            </w:pPr>
            <w:r>
              <w:rPr>
                <w:rFonts w:hint="eastAsia"/>
              </w:rPr>
              <w:t>本项目</w:t>
            </w:r>
          </w:p>
        </w:tc>
        <w:tc>
          <w:tcPr>
            <w:tcW w:w="420" w:type="dxa"/>
          </w:tcPr>
          <w:p w14:paraId="1A07CD81" w14:textId="77777777" w:rsidR="00E579B9" w:rsidRDefault="006A1398">
            <w:pPr>
              <w:pStyle w:val="aa"/>
            </w:pPr>
            <w:r>
              <w:rPr>
                <w:rFonts w:hint="eastAsia"/>
              </w:rPr>
              <w:t>相符性</w:t>
            </w:r>
          </w:p>
        </w:tc>
      </w:tr>
      <w:tr w:rsidR="00E579B9" w14:paraId="662187A5" w14:textId="77777777">
        <w:trPr>
          <w:trHeight w:val="2935"/>
        </w:trPr>
        <w:tc>
          <w:tcPr>
            <w:tcW w:w="787" w:type="dxa"/>
            <w:vMerge w:val="restart"/>
          </w:tcPr>
          <w:p w14:paraId="5DCD081C" w14:textId="77777777" w:rsidR="00E579B9" w:rsidRDefault="00E579B9">
            <w:pPr>
              <w:pStyle w:val="aa"/>
              <w:rPr>
                <w:b/>
                <w:sz w:val="20"/>
                <w:szCs w:val="20"/>
              </w:rPr>
            </w:pPr>
          </w:p>
          <w:p w14:paraId="1DBD0985" w14:textId="77777777" w:rsidR="00E579B9" w:rsidRDefault="00E579B9">
            <w:pPr>
              <w:pStyle w:val="aa"/>
              <w:rPr>
                <w:b/>
                <w:sz w:val="20"/>
                <w:szCs w:val="20"/>
              </w:rPr>
            </w:pPr>
          </w:p>
          <w:p w14:paraId="7822E3A4" w14:textId="77777777" w:rsidR="00E579B9" w:rsidRDefault="00E579B9">
            <w:pPr>
              <w:pStyle w:val="aa"/>
              <w:rPr>
                <w:b/>
                <w:sz w:val="20"/>
                <w:szCs w:val="20"/>
              </w:rPr>
            </w:pPr>
          </w:p>
          <w:p w14:paraId="6D8410D9" w14:textId="77777777" w:rsidR="00E579B9" w:rsidRDefault="00E579B9">
            <w:pPr>
              <w:pStyle w:val="aa"/>
              <w:rPr>
                <w:b/>
                <w:sz w:val="23"/>
                <w:szCs w:val="23"/>
              </w:rPr>
            </w:pPr>
          </w:p>
          <w:p w14:paraId="7E8741D9" w14:textId="77777777" w:rsidR="00E579B9" w:rsidRDefault="006A1398">
            <w:pPr>
              <w:pStyle w:val="aa"/>
            </w:pPr>
            <w:r>
              <w:rPr>
                <w:rFonts w:hint="eastAsia"/>
                <w:spacing w:val="-6"/>
              </w:rPr>
              <w:t>二、强</w:t>
            </w:r>
            <w:r>
              <w:rPr>
                <w:rFonts w:hint="eastAsia"/>
              </w:rPr>
              <w:t>化规划源头管</w:t>
            </w:r>
            <w:r>
              <w:rPr>
                <w:rFonts w:hint="eastAsia"/>
                <w:spacing w:val="-6"/>
              </w:rPr>
              <w:lastRenderedPageBreak/>
              <w:t>理，严</w:t>
            </w:r>
            <w:r>
              <w:rPr>
                <w:rFonts w:hint="eastAsia"/>
              </w:rPr>
              <w:t>格露天矿山准入</w:t>
            </w:r>
          </w:p>
        </w:tc>
        <w:tc>
          <w:tcPr>
            <w:tcW w:w="5052" w:type="dxa"/>
          </w:tcPr>
          <w:p w14:paraId="25F62D20" w14:textId="77777777" w:rsidR="00E579B9" w:rsidRDefault="006A1398">
            <w:pPr>
              <w:pStyle w:val="aa"/>
            </w:pPr>
            <w:r>
              <w:rPr>
                <w:rFonts w:hint="eastAsia"/>
                <w:spacing w:val="-3"/>
              </w:rPr>
              <w:lastRenderedPageBreak/>
              <w:t>严格建材类露天矿山规模和安全条件准入。限制小型矿山开发，鼓励大型矿山建设。新设建筑石料类矿山储量</w:t>
            </w:r>
            <w:r>
              <w:rPr>
                <w:rFonts w:hint="eastAsia"/>
              </w:rPr>
              <w:t>规模必须达到</w:t>
            </w:r>
            <w:r>
              <w:t>1000</w:t>
            </w:r>
            <w:r>
              <w:rPr>
                <w:rFonts w:hint="eastAsia"/>
                <w:spacing w:val="-8"/>
              </w:rPr>
              <w:t>万吨以上，年开采规模必须达到</w:t>
            </w:r>
            <w:r>
              <w:t>100</w:t>
            </w:r>
            <w:r>
              <w:rPr>
                <w:rFonts w:hint="eastAsia"/>
                <w:spacing w:val="-3"/>
              </w:rPr>
              <w:t>万吨以上，鼓励在大中城市周边规划开采区内新设储量</w:t>
            </w:r>
            <w:r>
              <w:rPr>
                <w:rFonts w:hint="eastAsia"/>
              </w:rPr>
              <w:t>规模</w:t>
            </w:r>
            <w:r>
              <w:t>1</w:t>
            </w:r>
            <w:r>
              <w:rPr>
                <w:rFonts w:hint="eastAsia"/>
              </w:rPr>
              <w:t>亿吨以上，年开采规模</w:t>
            </w:r>
            <w:r>
              <w:t>1000</w:t>
            </w:r>
            <w:r>
              <w:rPr>
                <w:rFonts w:hint="eastAsia"/>
              </w:rPr>
              <w:t>万吨以上的矿山。</w:t>
            </w:r>
            <w:r>
              <w:rPr>
                <w:rFonts w:hint="eastAsia"/>
                <w:spacing w:val="-3"/>
              </w:rPr>
              <w:t>采用爆破方式开采的露天建筑石料类矿山，相邻矿山边</w:t>
            </w:r>
            <w:r>
              <w:rPr>
                <w:rFonts w:hint="eastAsia"/>
              </w:rPr>
              <w:t>界之间安全距离应大于</w:t>
            </w:r>
            <w:r>
              <w:t>300</w:t>
            </w:r>
            <w:r>
              <w:rPr>
                <w:rFonts w:hint="eastAsia"/>
              </w:rPr>
              <w:t>米。至</w:t>
            </w:r>
            <w:r>
              <w:t>2020</w:t>
            </w:r>
            <w:r>
              <w:rPr>
                <w:rFonts w:hint="eastAsia"/>
              </w:rPr>
              <w:t>年底开采规模为小型或相邻矿山边界之间安全距离小于</w:t>
            </w:r>
            <w:r>
              <w:t>300</w:t>
            </w:r>
            <w:r>
              <w:rPr>
                <w:rFonts w:hint="eastAsia"/>
              </w:rPr>
              <w:t>米的建筑石料类矿山全面退出。</w:t>
            </w:r>
          </w:p>
        </w:tc>
        <w:tc>
          <w:tcPr>
            <w:tcW w:w="2552" w:type="dxa"/>
            <w:vMerge w:val="restart"/>
          </w:tcPr>
          <w:p w14:paraId="702DF1E0" w14:textId="77777777" w:rsidR="00E579B9" w:rsidRDefault="00E579B9">
            <w:pPr>
              <w:pStyle w:val="aa"/>
              <w:rPr>
                <w:b/>
                <w:sz w:val="22"/>
              </w:rPr>
            </w:pPr>
          </w:p>
          <w:p w14:paraId="2DA502A1" w14:textId="77777777" w:rsidR="00E579B9" w:rsidRDefault="00E579B9">
            <w:pPr>
              <w:pStyle w:val="aa"/>
              <w:rPr>
                <w:b/>
                <w:sz w:val="22"/>
              </w:rPr>
            </w:pPr>
          </w:p>
          <w:p w14:paraId="2E62B5D4" w14:textId="77777777" w:rsidR="00E579B9" w:rsidRDefault="00E579B9">
            <w:pPr>
              <w:pStyle w:val="aa"/>
              <w:rPr>
                <w:b/>
                <w:sz w:val="26"/>
                <w:szCs w:val="26"/>
              </w:rPr>
            </w:pPr>
          </w:p>
          <w:p w14:paraId="1BE6499A" w14:textId="77777777" w:rsidR="00E579B9" w:rsidRDefault="006A1398">
            <w:pPr>
              <w:pStyle w:val="aa"/>
            </w:pPr>
            <w:r>
              <w:rPr>
                <w:rFonts w:hint="eastAsia"/>
              </w:rPr>
              <w:t>本项目为新建项目，矿种为建筑石料用大理岩，矿山储量为</w:t>
            </w:r>
            <w:r>
              <w:t>2069.89</w:t>
            </w:r>
            <w:r>
              <w:rPr>
                <w:rFonts w:hint="eastAsia"/>
                <w:spacing w:val="-8"/>
              </w:rPr>
              <w:t>万吨，开采规</w:t>
            </w:r>
            <w:r>
              <w:rPr>
                <w:rFonts w:hint="eastAsia"/>
              </w:rPr>
              <w:t>模为</w:t>
            </w:r>
            <w:r>
              <w:t>230</w:t>
            </w:r>
            <w:r>
              <w:rPr>
                <w:rFonts w:hint="eastAsia"/>
              </w:rPr>
              <w:t>万吨</w:t>
            </w:r>
            <w:r>
              <w:t>/</w:t>
            </w:r>
            <w:r>
              <w:rPr>
                <w:rFonts w:hint="eastAsia"/>
              </w:rPr>
              <w:t>年，属于大型矿山。项目矿区</w:t>
            </w:r>
            <w:r>
              <w:rPr>
                <w:rFonts w:hint="eastAsia"/>
              </w:rPr>
              <w:lastRenderedPageBreak/>
              <w:t>外</w:t>
            </w:r>
            <w:r>
              <w:t>300</w:t>
            </w:r>
            <w:r>
              <w:rPr>
                <w:rFonts w:hint="eastAsia"/>
              </w:rPr>
              <w:t>米范围内无其他矿山。</w:t>
            </w:r>
          </w:p>
        </w:tc>
        <w:tc>
          <w:tcPr>
            <w:tcW w:w="420" w:type="dxa"/>
            <w:vMerge w:val="restart"/>
          </w:tcPr>
          <w:p w14:paraId="6CA26CA3" w14:textId="77777777" w:rsidR="00E579B9" w:rsidRDefault="00E579B9">
            <w:pPr>
              <w:pStyle w:val="aa"/>
              <w:rPr>
                <w:b/>
                <w:sz w:val="20"/>
                <w:szCs w:val="20"/>
              </w:rPr>
            </w:pPr>
          </w:p>
          <w:p w14:paraId="2E2EA54C" w14:textId="77777777" w:rsidR="00E579B9" w:rsidRDefault="00E579B9">
            <w:pPr>
              <w:pStyle w:val="aa"/>
              <w:rPr>
                <w:b/>
                <w:sz w:val="20"/>
                <w:szCs w:val="20"/>
              </w:rPr>
            </w:pPr>
          </w:p>
          <w:p w14:paraId="4E8826A8" w14:textId="77777777" w:rsidR="00E579B9" w:rsidRDefault="00E579B9">
            <w:pPr>
              <w:pStyle w:val="aa"/>
              <w:rPr>
                <w:b/>
                <w:sz w:val="20"/>
                <w:szCs w:val="20"/>
              </w:rPr>
            </w:pPr>
          </w:p>
          <w:p w14:paraId="583FD0E6" w14:textId="77777777" w:rsidR="00E579B9" w:rsidRDefault="00E579B9">
            <w:pPr>
              <w:pStyle w:val="aa"/>
              <w:rPr>
                <w:b/>
                <w:sz w:val="20"/>
                <w:szCs w:val="20"/>
              </w:rPr>
            </w:pPr>
          </w:p>
          <w:p w14:paraId="233DE78A" w14:textId="77777777" w:rsidR="00E579B9" w:rsidRDefault="00E579B9">
            <w:pPr>
              <w:pStyle w:val="aa"/>
              <w:rPr>
                <w:b/>
                <w:sz w:val="20"/>
                <w:szCs w:val="20"/>
              </w:rPr>
            </w:pPr>
          </w:p>
          <w:p w14:paraId="18E866C3" w14:textId="77777777" w:rsidR="00E579B9" w:rsidRDefault="00E579B9">
            <w:pPr>
              <w:pStyle w:val="aa"/>
              <w:rPr>
                <w:b/>
                <w:sz w:val="20"/>
                <w:szCs w:val="20"/>
              </w:rPr>
            </w:pPr>
          </w:p>
          <w:p w14:paraId="26BB0136" w14:textId="77777777" w:rsidR="00E579B9" w:rsidRDefault="00E579B9">
            <w:pPr>
              <w:pStyle w:val="aa"/>
              <w:rPr>
                <w:b/>
                <w:sz w:val="20"/>
                <w:szCs w:val="20"/>
              </w:rPr>
            </w:pPr>
          </w:p>
          <w:p w14:paraId="6F2A3B32" w14:textId="77777777" w:rsidR="00E579B9" w:rsidRDefault="00E579B9">
            <w:pPr>
              <w:pStyle w:val="aa"/>
              <w:rPr>
                <w:b/>
                <w:sz w:val="20"/>
                <w:szCs w:val="20"/>
              </w:rPr>
            </w:pPr>
          </w:p>
          <w:p w14:paraId="422DF16A" w14:textId="77777777" w:rsidR="00E579B9" w:rsidRDefault="00E579B9">
            <w:pPr>
              <w:pStyle w:val="aa"/>
              <w:rPr>
                <w:b/>
                <w:sz w:val="23"/>
                <w:szCs w:val="23"/>
              </w:rPr>
            </w:pPr>
          </w:p>
          <w:p w14:paraId="779339E9" w14:textId="77777777" w:rsidR="00E579B9" w:rsidRDefault="006A1398">
            <w:pPr>
              <w:pStyle w:val="aa"/>
            </w:pPr>
            <w:r>
              <w:rPr>
                <w:rFonts w:hint="eastAsia"/>
              </w:rPr>
              <w:lastRenderedPageBreak/>
              <w:t>符合</w:t>
            </w:r>
          </w:p>
        </w:tc>
      </w:tr>
      <w:tr w:rsidR="00E579B9" w14:paraId="0157E21F" w14:textId="77777777">
        <w:trPr>
          <w:trHeight w:val="2188"/>
        </w:trPr>
        <w:tc>
          <w:tcPr>
            <w:tcW w:w="787" w:type="dxa"/>
            <w:vMerge/>
            <w:vAlign w:val="center"/>
          </w:tcPr>
          <w:p w14:paraId="2F5DA347" w14:textId="77777777" w:rsidR="00E579B9" w:rsidRDefault="00E579B9">
            <w:pPr>
              <w:pStyle w:val="aa"/>
            </w:pPr>
          </w:p>
        </w:tc>
        <w:tc>
          <w:tcPr>
            <w:tcW w:w="5052" w:type="dxa"/>
          </w:tcPr>
          <w:p w14:paraId="364DA892" w14:textId="77777777" w:rsidR="00E579B9" w:rsidRDefault="006A1398">
            <w:pPr>
              <w:pStyle w:val="aa"/>
            </w:pPr>
            <w:r>
              <w:rPr>
                <w:rFonts w:hint="eastAsia"/>
                <w:spacing w:val="-3"/>
              </w:rPr>
              <w:t>坚持先勘查后开发的原则。建筑石料类矿山出让前应先由财政出资査明资源状况，按照整体开发原则直接设置采矿权，适合整体开发的必须整体出让，严禁以自然山脊为界设置采矿权，禁止一矿多开、大矿小开，做到最</w:t>
            </w:r>
            <w:r>
              <w:rPr>
                <w:rFonts w:hint="eastAsia"/>
              </w:rPr>
              <w:t>终边坡高度最小化、最终底盘面积最大化。</w:t>
            </w:r>
          </w:p>
        </w:tc>
        <w:tc>
          <w:tcPr>
            <w:tcW w:w="2552" w:type="dxa"/>
            <w:vMerge/>
            <w:vAlign w:val="center"/>
          </w:tcPr>
          <w:p w14:paraId="5C48B158" w14:textId="77777777" w:rsidR="00E579B9" w:rsidRDefault="00E579B9">
            <w:pPr>
              <w:pStyle w:val="aa"/>
            </w:pPr>
          </w:p>
        </w:tc>
        <w:tc>
          <w:tcPr>
            <w:tcW w:w="420" w:type="dxa"/>
            <w:vMerge/>
            <w:vAlign w:val="center"/>
          </w:tcPr>
          <w:p w14:paraId="6BC861AC" w14:textId="77777777" w:rsidR="00E579B9" w:rsidRDefault="00E579B9">
            <w:pPr>
              <w:pStyle w:val="aa"/>
            </w:pPr>
          </w:p>
        </w:tc>
      </w:tr>
      <w:tr w:rsidR="00E579B9" w14:paraId="3C9171FB" w14:textId="77777777">
        <w:trPr>
          <w:trHeight w:val="1960"/>
        </w:trPr>
        <w:tc>
          <w:tcPr>
            <w:tcW w:w="787" w:type="dxa"/>
            <w:vMerge w:val="restart"/>
          </w:tcPr>
          <w:p w14:paraId="238A82A0" w14:textId="77777777" w:rsidR="00E579B9" w:rsidRDefault="00E579B9">
            <w:pPr>
              <w:pStyle w:val="aa"/>
              <w:rPr>
                <w:b/>
                <w:sz w:val="20"/>
                <w:szCs w:val="20"/>
              </w:rPr>
            </w:pPr>
          </w:p>
          <w:p w14:paraId="13C1F2EB" w14:textId="77777777" w:rsidR="00E579B9" w:rsidRDefault="006A1398">
            <w:pPr>
              <w:pStyle w:val="aa"/>
            </w:pPr>
            <w:r>
              <w:rPr>
                <w:rFonts w:hint="eastAsia"/>
                <w:spacing w:val="-6"/>
              </w:rPr>
              <w:t>三、加</w:t>
            </w:r>
            <w:r>
              <w:rPr>
                <w:rFonts w:hint="eastAsia"/>
              </w:rPr>
              <w:t>强矿山监督管</w:t>
            </w:r>
            <w:r>
              <w:rPr>
                <w:rFonts w:hint="eastAsia"/>
                <w:spacing w:val="-6"/>
              </w:rPr>
              <w:t>理，促</w:t>
            </w:r>
            <w:r>
              <w:rPr>
                <w:rFonts w:hint="eastAsia"/>
              </w:rPr>
              <w:t>进矿业健康发展</w:t>
            </w:r>
          </w:p>
        </w:tc>
        <w:tc>
          <w:tcPr>
            <w:tcW w:w="5052" w:type="dxa"/>
          </w:tcPr>
          <w:p w14:paraId="1290E898" w14:textId="77777777" w:rsidR="00E579B9" w:rsidRDefault="006A1398">
            <w:pPr>
              <w:pStyle w:val="aa"/>
            </w:pPr>
            <w:r>
              <w:rPr>
                <w:rFonts w:hint="eastAsia"/>
                <w:spacing w:val="-3"/>
              </w:rPr>
              <w:t>已设中小型建筑石料类露天矿山，不得新增开采量，不</w:t>
            </w:r>
            <w:r>
              <w:rPr>
                <w:rFonts w:hint="eastAsia"/>
              </w:rPr>
              <w:t>得扩大开采范围，原有可采储量开采完毕后不再延续。小型或相邻矿山边界之间安全距离小于</w:t>
            </w:r>
            <w:r>
              <w:t>300</w:t>
            </w:r>
            <w:r>
              <w:rPr>
                <w:rFonts w:hint="eastAsia"/>
              </w:rPr>
              <w:t>米的建筑石料类矿山，</w:t>
            </w:r>
            <w:r>
              <w:t>2020</w:t>
            </w:r>
            <w:r>
              <w:rPr>
                <w:rFonts w:hint="eastAsia"/>
              </w:rPr>
              <w:t>年底仍未开采完毕的，按照政策性</w:t>
            </w:r>
            <w:r>
              <w:rPr>
                <w:rFonts w:hint="eastAsia"/>
                <w:spacing w:val="-3"/>
              </w:rPr>
              <w:t>关闭政策，评估剩余可采储量退还相应价款，实施全面</w:t>
            </w:r>
            <w:r>
              <w:rPr>
                <w:rFonts w:hint="eastAsia"/>
              </w:rPr>
              <w:t>关闭退出</w:t>
            </w:r>
          </w:p>
        </w:tc>
        <w:tc>
          <w:tcPr>
            <w:tcW w:w="2552" w:type="dxa"/>
          </w:tcPr>
          <w:p w14:paraId="5C37C86D" w14:textId="77777777" w:rsidR="00E579B9" w:rsidRDefault="006A1398">
            <w:pPr>
              <w:pStyle w:val="aa"/>
            </w:pPr>
            <w:r>
              <w:rPr>
                <w:rFonts w:hint="eastAsia"/>
              </w:rPr>
              <w:t>本项目为新建大型建筑石料类露天矿山项目，项目矿区外</w:t>
            </w:r>
            <w:r>
              <w:t>300</w:t>
            </w:r>
            <w:r>
              <w:rPr>
                <w:rFonts w:hint="eastAsia"/>
              </w:rPr>
              <w:t>米范围内无其他矿山。</w:t>
            </w:r>
          </w:p>
        </w:tc>
        <w:tc>
          <w:tcPr>
            <w:tcW w:w="420" w:type="dxa"/>
            <w:vMerge w:val="restart"/>
          </w:tcPr>
          <w:p w14:paraId="6310DE71" w14:textId="77777777" w:rsidR="00E579B9" w:rsidRDefault="00E579B9">
            <w:pPr>
              <w:pStyle w:val="aa"/>
              <w:rPr>
                <w:b/>
                <w:sz w:val="20"/>
                <w:szCs w:val="20"/>
              </w:rPr>
            </w:pPr>
          </w:p>
          <w:p w14:paraId="1932794F" w14:textId="77777777" w:rsidR="00E579B9" w:rsidRDefault="00E579B9">
            <w:pPr>
              <w:pStyle w:val="aa"/>
              <w:rPr>
                <w:b/>
                <w:sz w:val="20"/>
                <w:szCs w:val="20"/>
              </w:rPr>
            </w:pPr>
          </w:p>
          <w:p w14:paraId="40648086" w14:textId="77777777" w:rsidR="00E579B9" w:rsidRDefault="00E579B9">
            <w:pPr>
              <w:pStyle w:val="aa"/>
              <w:rPr>
                <w:b/>
                <w:sz w:val="20"/>
                <w:szCs w:val="20"/>
              </w:rPr>
            </w:pPr>
          </w:p>
          <w:p w14:paraId="6AA370B0" w14:textId="77777777" w:rsidR="00E579B9" w:rsidRDefault="00E579B9">
            <w:pPr>
              <w:pStyle w:val="aa"/>
              <w:rPr>
                <w:b/>
                <w:sz w:val="20"/>
                <w:szCs w:val="20"/>
              </w:rPr>
            </w:pPr>
          </w:p>
          <w:p w14:paraId="1B27123E" w14:textId="77777777" w:rsidR="00E579B9" w:rsidRDefault="00E579B9">
            <w:pPr>
              <w:pStyle w:val="aa"/>
              <w:rPr>
                <w:b/>
                <w:sz w:val="20"/>
                <w:szCs w:val="20"/>
              </w:rPr>
            </w:pPr>
          </w:p>
          <w:p w14:paraId="44F38321" w14:textId="77777777" w:rsidR="00E579B9" w:rsidRDefault="00E579B9">
            <w:pPr>
              <w:pStyle w:val="aa"/>
              <w:rPr>
                <w:b/>
                <w:sz w:val="20"/>
                <w:szCs w:val="20"/>
              </w:rPr>
            </w:pPr>
          </w:p>
          <w:p w14:paraId="4CFA6214" w14:textId="77777777" w:rsidR="00E579B9" w:rsidRDefault="006A1398">
            <w:pPr>
              <w:pStyle w:val="aa"/>
            </w:pPr>
            <w:r>
              <w:rPr>
                <w:rFonts w:hint="eastAsia"/>
              </w:rPr>
              <w:t>符合</w:t>
            </w:r>
          </w:p>
        </w:tc>
      </w:tr>
      <w:tr w:rsidR="00E579B9" w14:paraId="19E76D68" w14:textId="77777777">
        <w:trPr>
          <w:trHeight w:val="1114"/>
        </w:trPr>
        <w:tc>
          <w:tcPr>
            <w:tcW w:w="787" w:type="dxa"/>
            <w:vMerge/>
            <w:vAlign w:val="center"/>
          </w:tcPr>
          <w:p w14:paraId="32CE866C" w14:textId="77777777" w:rsidR="00E579B9" w:rsidRDefault="00E579B9">
            <w:pPr>
              <w:pStyle w:val="aa"/>
            </w:pPr>
          </w:p>
        </w:tc>
        <w:tc>
          <w:tcPr>
            <w:tcW w:w="5052" w:type="dxa"/>
          </w:tcPr>
          <w:p w14:paraId="3807A7B7" w14:textId="77777777" w:rsidR="00E579B9" w:rsidRDefault="006A1398">
            <w:pPr>
              <w:pStyle w:val="aa"/>
            </w:pPr>
            <w:r>
              <w:rPr>
                <w:rFonts w:hint="eastAsia"/>
              </w:rPr>
              <w:t>建材类露天矿山开采境界内剥离物要全部进行综合回</w:t>
            </w:r>
            <w:r>
              <w:rPr>
                <w:rFonts w:hint="eastAsia"/>
                <w:spacing w:val="-3"/>
              </w:rPr>
              <w:t>收利用，并依法评估缴纳相应的出让收益，防止矿产资</w:t>
            </w:r>
            <w:r>
              <w:rPr>
                <w:rFonts w:hint="eastAsia"/>
              </w:rPr>
              <w:t>源的浪费和破坏。</w:t>
            </w:r>
          </w:p>
        </w:tc>
        <w:tc>
          <w:tcPr>
            <w:tcW w:w="2552" w:type="dxa"/>
          </w:tcPr>
          <w:p w14:paraId="18B9E017" w14:textId="77777777" w:rsidR="00E579B9" w:rsidRDefault="006A1398">
            <w:pPr>
              <w:pStyle w:val="aa"/>
            </w:pPr>
            <w:r>
              <w:rPr>
                <w:rFonts w:hint="eastAsia"/>
              </w:rPr>
              <w:t>矿区剥离表土妥善堆存于表土临时堆场，用于矿区生态恢复覆土。</w:t>
            </w:r>
          </w:p>
        </w:tc>
        <w:tc>
          <w:tcPr>
            <w:tcW w:w="420" w:type="dxa"/>
            <w:vMerge/>
            <w:vAlign w:val="center"/>
          </w:tcPr>
          <w:p w14:paraId="2DD68635" w14:textId="77777777" w:rsidR="00E579B9" w:rsidRDefault="00E579B9">
            <w:pPr>
              <w:pStyle w:val="aa"/>
            </w:pPr>
          </w:p>
        </w:tc>
      </w:tr>
      <w:tr w:rsidR="00E579B9" w14:paraId="0EBE2460" w14:textId="77777777">
        <w:trPr>
          <w:trHeight w:val="1223"/>
        </w:trPr>
        <w:tc>
          <w:tcPr>
            <w:tcW w:w="787" w:type="dxa"/>
            <w:vMerge/>
          </w:tcPr>
          <w:p w14:paraId="5E5CF390" w14:textId="77777777" w:rsidR="00E579B9" w:rsidRDefault="00E579B9">
            <w:pPr>
              <w:pStyle w:val="aa"/>
              <w:rPr>
                <w:rFonts w:ascii="Calibri" w:hAnsi="Calibri" w:cs="Times New Roman"/>
                <w:kern w:val="0"/>
                <w:sz w:val="22"/>
              </w:rPr>
            </w:pPr>
          </w:p>
        </w:tc>
        <w:tc>
          <w:tcPr>
            <w:tcW w:w="5052" w:type="dxa"/>
          </w:tcPr>
          <w:p w14:paraId="2EF8D1C7" w14:textId="77777777" w:rsidR="00E579B9" w:rsidRDefault="00E579B9">
            <w:pPr>
              <w:pStyle w:val="aa"/>
              <w:rPr>
                <w:rFonts w:cs="Times New Roman"/>
                <w:b/>
                <w:bCs/>
                <w:kern w:val="0"/>
                <w:sz w:val="20"/>
                <w:szCs w:val="20"/>
              </w:rPr>
            </w:pPr>
          </w:p>
          <w:p w14:paraId="1A947971" w14:textId="77777777" w:rsidR="00E579B9" w:rsidRDefault="00E579B9">
            <w:pPr>
              <w:pStyle w:val="aa"/>
              <w:rPr>
                <w:rFonts w:cs="Times New Roman"/>
                <w:b/>
                <w:bCs/>
                <w:kern w:val="0"/>
                <w:sz w:val="23"/>
                <w:szCs w:val="23"/>
              </w:rPr>
            </w:pPr>
          </w:p>
          <w:p w14:paraId="4D0395BA" w14:textId="77777777" w:rsidR="00E579B9" w:rsidRDefault="006A1398">
            <w:pPr>
              <w:pStyle w:val="aa"/>
              <w:rPr>
                <w:rFonts w:cs="Times New Roman"/>
                <w:kern w:val="0"/>
                <w:szCs w:val="21"/>
              </w:rPr>
            </w:pPr>
            <w:r>
              <w:rPr>
                <w:rFonts w:cs="Times New Roman" w:hint="eastAsia"/>
                <w:spacing w:val="-3"/>
                <w:kern w:val="0"/>
                <w:szCs w:val="21"/>
              </w:rPr>
              <w:t>露天矿山必须用台阶式开采方法和中深孔爆破作业，并</w:t>
            </w:r>
            <w:r>
              <w:rPr>
                <w:rFonts w:cs="Times New Roman" w:hint="eastAsia"/>
                <w:kern w:val="0"/>
                <w:szCs w:val="21"/>
              </w:rPr>
              <w:t>严格落实边坡安全措施。</w:t>
            </w:r>
          </w:p>
        </w:tc>
        <w:tc>
          <w:tcPr>
            <w:tcW w:w="2552" w:type="dxa"/>
          </w:tcPr>
          <w:p w14:paraId="1D93EAD2" w14:textId="77777777" w:rsidR="00E579B9" w:rsidRDefault="006A1398">
            <w:pPr>
              <w:pStyle w:val="aa"/>
              <w:rPr>
                <w:rFonts w:cs="Times New Roman"/>
                <w:kern w:val="0"/>
                <w:szCs w:val="21"/>
              </w:rPr>
            </w:pPr>
            <w:r>
              <w:rPr>
                <w:rFonts w:cs="Times New Roman" w:hint="eastAsia"/>
                <w:kern w:val="0"/>
                <w:szCs w:val="21"/>
              </w:rPr>
              <w:t>本项目采用台阶式开采方法和中深孔爆破作业，在采场、表土场等处均有边坡防护措施</w:t>
            </w:r>
          </w:p>
        </w:tc>
        <w:tc>
          <w:tcPr>
            <w:tcW w:w="420" w:type="dxa"/>
            <w:vMerge/>
          </w:tcPr>
          <w:p w14:paraId="4EA4437E" w14:textId="77777777" w:rsidR="00E579B9" w:rsidRDefault="00E579B9">
            <w:pPr>
              <w:pStyle w:val="aa"/>
              <w:rPr>
                <w:rFonts w:ascii="Calibri" w:hAnsi="Calibri" w:cs="Times New Roman"/>
                <w:kern w:val="0"/>
                <w:sz w:val="22"/>
              </w:rPr>
            </w:pPr>
          </w:p>
        </w:tc>
      </w:tr>
    </w:tbl>
    <w:p w14:paraId="2F86240F" w14:textId="77777777" w:rsidR="00E579B9" w:rsidRDefault="00E579B9">
      <w:pPr>
        <w:widowControl w:val="0"/>
        <w:spacing w:before="6" w:line="240" w:lineRule="auto"/>
        <w:ind w:firstLineChars="0" w:firstLine="0"/>
        <w:rPr>
          <w:rFonts w:ascii="宋体" w:hAnsi="宋体" w:cs="Times New Roman"/>
          <w:b/>
          <w:bCs/>
          <w:kern w:val="0"/>
          <w:sz w:val="8"/>
          <w:szCs w:val="8"/>
        </w:rPr>
      </w:pPr>
    </w:p>
    <w:p w14:paraId="48221B3B" w14:textId="77777777" w:rsidR="00E579B9" w:rsidRDefault="006A1398">
      <w:r>
        <w:rPr>
          <w:rFonts w:hint="eastAsia"/>
        </w:rPr>
        <w:t>综上所述，本项目符合《关于进一步加强露天矿山开发与综合整治工作的通知》（豫国土资发（</w:t>
      </w:r>
      <w:r>
        <w:t>2018</w:t>
      </w:r>
      <w:r>
        <w:rPr>
          <w:rFonts w:hint="eastAsia"/>
        </w:rPr>
        <w:t>）</w:t>
      </w:r>
      <w:r>
        <w:t>16</w:t>
      </w:r>
      <w:r>
        <w:rPr>
          <w:rFonts w:hint="eastAsia"/>
        </w:rPr>
        <w:t>号）。</w:t>
      </w:r>
    </w:p>
    <w:p w14:paraId="5F7B80B8" w14:textId="77777777" w:rsidR="00E579B9" w:rsidRDefault="006A1398">
      <w:pPr>
        <w:pStyle w:val="3"/>
        <w:ind w:firstLine="560"/>
      </w:pPr>
      <w:r>
        <w:rPr>
          <w:rFonts w:hint="eastAsia"/>
        </w:rPr>
        <w:t>10.1.1</w:t>
      </w:r>
      <w:r>
        <w:t>7</w:t>
      </w:r>
      <w:r>
        <w:rPr>
          <w:rFonts w:hint="eastAsia"/>
        </w:rPr>
        <w:t>与《河南省生态环境厅关于印发河南省工业大气污染防治</w:t>
      </w:r>
      <w:r>
        <w:rPr>
          <w:rFonts w:hint="eastAsia"/>
        </w:rPr>
        <w:t>6</w:t>
      </w:r>
      <w:r>
        <w:rPr>
          <w:rFonts w:hint="eastAsia"/>
        </w:rPr>
        <w:t>个专项方案的通知》（豫环文</w:t>
      </w:r>
      <w:r>
        <w:rPr>
          <w:rFonts w:hint="eastAsia"/>
        </w:rPr>
        <w:t>[2019]84</w:t>
      </w:r>
      <w:r>
        <w:rPr>
          <w:rFonts w:hint="eastAsia"/>
        </w:rPr>
        <w:t>号）的相符性</w:t>
      </w:r>
    </w:p>
    <w:p w14:paraId="20060E54" w14:textId="77777777" w:rsidR="00E579B9" w:rsidRDefault="006A1398">
      <w:pPr>
        <w:widowControl w:val="0"/>
        <w:spacing w:line="520" w:lineRule="exact"/>
        <w:ind w:firstLineChars="0" w:firstLine="0"/>
        <w:jc w:val="both"/>
        <w:rPr>
          <w:rFonts w:cs="Times New Roman"/>
          <w:szCs w:val="24"/>
        </w:rPr>
      </w:pPr>
      <w:r>
        <w:rPr>
          <w:rFonts w:ascii="宋体" w:hAnsi="宋体" w:cs="Times New Roman" w:hint="eastAsia"/>
          <w:szCs w:val="24"/>
        </w:rPr>
        <w:t>本项目与《河南省</w:t>
      </w:r>
      <w:r>
        <w:rPr>
          <w:rFonts w:cs="Times New Roman" w:hint="eastAsia"/>
          <w:szCs w:val="24"/>
        </w:rPr>
        <w:t>2019</w:t>
      </w:r>
      <w:r>
        <w:rPr>
          <w:rFonts w:ascii="宋体" w:hAnsi="宋体" w:cs="Times New Roman" w:hint="eastAsia"/>
          <w:szCs w:val="24"/>
        </w:rPr>
        <w:t>年工业企业无组织排放治理方案》的符合性见表</w:t>
      </w:r>
      <w:r>
        <w:rPr>
          <w:rFonts w:cs="Times New Roman"/>
          <w:szCs w:val="24"/>
        </w:rPr>
        <w:t>10.1-10</w:t>
      </w:r>
      <w:r>
        <w:rPr>
          <w:rFonts w:ascii="宋体" w:hAnsi="宋体" w:cs="Times New Roman" w:hint="eastAsia"/>
          <w:szCs w:val="24"/>
        </w:rPr>
        <w:t>。</w:t>
      </w:r>
    </w:p>
    <w:p w14:paraId="23606D2E" w14:textId="77777777" w:rsidR="00E579B9" w:rsidRDefault="00E579B9">
      <w:pPr>
        <w:widowControl w:val="0"/>
        <w:spacing w:line="520" w:lineRule="exact"/>
        <w:jc w:val="both"/>
        <w:rPr>
          <w:rFonts w:cs="Times New Roman"/>
          <w:szCs w:val="24"/>
        </w:rPr>
        <w:sectPr w:rsidR="00E579B9">
          <w:pgSz w:w="12240" w:h="15840"/>
          <w:pgMar w:top="1440" w:right="1800" w:bottom="1440" w:left="1800" w:header="720" w:footer="720" w:gutter="0"/>
          <w:cols w:space="720"/>
        </w:sectPr>
      </w:pPr>
    </w:p>
    <w:p w14:paraId="45494E2F" w14:textId="77777777" w:rsidR="00E579B9" w:rsidRDefault="006A1398">
      <w:pPr>
        <w:widowControl w:val="0"/>
        <w:spacing w:line="520" w:lineRule="exact"/>
        <w:jc w:val="center"/>
        <w:rPr>
          <w:rFonts w:eastAsia="黑体" w:hAnsi="Calibri" w:cs="Times New Roman"/>
          <w:kern w:val="0"/>
          <w:szCs w:val="24"/>
        </w:rPr>
      </w:pPr>
      <w:r>
        <w:rPr>
          <w:rFonts w:ascii="黑体" w:eastAsia="黑体" w:hAnsi="黑体" w:cs="宋体" w:hint="eastAsia"/>
          <w:kern w:val="0"/>
          <w:szCs w:val="24"/>
        </w:rPr>
        <w:lastRenderedPageBreak/>
        <w:t>表</w:t>
      </w:r>
      <w:r>
        <w:rPr>
          <w:rFonts w:eastAsia="黑体" w:hAnsi="Calibri" w:cs="Times New Roman"/>
          <w:kern w:val="0"/>
          <w:szCs w:val="24"/>
        </w:rPr>
        <w:t>10.1-10</w:t>
      </w:r>
      <w:r>
        <w:rPr>
          <w:rFonts w:ascii="黑体" w:eastAsia="黑体" w:hAnsi="黑体" w:cs="宋体" w:hint="eastAsia"/>
          <w:kern w:val="0"/>
          <w:szCs w:val="24"/>
        </w:rPr>
        <w:t>项目与《河南省</w:t>
      </w:r>
      <w:r>
        <w:rPr>
          <w:rFonts w:eastAsia="黑体" w:hAnsi="Calibri" w:cs="宋体" w:hint="eastAsia"/>
          <w:kern w:val="0"/>
          <w:szCs w:val="24"/>
        </w:rPr>
        <w:t>2019</w:t>
      </w:r>
      <w:r>
        <w:rPr>
          <w:rFonts w:ascii="黑体" w:eastAsia="黑体" w:hAnsi="黑体" w:cs="宋体" w:hint="eastAsia"/>
          <w:kern w:val="0"/>
          <w:szCs w:val="24"/>
        </w:rPr>
        <w:t>年工业企业无组织排放治理方案》相符性分析</w:t>
      </w:r>
    </w:p>
    <w:tbl>
      <w:tblPr>
        <w:tblW w:w="13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836"/>
        <w:gridCol w:w="699"/>
        <w:gridCol w:w="6568"/>
        <w:gridCol w:w="3464"/>
        <w:gridCol w:w="912"/>
      </w:tblGrid>
      <w:tr w:rsidR="00E579B9" w14:paraId="5FD16F95" w14:textId="77777777">
        <w:tc>
          <w:tcPr>
            <w:tcW w:w="663" w:type="dxa"/>
            <w:vMerge w:val="restart"/>
            <w:tcBorders>
              <w:top w:val="single" w:sz="4" w:space="0" w:color="000000"/>
              <w:left w:val="single" w:sz="4" w:space="0" w:color="000000"/>
              <w:bottom w:val="single" w:sz="4" w:space="0" w:color="000000"/>
              <w:right w:val="single" w:sz="4" w:space="0" w:color="000000"/>
            </w:tcBorders>
            <w:vAlign w:val="center"/>
          </w:tcPr>
          <w:p w14:paraId="28493E10" w14:textId="77777777" w:rsidR="00E579B9" w:rsidRDefault="006A1398">
            <w:pPr>
              <w:widowControl w:val="0"/>
              <w:spacing w:line="360" w:lineRule="exact"/>
              <w:ind w:firstLineChars="0" w:firstLine="0"/>
              <w:jc w:val="center"/>
              <w:rPr>
                <w:rFonts w:cs="Times New Roman"/>
                <w:sz w:val="21"/>
                <w:szCs w:val="21"/>
              </w:rPr>
            </w:pPr>
            <w:r>
              <w:rPr>
                <w:rFonts w:cs="Times New Roman"/>
                <w:sz w:val="21"/>
                <w:szCs w:val="21"/>
              </w:rPr>
              <w:t>水泥行业无组织排放治理标准</w:t>
            </w:r>
          </w:p>
        </w:tc>
        <w:tc>
          <w:tcPr>
            <w:tcW w:w="836" w:type="dxa"/>
            <w:tcBorders>
              <w:top w:val="single" w:sz="4" w:space="0" w:color="000000"/>
              <w:left w:val="nil"/>
              <w:bottom w:val="single" w:sz="4" w:space="0" w:color="000000"/>
              <w:right w:val="single" w:sz="4" w:space="0" w:color="000000"/>
            </w:tcBorders>
            <w:vAlign w:val="center"/>
          </w:tcPr>
          <w:p w14:paraId="1CDEAF4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生产环节</w:t>
            </w:r>
          </w:p>
        </w:tc>
        <w:tc>
          <w:tcPr>
            <w:tcW w:w="699" w:type="dxa"/>
            <w:tcBorders>
              <w:top w:val="single" w:sz="4" w:space="0" w:color="000000"/>
              <w:left w:val="nil"/>
              <w:bottom w:val="single" w:sz="4" w:space="0" w:color="000000"/>
              <w:right w:val="single" w:sz="4" w:space="0" w:color="000000"/>
            </w:tcBorders>
            <w:vAlign w:val="center"/>
          </w:tcPr>
          <w:p w14:paraId="25F5F00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序号</w:t>
            </w:r>
          </w:p>
        </w:tc>
        <w:tc>
          <w:tcPr>
            <w:tcW w:w="6568" w:type="dxa"/>
            <w:tcBorders>
              <w:top w:val="single" w:sz="4" w:space="0" w:color="000000"/>
              <w:left w:val="nil"/>
              <w:bottom w:val="single" w:sz="4" w:space="0" w:color="000000"/>
              <w:right w:val="single" w:sz="4" w:space="0" w:color="000000"/>
            </w:tcBorders>
            <w:vAlign w:val="center"/>
          </w:tcPr>
          <w:p w14:paraId="67055AAF"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详细要求</w:t>
            </w:r>
          </w:p>
        </w:tc>
        <w:tc>
          <w:tcPr>
            <w:tcW w:w="3464" w:type="dxa"/>
            <w:tcBorders>
              <w:top w:val="single" w:sz="4" w:space="0" w:color="000000"/>
              <w:left w:val="nil"/>
              <w:bottom w:val="single" w:sz="4" w:space="0" w:color="000000"/>
              <w:right w:val="single" w:sz="4" w:space="0" w:color="000000"/>
            </w:tcBorders>
            <w:vAlign w:val="center"/>
          </w:tcPr>
          <w:p w14:paraId="5374E33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本项目情况</w:t>
            </w:r>
          </w:p>
        </w:tc>
        <w:tc>
          <w:tcPr>
            <w:tcW w:w="912" w:type="dxa"/>
            <w:tcBorders>
              <w:top w:val="single" w:sz="4" w:space="0" w:color="000000"/>
              <w:left w:val="nil"/>
              <w:bottom w:val="single" w:sz="4" w:space="0" w:color="000000"/>
              <w:right w:val="single" w:sz="4" w:space="0" w:color="000000"/>
            </w:tcBorders>
            <w:vAlign w:val="center"/>
          </w:tcPr>
          <w:p w14:paraId="463E51B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符合性</w:t>
            </w:r>
          </w:p>
        </w:tc>
      </w:tr>
      <w:tr w:rsidR="00E579B9" w14:paraId="20BB7DAC"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00B29760" w14:textId="77777777" w:rsidR="00E579B9" w:rsidRDefault="00E579B9">
            <w:pPr>
              <w:spacing w:line="240" w:lineRule="auto"/>
              <w:ind w:firstLineChars="0" w:firstLine="0"/>
              <w:rPr>
                <w:rFonts w:cs="Times New Roman"/>
                <w:sz w:val="21"/>
                <w:szCs w:val="21"/>
              </w:rPr>
            </w:pPr>
          </w:p>
        </w:tc>
        <w:tc>
          <w:tcPr>
            <w:tcW w:w="836" w:type="dxa"/>
            <w:vMerge w:val="restart"/>
            <w:tcBorders>
              <w:top w:val="nil"/>
              <w:left w:val="nil"/>
              <w:bottom w:val="single" w:sz="4" w:space="0" w:color="000000"/>
              <w:right w:val="single" w:sz="4" w:space="0" w:color="000000"/>
            </w:tcBorders>
            <w:vAlign w:val="center"/>
          </w:tcPr>
          <w:p w14:paraId="5E65F518"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料场密闭治理</w:t>
            </w:r>
          </w:p>
        </w:tc>
        <w:tc>
          <w:tcPr>
            <w:tcW w:w="699" w:type="dxa"/>
            <w:tcBorders>
              <w:top w:val="single" w:sz="4" w:space="0" w:color="000000"/>
              <w:left w:val="nil"/>
              <w:bottom w:val="single" w:sz="4" w:space="0" w:color="000000"/>
              <w:right w:val="single" w:sz="4" w:space="0" w:color="000000"/>
            </w:tcBorders>
            <w:vAlign w:val="center"/>
          </w:tcPr>
          <w:p w14:paraId="087894E8"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1</w:t>
            </w:r>
          </w:p>
        </w:tc>
        <w:tc>
          <w:tcPr>
            <w:tcW w:w="6568" w:type="dxa"/>
            <w:tcBorders>
              <w:top w:val="single" w:sz="4" w:space="0" w:color="000000"/>
              <w:left w:val="nil"/>
              <w:bottom w:val="single" w:sz="4" w:space="0" w:color="000000"/>
              <w:right w:val="single" w:sz="4" w:space="0" w:color="000000"/>
            </w:tcBorders>
            <w:vAlign w:val="center"/>
          </w:tcPr>
          <w:p w14:paraId="14F5388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所有物料（包括原辅料、半成品、成品）进库存放，厂界内无露天堆放物料。石灰石、页岩、泥岩、粉煤灰、煤矸石、原煤、水泥熟料、矿渣等所有原燃料均在全封闭式料场内存放。料场安装喷雾抑尘设施。如因部分原料无法见水的应在料场内安装抽风除尘设施，在物料装卸、料场内转运时开启抽风除尘设施，防治灰尘外逸。</w:t>
            </w:r>
          </w:p>
        </w:tc>
        <w:tc>
          <w:tcPr>
            <w:tcW w:w="3464" w:type="dxa"/>
            <w:tcBorders>
              <w:top w:val="single" w:sz="4" w:space="0" w:color="000000"/>
              <w:left w:val="nil"/>
              <w:bottom w:val="single" w:sz="4" w:space="0" w:color="000000"/>
              <w:right w:val="single" w:sz="4" w:space="0" w:color="000000"/>
            </w:tcBorders>
            <w:vAlign w:val="center"/>
          </w:tcPr>
          <w:p w14:paraId="1E86B8B6"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项目产品设置全密闭式产品仓库暂存，并设置了喷雾洒水装置</w:t>
            </w:r>
          </w:p>
        </w:tc>
        <w:tc>
          <w:tcPr>
            <w:tcW w:w="912" w:type="dxa"/>
            <w:tcBorders>
              <w:top w:val="single" w:sz="4" w:space="0" w:color="000000"/>
              <w:left w:val="nil"/>
              <w:bottom w:val="single" w:sz="4" w:space="0" w:color="000000"/>
              <w:right w:val="single" w:sz="4" w:space="0" w:color="000000"/>
            </w:tcBorders>
            <w:vAlign w:val="center"/>
          </w:tcPr>
          <w:p w14:paraId="3168E8E6"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3EC86A09"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53D0F937"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12F582A2"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6FA1378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2</w:t>
            </w:r>
          </w:p>
        </w:tc>
        <w:tc>
          <w:tcPr>
            <w:tcW w:w="6568" w:type="dxa"/>
            <w:tcBorders>
              <w:top w:val="single" w:sz="4" w:space="0" w:color="000000"/>
              <w:left w:val="nil"/>
              <w:bottom w:val="single" w:sz="4" w:space="0" w:color="000000"/>
              <w:right w:val="single" w:sz="4" w:space="0" w:color="000000"/>
            </w:tcBorders>
            <w:vAlign w:val="center"/>
          </w:tcPr>
          <w:p w14:paraId="16DCE6A1" w14:textId="77777777" w:rsidR="00E579B9" w:rsidRDefault="006A1398">
            <w:pPr>
              <w:widowControl w:val="0"/>
              <w:spacing w:line="360" w:lineRule="exact"/>
              <w:ind w:firstLineChars="0" w:firstLine="0"/>
              <w:jc w:val="center"/>
              <w:rPr>
                <w:rFonts w:cs="Times New Roman"/>
                <w:sz w:val="23"/>
                <w:szCs w:val="23"/>
              </w:rPr>
            </w:pPr>
            <w:r>
              <w:rPr>
                <w:rFonts w:cs="Times New Roman" w:hint="eastAsia"/>
                <w:sz w:val="21"/>
                <w:szCs w:val="21"/>
              </w:rPr>
              <w:t>密闭料场必须覆盖所有堆场料区（堆放区、工作区和主通道区）。</w:t>
            </w:r>
          </w:p>
        </w:tc>
        <w:tc>
          <w:tcPr>
            <w:tcW w:w="3464" w:type="dxa"/>
            <w:tcBorders>
              <w:top w:val="single" w:sz="4" w:space="0" w:color="000000"/>
              <w:left w:val="nil"/>
              <w:bottom w:val="single" w:sz="4" w:space="0" w:color="000000"/>
              <w:right w:val="single" w:sz="4" w:space="0" w:color="000000"/>
            </w:tcBorders>
            <w:vAlign w:val="center"/>
          </w:tcPr>
          <w:p w14:paraId="33887034"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项目设置了密闭产品仓库，产品堆放、装卸均位于密闭仓库内</w:t>
            </w:r>
          </w:p>
        </w:tc>
        <w:tc>
          <w:tcPr>
            <w:tcW w:w="912" w:type="dxa"/>
            <w:tcBorders>
              <w:top w:val="single" w:sz="4" w:space="0" w:color="000000"/>
              <w:left w:val="nil"/>
              <w:bottom w:val="single" w:sz="4" w:space="0" w:color="000000"/>
              <w:right w:val="single" w:sz="4" w:space="0" w:color="000000"/>
            </w:tcBorders>
            <w:vAlign w:val="center"/>
          </w:tcPr>
          <w:p w14:paraId="144539D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1CDF949D"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2998A3F4"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5FD68275"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4357B2E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3</w:t>
            </w:r>
          </w:p>
        </w:tc>
        <w:tc>
          <w:tcPr>
            <w:tcW w:w="6568" w:type="dxa"/>
            <w:tcBorders>
              <w:top w:val="single" w:sz="4" w:space="0" w:color="000000"/>
              <w:left w:val="nil"/>
              <w:bottom w:val="single" w:sz="4" w:space="0" w:color="000000"/>
              <w:right w:val="single" w:sz="4" w:space="0" w:color="000000"/>
            </w:tcBorders>
            <w:vAlign w:val="center"/>
          </w:tcPr>
          <w:p w14:paraId="1676E6B7"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车间、料库四面密闭，通道口安装卷帘门、推拉门等封闭性良好且便于开关的硬质门，在无车辆出入时将门关闭，保证空气合理流动不产生湍流。</w:t>
            </w:r>
          </w:p>
        </w:tc>
        <w:tc>
          <w:tcPr>
            <w:tcW w:w="3464" w:type="dxa"/>
            <w:tcBorders>
              <w:top w:val="single" w:sz="4" w:space="0" w:color="000000"/>
              <w:left w:val="nil"/>
              <w:bottom w:val="single" w:sz="4" w:space="0" w:color="000000"/>
              <w:right w:val="single" w:sz="4" w:space="0" w:color="000000"/>
            </w:tcBorders>
            <w:vAlign w:val="center"/>
          </w:tcPr>
          <w:p w14:paraId="6A7DC70E"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破碎车间加装推拉门设置为密闭式；项目设置了密闭筛分车间、产品仓库，筛分车间为全封闭式，产品仓库设置有推拉门</w:t>
            </w:r>
          </w:p>
        </w:tc>
        <w:tc>
          <w:tcPr>
            <w:tcW w:w="912" w:type="dxa"/>
            <w:tcBorders>
              <w:top w:val="single" w:sz="4" w:space="0" w:color="000000"/>
              <w:left w:val="nil"/>
              <w:bottom w:val="single" w:sz="4" w:space="0" w:color="000000"/>
              <w:right w:val="single" w:sz="4" w:space="0" w:color="000000"/>
            </w:tcBorders>
            <w:vAlign w:val="center"/>
          </w:tcPr>
          <w:p w14:paraId="764A565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29400AAA"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4854FD50"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7F86BB54"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6ECD7A7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4</w:t>
            </w:r>
          </w:p>
        </w:tc>
        <w:tc>
          <w:tcPr>
            <w:tcW w:w="6568" w:type="dxa"/>
            <w:tcBorders>
              <w:top w:val="single" w:sz="4" w:space="0" w:color="000000"/>
              <w:left w:val="nil"/>
              <w:bottom w:val="single" w:sz="4" w:space="0" w:color="000000"/>
              <w:right w:val="single" w:sz="4" w:space="0" w:color="000000"/>
            </w:tcBorders>
            <w:vAlign w:val="center"/>
          </w:tcPr>
          <w:p w14:paraId="5BE088F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所有地面完成硬化或绿化，并保证除物料堆放区域外及产尘点周边没有明显积尘。</w:t>
            </w:r>
          </w:p>
        </w:tc>
        <w:tc>
          <w:tcPr>
            <w:tcW w:w="3464" w:type="dxa"/>
            <w:tcBorders>
              <w:top w:val="single" w:sz="4" w:space="0" w:color="000000"/>
              <w:left w:val="nil"/>
              <w:bottom w:val="single" w:sz="4" w:space="0" w:color="000000"/>
              <w:right w:val="single" w:sz="4" w:space="0" w:color="000000"/>
            </w:tcBorders>
            <w:vAlign w:val="center"/>
          </w:tcPr>
          <w:p w14:paraId="4FF436B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项目现状破碎场地产品仓库全部进行硬化，项目物料堆存于密闭产品仓库内</w:t>
            </w:r>
          </w:p>
        </w:tc>
        <w:tc>
          <w:tcPr>
            <w:tcW w:w="912" w:type="dxa"/>
            <w:tcBorders>
              <w:top w:val="single" w:sz="4" w:space="0" w:color="000000"/>
              <w:left w:val="nil"/>
              <w:bottom w:val="single" w:sz="4" w:space="0" w:color="000000"/>
              <w:right w:val="single" w:sz="4" w:space="0" w:color="000000"/>
            </w:tcBorders>
            <w:vAlign w:val="center"/>
          </w:tcPr>
          <w:p w14:paraId="66E2E38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0532B8BB"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18E5D3F5"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44011A52"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795B9E18"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5</w:t>
            </w:r>
          </w:p>
        </w:tc>
        <w:tc>
          <w:tcPr>
            <w:tcW w:w="6568" w:type="dxa"/>
            <w:tcBorders>
              <w:top w:val="single" w:sz="4" w:space="0" w:color="000000"/>
              <w:left w:val="nil"/>
              <w:bottom w:val="single" w:sz="4" w:space="0" w:color="000000"/>
              <w:right w:val="single" w:sz="4" w:space="0" w:color="000000"/>
            </w:tcBorders>
            <w:vAlign w:val="center"/>
          </w:tcPr>
          <w:p w14:paraId="4ACCE48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每个下料口设置独立集气罩，配套的除尘设施不与其他工序混用。</w:t>
            </w:r>
          </w:p>
        </w:tc>
        <w:tc>
          <w:tcPr>
            <w:tcW w:w="3464" w:type="dxa"/>
            <w:tcBorders>
              <w:top w:val="single" w:sz="4" w:space="0" w:color="000000"/>
              <w:left w:val="nil"/>
              <w:bottom w:val="single" w:sz="4" w:space="0" w:color="000000"/>
              <w:right w:val="single" w:sz="4" w:space="0" w:color="000000"/>
            </w:tcBorders>
            <w:vAlign w:val="center"/>
          </w:tcPr>
          <w:p w14:paraId="3168A301"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项目筛分、破碎下料口均设置有集气罩，收集粉尘经</w:t>
            </w:r>
            <w:r>
              <w:rPr>
                <w:rFonts w:cs="Times New Roman" w:hint="eastAsia"/>
                <w:sz w:val="21"/>
                <w:szCs w:val="21"/>
              </w:rPr>
              <w:t>2</w:t>
            </w:r>
            <w:r>
              <w:rPr>
                <w:rFonts w:ascii="宋体" w:hAnsi="宋体" w:cs="Times New Roman" w:hint="eastAsia"/>
                <w:sz w:val="21"/>
                <w:szCs w:val="21"/>
              </w:rPr>
              <w:t>套脉冲袋式除尘器处理后排放</w:t>
            </w:r>
          </w:p>
        </w:tc>
        <w:tc>
          <w:tcPr>
            <w:tcW w:w="912" w:type="dxa"/>
            <w:tcBorders>
              <w:top w:val="single" w:sz="4" w:space="0" w:color="000000"/>
              <w:left w:val="nil"/>
              <w:bottom w:val="single" w:sz="4" w:space="0" w:color="000000"/>
              <w:right w:val="single" w:sz="4" w:space="0" w:color="000000"/>
            </w:tcBorders>
            <w:vAlign w:val="center"/>
          </w:tcPr>
          <w:p w14:paraId="16423688"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6E134805"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05E58FB1"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52C61DCA"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1571B9D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6</w:t>
            </w:r>
          </w:p>
        </w:tc>
        <w:tc>
          <w:tcPr>
            <w:tcW w:w="6568" w:type="dxa"/>
            <w:tcBorders>
              <w:top w:val="single" w:sz="4" w:space="0" w:color="000000"/>
              <w:left w:val="nil"/>
              <w:bottom w:val="single" w:sz="4" w:space="0" w:color="000000"/>
              <w:right w:val="single" w:sz="4" w:space="0" w:color="000000"/>
            </w:tcBorders>
            <w:vAlign w:val="center"/>
          </w:tcPr>
          <w:p w14:paraId="46F2E5F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料场出口应安装自动感应式车辆冲洗装置，保证出场车辆车轮车身干净、运行不起尘。</w:t>
            </w:r>
          </w:p>
        </w:tc>
        <w:tc>
          <w:tcPr>
            <w:tcW w:w="3464" w:type="dxa"/>
            <w:tcBorders>
              <w:top w:val="single" w:sz="4" w:space="0" w:color="000000"/>
              <w:left w:val="nil"/>
              <w:bottom w:val="single" w:sz="4" w:space="0" w:color="000000"/>
              <w:right w:val="single" w:sz="4" w:space="0" w:color="000000"/>
            </w:tcBorders>
            <w:vAlign w:val="center"/>
          </w:tcPr>
          <w:p w14:paraId="6F6DEAEE"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项目破碎场地料场出口处设置自动感应式车辆冲洗装置，进出车辆经</w:t>
            </w:r>
            <w:r>
              <w:rPr>
                <w:rFonts w:cs="Times New Roman" w:hint="eastAsia"/>
                <w:sz w:val="21"/>
                <w:szCs w:val="21"/>
              </w:rPr>
              <w:lastRenderedPageBreak/>
              <w:t>冲洗后进出破碎场地</w:t>
            </w:r>
          </w:p>
        </w:tc>
        <w:tc>
          <w:tcPr>
            <w:tcW w:w="912" w:type="dxa"/>
            <w:tcBorders>
              <w:top w:val="single" w:sz="4" w:space="0" w:color="000000"/>
              <w:left w:val="nil"/>
              <w:bottom w:val="single" w:sz="4" w:space="0" w:color="000000"/>
              <w:right w:val="single" w:sz="4" w:space="0" w:color="000000"/>
            </w:tcBorders>
            <w:vAlign w:val="center"/>
          </w:tcPr>
          <w:p w14:paraId="66DAAC5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lastRenderedPageBreak/>
              <w:t>符合</w:t>
            </w:r>
          </w:p>
        </w:tc>
      </w:tr>
      <w:tr w:rsidR="00E579B9" w14:paraId="3D671E20"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74BED8A8" w14:textId="77777777" w:rsidR="00E579B9" w:rsidRDefault="00E579B9">
            <w:pPr>
              <w:spacing w:line="240" w:lineRule="auto"/>
              <w:ind w:firstLineChars="0" w:firstLine="0"/>
              <w:rPr>
                <w:rFonts w:cs="Times New Roman"/>
                <w:sz w:val="21"/>
                <w:szCs w:val="21"/>
              </w:rPr>
            </w:pPr>
          </w:p>
        </w:tc>
        <w:tc>
          <w:tcPr>
            <w:tcW w:w="836" w:type="dxa"/>
            <w:vMerge w:val="restart"/>
            <w:tcBorders>
              <w:top w:val="nil"/>
              <w:left w:val="nil"/>
              <w:bottom w:val="single" w:sz="4" w:space="0" w:color="000000"/>
              <w:right w:val="single" w:sz="4" w:space="0" w:color="000000"/>
            </w:tcBorders>
            <w:vAlign w:val="center"/>
          </w:tcPr>
          <w:p w14:paraId="588A9426"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物料输送环节治理</w:t>
            </w:r>
          </w:p>
        </w:tc>
        <w:tc>
          <w:tcPr>
            <w:tcW w:w="699" w:type="dxa"/>
            <w:tcBorders>
              <w:top w:val="single" w:sz="4" w:space="0" w:color="000000"/>
              <w:left w:val="nil"/>
              <w:bottom w:val="single" w:sz="4" w:space="0" w:color="000000"/>
              <w:right w:val="single" w:sz="4" w:space="0" w:color="000000"/>
            </w:tcBorders>
            <w:vAlign w:val="center"/>
          </w:tcPr>
          <w:p w14:paraId="57625E07"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1</w:t>
            </w:r>
          </w:p>
        </w:tc>
        <w:tc>
          <w:tcPr>
            <w:tcW w:w="6568" w:type="dxa"/>
            <w:tcBorders>
              <w:top w:val="single" w:sz="4" w:space="0" w:color="000000"/>
              <w:left w:val="nil"/>
              <w:bottom w:val="single" w:sz="4" w:space="0" w:color="000000"/>
              <w:right w:val="single" w:sz="4" w:space="0" w:color="000000"/>
            </w:tcBorders>
            <w:vAlign w:val="center"/>
          </w:tcPr>
          <w:p w14:paraId="73BE25C8"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散状原燃料卸车、上料、配料、输送必须密闭作业。皮带输送机受料点、卸料点应设置密闭罩，并配备除尘设施。上料仓设置在封闭料场内，上料仓口设置除尘装置或喷雾抑尘装置。</w:t>
            </w:r>
          </w:p>
        </w:tc>
        <w:tc>
          <w:tcPr>
            <w:tcW w:w="3464" w:type="dxa"/>
            <w:tcBorders>
              <w:top w:val="single" w:sz="4" w:space="0" w:color="000000"/>
              <w:left w:val="nil"/>
              <w:bottom w:val="single" w:sz="4" w:space="0" w:color="000000"/>
              <w:right w:val="single" w:sz="4" w:space="0" w:color="000000"/>
            </w:tcBorders>
            <w:vAlign w:val="center"/>
          </w:tcPr>
          <w:p w14:paraId="60BC516E"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破碎场地物料输送皮带均设置密闭罩，并配套有脉冲袋式除尘器，物料装卸位于密闭的产品仓库内，上料口位于密闭的破碎车间内，并设置了喷雾洒水装置</w:t>
            </w:r>
          </w:p>
        </w:tc>
        <w:tc>
          <w:tcPr>
            <w:tcW w:w="912" w:type="dxa"/>
            <w:tcBorders>
              <w:top w:val="single" w:sz="4" w:space="0" w:color="000000"/>
              <w:left w:val="nil"/>
              <w:bottom w:val="single" w:sz="4" w:space="0" w:color="000000"/>
              <w:right w:val="single" w:sz="4" w:space="0" w:color="000000"/>
            </w:tcBorders>
            <w:vAlign w:val="center"/>
          </w:tcPr>
          <w:p w14:paraId="338CD8D4"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24E32810"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37FB74B0"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44B84D38"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6D77298B"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2</w:t>
            </w:r>
          </w:p>
        </w:tc>
        <w:tc>
          <w:tcPr>
            <w:tcW w:w="6568" w:type="dxa"/>
            <w:tcBorders>
              <w:top w:val="single" w:sz="4" w:space="0" w:color="000000"/>
              <w:left w:val="nil"/>
              <w:bottom w:val="single" w:sz="4" w:space="0" w:color="000000"/>
              <w:right w:val="single" w:sz="4" w:space="0" w:color="000000"/>
            </w:tcBorders>
            <w:vAlign w:val="center"/>
          </w:tcPr>
          <w:p w14:paraId="0F81AF4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皮带输送机或物料提升机需在密闭廊道内运行，并在所有落料位置设置集尘装置及配备除尘系统。</w:t>
            </w:r>
          </w:p>
        </w:tc>
        <w:tc>
          <w:tcPr>
            <w:tcW w:w="3464" w:type="dxa"/>
            <w:tcBorders>
              <w:top w:val="single" w:sz="4" w:space="0" w:color="000000"/>
              <w:left w:val="nil"/>
              <w:bottom w:val="single" w:sz="4" w:space="0" w:color="000000"/>
              <w:right w:val="single" w:sz="4" w:space="0" w:color="000000"/>
            </w:tcBorders>
            <w:vAlign w:val="center"/>
          </w:tcPr>
          <w:p w14:paraId="7D2E4BA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项目皮带输送机设置有密闭廊道，落料口处均设置有集气罩集尘并经脉冲袋式除尘器处理</w:t>
            </w:r>
          </w:p>
        </w:tc>
        <w:tc>
          <w:tcPr>
            <w:tcW w:w="912" w:type="dxa"/>
            <w:tcBorders>
              <w:top w:val="single" w:sz="4" w:space="0" w:color="000000"/>
              <w:left w:val="nil"/>
              <w:bottom w:val="single" w:sz="4" w:space="0" w:color="000000"/>
              <w:right w:val="single" w:sz="4" w:space="0" w:color="000000"/>
            </w:tcBorders>
            <w:vAlign w:val="center"/>
          </w:tcPr>
          <w:p w14:paraId="741A029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5BBB0445"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3984BE5C"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3487B361"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54F94F8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3</w:t>
            </w:r>
          </w:p>
        </w:tc>
        <w:tc>
          <w:tcPr>
            <w:tcW w:w="6568" w:type="dxa"/>
            <w:tcBorders>
              <w:top w:val="single" w:sz="4" w:space="0" w:color="000000"/>
              <w:left w:val="nil"/>
              <w:bottom w:val="single" w:sz="4" w:space="0" w:color="000000"/>
              <w:right w:val="single" w:sz="4" w:space="0" w:color="000000"/>
            </w:tcBorders>
            <w:vAlign w:val="center"/>
          </w:tcPr>
          <w:p w14:paraId="7B6DC0B7"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运输车辆装载高度最高点不得超过车辆槽帮上沿</w:t>
            </w:r>
            <w:r>
              <w:rPr>
                <w:rFonts w:cs="Times New Roman" w:hint="eastAsia"/>
                <w:sz w:val="21"/>
                <w:szCs w:val="21"/>
              </w:rPr>
              <w:t>40</w:t>
            </w:r>
            <w:r>
              <w:rPr>
                <w:rFonts w:ascii="宋体" w:hAnsi="宋体" w:cs="Times New Roman" w:hint="eastAsia"/>
                <w:sz w:val="21"/>
                <w:szCs w:val="21"/>
              </w:rPr>
              <w:t>厘米，两侧边缘应当低于槽帮上缘</w:t>
            </w:r>
            <w:r>
              <w:rPr>
                <w:rFonts w:cs="Times New Roman" w:hint="eastAsia"/>
                <w:sz w:val="21"/>
                <w:szCs w:val="21"/>
              </w:rPr>
              <w:t>10</w:t>
            </w:r>
            <w:r>
              <w:rPr>
                <w:rFonts w:ascii="宋体" w:hAnsi="宋体" w:cs="Times New Roman" w:hint="eastAsia"/>
                <w:sz w:val="21"/>
                <w:szCs w:val="21"/>
              </w:rPr>
              <w:t>厘米，车斗应采用苫布覆盖，苫布边缘至少要遮住槽帮上沿以下</w:t>
            </w:r>
            <w:r>
              <w:rPr>
                <w:rFonts w:cs="Times New Roman" w:hint="eastAsia"/>
                <w:sz w:val="21"/>
                <w:szCs w:val="21"/>
              </w:rPr>
              <w:t>15</w:t>
            </w:r>
            <w:r>
              <w:rPr>
                <w:rFonts w:ascii="宋体" w:hAnsi="宋体" w:cs="Times New Roman" w:hint="eastAsia"/>
                <w:sz w:val="21"/>
                <w:szCs w:val="21"/>
              </w:rPr>
              <w:t>厘米，禁止厂内露天转运散状物料。</w:t>
            </w:r>
          </w:p>
        </w:tc>
        <w:tc>
          <w:tcPr>
            <w:tcW w:w="3464" w:type="dxa"/>
            <w:tcBorders>
              <w:top w:val="single" w:sz="4" w:space="0" w:color="000000"/>
              <w:left w:val="nil"/>
              <w:bottom w:val="single" w:sz="4" w:space="0" w:color="000000"/>
              <w:right w:val="single" w:sz="4" w:space="0" w:color="000000"/>
            </w:tcBorders>
            <w:vAlign w:val="center"/>
          </w:tcPr>
          <w:p w14:paraId="3C872D48"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项目运输车辆装载高度不超过车辆槽帮上沿</w:t>
            </w:r>
            <w:r>
              <w:rPr>
                <w:rFonts w:cs="Times New Roman" w:hint="eastAsia"/>
                <w:sz w:val="21"/>
                <w:szCs w:val="21"/>
              </w:rPr>
              <w:t>40</w:t>
            </w:r>
            <w:r>
              <w:rPr>
                <w:rFonts w:ascii="宋体" w:hAnsi="宋体" w:cs="Times New Roman" w:hint="eastAsia"/>
                <w:sz w:val="21"/>
                <w:szCs w:val="21"/>
              </w:rPr>
              <w:t>厘米，两侧边缘应当低于槽帮上缘</w:t>
            </w:r>
            <w:r>
              <w:rPr>
                <w:rFonts w:cs="Times New Roman" w:hint="eastAsia"/>
                <w:sz w:val="21"/>
                <w:szCs w:val="21"/>
              </w:rPr>
              <w:t>10</w:t>
            </w:r>
            <w:r>
              <w:rPr>
                <w:rFonts w:ascii="宋体" w:hAnsi="宋体" w:cs="Times New Roman" w:hint="eastAsia"/>
                <w:sz w:val="21"/>
                <w:szCs w:val="21"/>
              </w:rPr>
              <w:t>厘米，车斗采用苫布覆盖，苫布边缘遮住槽帮上沿以下</w:t>
            </w:r>
            <w:r>
              <w:rPr>
                <w:rFonts w:cs="Times New Roman" w:hint="eastAsia"/>
                <w:sz w:val="21"/>
                <w:szCs w:val="21"/>
              </w:rPr>
              <w:t>15</w:t>
            </w:r>
            <w:r>
              <w:rPr>
                <w:rFonts w:ascii="宋体" w:hAnsi="宋体" w:cs="Times New Roman" w:hint="eastAsia"/>
                <w:sz w:val="21"/>
                <w:szCs w:val="21"/>
              </w:rPr>
              <w:t>厘米以上；厂区物料转运均采用密闭皮带廊道</w:t>
            </w:r>
          </w:p>
        </w:tc>
        <w:tc>
          <w:tcPr>
            <w:tcW w:w="912" w:type="dxa"/>
            <w:tcBorders>
              <w:top w:val="single" w:sz="4" w:space="0" w:color="000000"/>
              <w:left w:val="nil"/>
              <w:bottom w:val="single" w:sz="4" w:space="0" w:color="000000"/>
              <w:right w:val="single" w:sz="4" w:space="0" w:color="000000"/>
            </w:tcBorders>
            <w:vAlign w:val="center"/>
          </w:tcPr>
          <w:p w14:paraId="28E1064A"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1EF3A7EE"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309FBE88"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7B5D3DB8"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4315C5A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4</w:t>
            </w:r>
          </w:p>
        </w:tc>
        <w:tc>
          <w:tcPr>
            <w:tcW w:w="6568" w:type="dxa"/>
            <w:tcBorders>
              <w:top w:val="single" w:sz="4" w:space="0" w:color="000000"/>
              <w:left w:val="nil"/>
              <w:bottom w:val="single" w:sz="4" w:space="0" w:color="000000"/>
              <w:right w:val="single" w:sz="4" w:space="0" w:color="000000"/>
            </w:tcBorders>
            <w:vAlign w:val="center"/>
          </w:tcPr>
          <w:p w14:paraId="354BD98E"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除尘器卸灰不直接卸落到地面，卸灰区封闭。除尘灰采用气力输送、罐车等密闭方式运输；采用非密闭方式运输的，车辆应苫盖。</w:t>
            </w:r>
          </w:p>
        </w:tc>
        <w:tc>
          <w:tcPr>
            <w:tcW w:w="3464" w:type="dxa"/>
            <w:tcBorders>
              <w:top w:val="single" w:sz="4" w:space="0" w:color="000000"/>
              <w:left w:val="nil"/>
              <w:bottom w:val="single" w:sz="4" w:space="0" w:color="000000"/>
              <w:right w:val="single" w:sz="4" w:space="0" w:color="000000"/>
            </w:tcBorders>
            <w:vAlign w:val="center"/>
          </w:tcPr>
          <w:p w14:paraId="39E5E02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除尘器卸灰经收集后采用采用苫布覆盖的车辆运输</w:t>
            </w:r>
          </w:p>
        </w:tc>
        <w:tc>
          <w:tcPr>
            <w:tcW w:w="912" w:type="dxa"/>
            <w:tcBorders>
              <w:top w:val="single" w:sz="4" w:space="0" w:color="000000"/>
              <w:left w:val="nil"/>
              <w:bottom w:val="single" w:sz="4" w:space="0" w:color="000000"/>
              <w:right w:val="single" w:sz="4" w:space="0" w:color="000000"/>
            </w:tcBorders>
            <w:vAlign w:val="center"/>
          </w:tcPr>
          <w:p w14:paraId="42D5CBAE"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147376E8"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047E2783" w14:textId="77777777" w:rsidR="00E579B9" w:rsidRDefault="00E579B9">
            <w:pPr>
              <w:spacing w:line="240" w:lineRule="auto"/>
              <w:ind w:firstLineChars="0" w:firstLine="0"/>
              <w:rPr>
                <w:rFonts w:cs="Times New Roman"/>
                <w:sz w:val="21"/>
                <w:szCs w:val="21"/>
              </w:rPr>
            </w:pPr>
          </w:p>
        </w:tc>
        <w:tc>
          <w:tcPr>
            <w:tcW w:w="836" w:type="dxa"/>
            <w:tcBorders>
              <w:top w:val="single" w:sz="4" w:space="0" w:color="000000"/>
              <w:left w:val="nil"/>
              <w:bottom w:val="single" w:sz="4" w:space="0" w:color="000000"/>
              <w:right w:val="single" w:sz="4" w:space="0" w:color="000000"/>
            </w:tcBorders>
            <w:vAlign w:val="center"/>
          </w:tcPr>
          <w:p w14:paraId="76BE7C17"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生产环节治理</w:t>
            </w:r>
          </w:p>
        </w:tc>
        <w:tc>
          <w:tcPr>
            <w:tcW w:w="699" w:type="dxa"/>
            <w:tcBorders>
              <w:top w:val="single" w:sz="4" w:space="0" w:color="000000"/>
              <w:left w:val="nil"/>
              <w:bottom w:val="single" w:sz="4" w:space="0" w:color="000000"/>
              <w:right w:val="single" w:sz="4" w:space="0" w:color="000000"/>
            </w:tcBorders>
            <w:vAlign w:val="center"/>
          </w:tcPr>
          <w:p w14:paraId="04AB84B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1</w:t>
            </w:r>
          </w:p>
        </w:tc>
        <w:tc>
          <w:tcPr>
            <w:tcW w:w="6568" w:type="dxa"/>
            <w:tcBorders>
              <w:top w:val="single" w:sz="4" w:space="0" w:color="000000"/>
              <w:left w:val="nil"/>
              <w:bottom w:val="single" w:sz="4" w:space="0" w:color="000000"/>
              <w:right w:val="single" w:sz="4" w:space="0" w:color="000000"/>
            </w:tcBorders>
            <w:vAlign w:val="center"/>
          </w:tcPr>
          <w:p w14:paraId="430EBB17"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其他方面：生产环节必须在密闭良好的车间内运行；禁止生产车间内散放原料，需采用全封闭式</w:t>
            </w:r>
            <w:r>
              <w:rPr>
                <w:rFonts w:cs="Times New Roman" w:hint="eastAsia"/>
                <w:sz w:val="21"/>
                <w:szCs w:val="21"/>
              </w:rPr>
              <w:t>/</w:t>
            </w:r>
            <w:r>
              <w:rPr>
                <w:rFonts w:ascii="宋体" w:hAnsi="宋体" w:cs="Times New Roman" w:hint="eastAsia"/>
                <w:sz w:val="21"/>
                <w:szCs w:val="21"/>
              </w:rPr>
              <w:t>地下料仓，并在料仓口设置集尘装置和配备除尘系统。</w:t>
            </w:r>
          </w:p>
        </w:tc>
        <w:tc>
          <w:tcPr>
            <w:tcW w:w="3464" w:type="dxa"/>
            <w:tcBorders>
              <w:top w:val="single" w:sz="4" w:space="0" w:color="000000"/>
              <w:left w:val="nil"/>
              <w:bottom w:val="single" w:sz="4" w:space="0" w:color="000000"/>
              <w:right w:val="single" w:sz="4" w:space="0" w:color="000000"/>
            </w:tcBorders>
            <w:vAlign w:val="center"/>
          </w:tcPr>
          <w:p w14:paraId="272C490F"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项目破碎中破碎车间、筛分车间、产品仓库均为密闭式，料口设置有集气罩并配套</w:t>
            </w:r>
            <w:r>
              <w:rPr>
                <w:rFonts w:cs="Times New Roman" w:hint="eastAsia"/>
                <w:sz w:val="21"/>
                <w:szCs w:val="21"/>
              </w:rPr>
              <w:t>2</w:t>
            </w:r>
            <w:r>
              <w:rPr>
                <w:rFonts w:ascii="宋体" w:hAnsi="宋体" w:cs="Times New Roman" w:hint="eastAsia"/>
                <w:sz w:val="21"/>
                <w:szCs w:val="21"/>
              </w:rPr>
              <w:t>套脉冲袋式除尘器处理</w:t>
            </w:r>
          </w:p>
        </w:tc>
        <w:tc>
          <w:tcPr>
            <w:tcW w:w="912" w:type="dxa"/>
            <w:tcBorders>
              <w:top w:val="single" w:sz="4" w:space="0" w:color="000000"/>
              <w:left w:val="nil"/>
              <w:bottom w:val="single" w:sz="4" w:space="0" w:color="000000"/>
              <w:right w:val="single" w:sz="4" w:space="0" w:color="000000"/>
            </w:tcBorders>
            <w:vAlign w:val="center"/>
          </w:tcPr>
          <w:p w14:paraId="68FB86E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0E5C8FEA"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2CA56917" w14:textId="77777777" w:rsidR="00E579B9" w:rsidRDefault="00E579B9">
            <w:pPr>
              <w:spacing w:line="240" w:lineRule="auto"/>
              <w:ind w:firstLineChars="0" w:firstLine="0"/>
              <w:rPr>
                <w:rFonts w:cs="Times New Roman"/>
                <w:sz w:val="21"/>
                <w:szCs w:val="21"/>
              </w:rPr>
            </w:pPr>
          </w:p>
        </w:tc>
        <w:tc>
          <w:tcPr>
            <w:tcW w:w="836" w:type="dxa"/>
            <w:vMerge w:val="restart"/>
            <w:tcBorders>
              <w:top w:val="nil"/>
              <w:left w:val="nil"/>
              <w:bottom w:val="single" w:sz="4" w:space="0" w:color="000000"/>
              <w:right w:val="single" w:sz="4" w:space="0" w:color="000000"/>
            </w:tcBorders>
            <w:vAlign w:val="center"/>
          </w:tcPr>
          <w:p w14:paraId="60BD63C8"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厂区、</w:t>
            </w:r>
            <w:r>
              <w:rPr>
                <w:rFonts w:cs="Times New Roman" w:hint="eastAsia"/>
                <w:sz w:val="21"/>
                <w:szCs w:val="21"/>
              </w:rPr>
              <w:lastRenderedPageBreak/>
              <w:t>车辆治理</w:t>
            </w:r>
          </w:p>
        </w:tc>
        <w:tc>
          <w:tcPr>
            <w:tcW w:w="699" w:type="dxa"/>
            <w:tcBorders>
              <w:top w:val="single" w:sz="4" w:space="0" w:color="000000"/>
              <w:left w:val="nil"/>
              <w:bottom w:val="single" w:sz="4" w:space="0" w:color="000000"/>
              <w:right w:val="single" w:sz="4" w:space="0" w:color="000000"/>
            </w:tcBorders>
            <w:vAlign w:val="center"/>
          </w:tcPr>
          <w:p w14:paraId="5CA9D3F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lastRenderedPageBreak/>
              <w:t>1</w:t>
            </w:r>
          </w:p>
        </w:tc>
        <w:tc>
          <w:tcPr>
            <w:tcW w:w="6568" w:type="dxa"/>
            <w:tcBorders>
              <w:top w:val="single" w:sz="4" w:space="0" w:color="000000"/>
              <w:left w:val="nil"/>
              <w:bottom w:val="single" w:sz="4" w:space="0" w:color="000000"/>
              <w:right w:val="single" w:sz="4" w:space="0" w:color="000000"/>
            </w:tcBorders>
            <w:vAlign w:val="center"/>
          </w:tcPr>
          <w:p w14:paraId="7A364CB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厂区道路硬化，平整无破损，无积尘，厂区无裸露空地，闲置裸露空地绿化。</w:t>
            </w:r>
          </w:p>
        </w:tc>
        <w:tc>
          <w:tcPr>
            <w:tcW w:w="3464" w:type="dxa"/>
            <w:tcBorders>
              <w:top w:val="single" w:sz="4" w:space="0" w:color="000000"/>
              <w:left w:val="nil"/>
              <w:bottom w:val="single" w:sz="4" w:space="0" w:color="000000"/>
              <w:right w:val="single" w:sz="4" w:space="0" w:color="000000"/>
            </w:tcBorders>
            <w:vAlign w:val="center"/>
          </w:tcPr>
          <w:p w14:paraId="10296D49"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项目厂区道路未全部硬化，评价要求全部进行硬化，矿区已开采区</w:t>
            </w:r>
            <w:r>
              <w:rPr>
                <w:rFonts w:cs="Times New Roman" w:hint="eastAsia"/>
                <w:sz w:val="21"/>
                <w:szCs w:val="21"/>
              </w:rPr>
              <w:lastRenderedPageBreak/>
              <w:t>域、表土临时堆场全部进行植树种草绿化</w:t>
            </w:r>
          </w:p>
        </w:tc>
        <w:tc>
          <w:tcPr>
            <w:tcW w:w="912" w:type="dxa"/>
            <w:tcBorders>
              <w:top w:val="single" w:sz="4" w:space="0" w:color="000000"/>
              <w:left w:val="nil"/>
              <w:bottom w:val="single" w:sz="4" w:space="0" w:color="000000"/>
              <w:right w:val="single" w:sz="4" w:space="0" w:color="000000"/>
            </w:tcBorders>
            <w:vAlign w:val="center"/>
          </w:tcPr>
          <w:p w14:paraId="20523F8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lastRenderedPageBreak/>
              <w:t>符合</w:t>
            </w:r>
          </w:p>
        </w:tc>
      </w:tr>
      <w:tr w:rsidR="00E579B9" w14:paraId="7AAA0F98"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1009C460"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61BF4B79"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02BF4E6E"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2</w:t>
            </w:r>
          </w:p>
        </w:tc>
        <w:tc>
          <w:tcPr>
            <w:tcW w:w="6568" w:type="dxa"/>
            <w:tcBorders>
              <w:top w:val="single" w:sz="4" w:space="0" w:color="000000"/>
              <w:left w:val="nil"/>
              <w:bottom w:val="single" w:sz="4" w:space="0" w:color="000000"/>
              <w:right w:val="single" w:sz="4" w:space="0" w:color="000000"/>
            </w:tcBorders>
            <w:vAlign w:val="center"/>
          </w:tcPr>
          <w:p w14:paraId="003093E7"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对厂区道路定期洒水清扫。</w:t>
            </w:r>
          </w:p>
        </w:tc>
        <w:tc>
          <w:tcPr>
            <w:tcW w:w="3464" w:type="dxa"/>
            <w:tcBorders>
              <w:top w:val="single" w:sz="4" w:space="0" w:color="000000"/>
              <w:left w:val="nil"/>
              <w:bottom w:val="single" w:sz="4" w:space="0" w:color="000000"/>
              <w:right w:val="single" w:sz="4" w:space="0" w:color="000000"/>
            </w:tcBorders>
            <w:vAlign w:val="center"/>
          </w:tcPr>
          <w:p w14:paraId="62A6B266"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矿区道路定期洒水清扫</w:t>
            </w:r>
          </w:p>
        </w:tc>
        <w:tc>
          <w:tcPr>
            <w:tcW w:w="912" w:type="dxa"/>
            <w:tcBorders>
              <w:top w:val="single" w:sz="4" w:space="0" w:color="000000"/>
              <w:left w:val="nil"/>
              <w:bottom w:val="single" w:sz="4" w:space="0" w:color="000000"/>
              <w:right w:val="single" w:sz="4" w:space="0" w:color="000000"/>
            </w:tcBorders>
            <w:vAlign w:val="center"/>
          </w:tcPr>
          <w:p w14:paraId="3016EDB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5FFA1CC3"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69252810"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517ED2BD"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09679034"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3</w:t>
            </w:r>
          </w:p>
        </w:tc>
        <w:tc>
          <w:tcPr>
            <w:tcW w:w="6568" w:type="dxa"/>
            <w:tcBorders>
              <w:top w:val="single" w:sz="4" w:space="0" w:color="000000"/>
              <w:left w:val="nil"/>
              <w:bottom w:val="single" w:sz="4" w:space="0" w:color="000000"/>
              <w:right w:val="single" w:sz="4" w:space="0" w:color="000000"/>
            </w:tcBorders>
            <w:vAlign w:val="center"/>
          </w:tcPr>
          <w:p w14:paraId="6513D1D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企业出厂口和料场出口（粉磨站在出厂口）处配备高压清洗装置对所有车辆车轮、底盘进行冲洗，严禁带泥上路。洗车平台四周应设置洗车废水收集防治设施。</w:t>
            </w:r>
          </w:p>
        </w:tc>
        <w:tc>
          <w:tcPr>
            <w:tcW w:w="3464" w:type="dxa"/>
            <w:tcBorders>
              <w:top w:val="single" w:sz="4" w:space="0" w:color="000000"/>
              <w:left w:val="nil"/>
              <w:bottom w:val="single" w:sz="4" w:space="0" w:color="000000"/>
              <w:right w:val="single" w:sz="4" w:space="0" w:color="000000"/>
            </w:tcBorders>
            <w:vAlign w:val="center"/>
          </w:tcPr>
          <w:p w14:paraId="4464F7DF"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评价要求项目在破碎场地出口处设置自动感应式车辆冲洗装置，并配套</w:t>
            </w:r>
            <w:r>
              <w:rPr>
                <w:rFonts w:cs="Times New Roman"/>
                <w:sz w:val="21"/>
                <w:szCs w:val="21"/>
              </w:rPr>
              <w:t>5m</w:t>
            </w:r>
            <w:r>
              <w:rPr>
                <w:rFonts w:cs="Times New Roman"/>
                <w:sz w:val="21"/>
                <w:szCs w:val="21"/>
                <w:vertAlign w:val="superscript"/>
              </w:rPr>
              <w:t>3</w:t>
            </w:r>
            <w:r>
              <w:rPr>
                <w:rFonts w:cs="Times New Roman" w:hint="eastAsia"/>
                <w:sz w:val="21"/>
                <w:szCs w:val="21"/>
              </w:rPr>
              <w:t>沉淀池，洗车废水经沉淀后循环使用</w:t>
            </w:r>
          </w:p>
        </w:tc>
        <w:tc>
          <w:tcPr>
            <w:tcW w:w="912" w:type="dxa"/>
            <w:tcBorders>
              <w:top w:val="single" w:sz="4" w:space="0" w:color="000000"/>
              <w:left w:val="nil"/>
              <w:bottom w:val="single" w:sz="4" w:space="0" w:color="000000"/>
              <w:right w:val="single" w:sz="4" w:space="0" w:color="000000"/>
            </w:tcBorders>
            <w:vAlign w:val="center"/>
          </w:tcPr>
          <w:p w14:paraId="708601A5"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59D9B372"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192E4E91"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2088CF78"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3B8BEA50"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4</w:t>
            </w:r>
          </w:p>
        </w:tc>
        <w:tc>
          <w:tcPr>
            <w:tcW w:w="6568" w:type="dxa"/>
            <w:tcBorders>
              <w:top w:val="single" w:sz="4" w:space="0" w:color="000000"/>
              <w:left w:val="nil"/>
              <w:bottom w:val="single" w:sz="4" w:space="0" w:color="000000"/>
              <w:right w:val="single" w:sz="4" w:space="0" w:color="000000"/>
            </w:tcBorders>
            <w:vAlign w:val="center"/>
          </w:tcPr>
          <w:p w14:paraId="01A8CFF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厂内运输车辆、非道路移动机械采用新能源车或国五及以上排放标准机动车。</w:t>
            </w:r>
          </w:p>
        </w:tc>
        <w:tc>
          <w:tcPr>
            <w:tcW w:w="3464" w:type="dxa"/>
            <w:tcBorders>
              <w:top w:val="single" w:sz="4" w:space="0" w:color="000000"/>
              <w:left w:val="nil"/>
              <w:bottom w:val="single" w:sz="4" w:space="0" w:color="000000"/>
              <w:right w:val="single" w:sz="4" w:space="0" w:color="000000"/>
            </w:tcBorders>
            <w:vAlign w:val="center"/>
          </w:tcPr>
          <w:p w14:paraId="443FD6FB"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项目移动机械及运输车辆均采用国五及以上排放标准机动车</w:t>
            </w:r>
          </w:p>
        </w:tc>
        <w:tc>
          <w:tcPr>
            <w:tcW w:w="912" w:type="dxa"/>
            <w:tcBorders>
              <w:top w:val="single" w:sz="4" w:space="0" w:color="000000"/>
              <w:left w:val="nil"/>
              <w:bottom w:val="single" w:sz="4" w:space="0" w:color="000000"/>
              <w:right w:val="single" w:sz="4" w:space="0" w:color="000000"/>
            </w:tcBorders>
            <w:vAlign w:val="center"/>
          </w:tcPr>
          <w:p w14:paraId="60272C41"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5E6F8016"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0FC60398" w14:textId="77777777" w:rsidR="00E579B9" w:rsidRDefault="00E579B9">
            <w:pPr>
              <w:spacing w:line="240" w:lineRule="auto"/>
              <w:ind w:firstLineChars="0" w:firstLine="0"/>
              <w:rPr>
                <w:rFonts w:cs="Times New Roman"/>
                <w:sz w:val="21"/>
                <w:szCs w:val="21"/>
              </w:rPr>
            </w:pPr>
          </w:p>
        </w:tc>
        <w:tc>
          <w:tcPr>
            <w:tcW w:w="836" w:type="dxa"/>
            <w:vMerge w:val="restart"/>
            <w:tcBorders>
              <w:top w:val="nil"/>
              <w:left w:val="nil"/>
              <w:bottom w:val="single" w:sz="4" w:space="0" w:color="000000"/>
              <w:right w:val="single" w:sz="4" w:space="0" w:color="000000"/>
            </w:tcBorders>
            <w:vAlign w:val="center"/>
          </w:tcPr>
          <w:p w14:paraId="3A849644"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建设完善监测系统</w:t>
            </w:r>
          </w:p>
        </w:tc>
        <w:tc>
          <w:tcPr>
            <w:tcW w:w="699" w:type="dxa"/>
            <w:tcBorders>
              <w:top w:val="single" w:sz="4" w:space="0" w:color="000000"/>
              <w:left w:val="nil"/>
              <w:bottom w:val="single" w:sz="4" w:space="0" w:color="000000"/>
              <w:right w:val="single" w:sz="4" w:space="0" w:color="000000"/>
            </w:tcBorders>
            <w:vAlign w:val="center"/>
          </w:tcPr>
          <w:p w14:paraId="0B858373"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1</w:t>
            </w:r>
          </w:p>
        </w:tc>
        <w:tc>
          <w:tcPr>
            <w:tcW w:w="6568" w:type="dxa"/>
            <w:tcBorders>
              <w:top w:val="single" w:sz="4" w:space="0" w:color="000000"/>
              <w:left w:val="nil"/>
              <w:bottom w:val="single" w:sz="4" w:space="0" w:color="000000"/>
              <w:right w:val="single" w:sz="4" w:space="0" w:color="000000"/>
            </w:tcBorders>
            <w:vAlign w:val="center"/>
          </w:tcPr>
          <w:p w14:paraId="1C1096F7"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因企制宜安装视频、空气微站、降尘缸、</w:t>
            </w:r>
            <w:r>
              <w:rPr>
                <w:rFonts w:cs="Times New Roman" w:hint="eastAsia"/>
                <w:sz w:val="21"/>
                <w:szCs w:val="21"/>
              </w:rPr>
              <w:t>TSP</w:t>
            </w:r>
            <w:r>
              <w:rPr>
                <w:rFonts w:ascii="宋体" w:hAnsi="宋体" w:cs="Times New Roman" w:hint="eastAsia"/>
                <w:sz w:val="21"/>
                <w:szCs w:val="21"/>
              </w:rPr>
              <w:t>（总悬浮颗粒物）等监控设施。</w:t>
            </w:r>
          </w:p>
        </w:tc>
        <w:tc>
          <w:tcPr>
            <w:tcW w:w="3464" w:type="dxa"/>
            <w:tcBorders>
              <w:top w:val="single" w:sz="4" w:space="0" w:color="000000"/>
              <w:left w:val="nil"/>
              <w:bottom w:val="single" w:sz="4" w:space="0" w:color="000000"/>
              <w:right w:val="single" w:sz="4" w:space="0" w:color="000000"/>
            </w:tcBorders>
            <w:vAlign w:val="center"/>
          </w:tcPr>
          <w:p w14:paraId="437C4072"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评价要求破碎场地安装视频、</w:t>
            </w:r>
            <w:r>
              <w:rPr>
                <w:rFonts w:cs="Times New Roman" w:hint="eastAsia"/>
                <w:sz w:val="21"/>
                <w:szCs w:val="21"/>
              </w:rPr>
              <w:t>TSP</w:t>
            </w:r>
            <w:r>
              <w:rPr>
                <w:rFonts w:ascii="宋体" w:hAnsi="宋体" w:cs="Times New Roman" w:hint="eastAsia"/>
                <w:sz w:val="21"/>
                <w:szCs w:val="21"/>
              </w:rPr>
              <w:t>（总悬浮颗粒物）等监控设施</w:t>
            </w:r>
          </w:p>
        </w:tc>
        <w:tc>
          <w:tcPr>
            <w:tcW w:w="912" w:type="dxa"/>
            <w:tcBorders>
              <w:top w:val="single" w:sz="4" w:space="0" w:color="000000"/>
              <w:left w:val="nil"/>
              <w:bottom w:val="single" w:sz="4" w:space="0" w:color="000000"/>
              <w:right w:val="single" w:sz="4" w:space="0" w:color="000000"/>
            </w:tcBorders>
            <w:vAlign w:val="center"/>
          </w:tcPr>
          <w:p w14:paraId="10C13088"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r w:rsidR="00E579B9" w14:paraId="68CD6E3C" w14:textId="77777777">
        <w:tc>
          <w:tcPr>
            <w:tcW w:w="663" w:type="dxa"/>
            <w:vMerge/>
            <w:tcBorders>
              <w:top w:val="single" w:sz="4" w:space="0" w:color="000000"/>
              <w:left w:val="single" w:sz="4" w:space="0" w:color="000000"/>
              <w:bottom w:val="single" w:sz="4" w:space="0" w:color="000000"/>
              <w:right w:val="single" w:sz="4" w:space="0" w:color="000000"/>
            </w:tcBorders>
            <w:vAlign w:val="center"/>
          </w:tcPr>
          <w:p w14:paraId="7691AC0C" w14:textId="77777777" w:rsidR="00E579B9" w:rsidRDefault="00E579B9">
            <w:pPr>
              <w:spacing w:line="240" w:lineRule="auto"/>
              <w:ind w:firstLineChars="0" w:firstLine="0"/>
              <w:rPr>
                <w:rFonts w:cs="Times New Roman"/>
                <w:sz w:val="21"/>
                <w:szCs w:val="21"/>
              </w:rPr>
            </w:pPr>
          </w:p>
        </w:tc>
        <w:tc>
          <w:tcPr>
            <w:tcW w:w="836" w:type="dxa"/>
            <w:vMerge/>
            <w:tcBorders>
              <w:top w:val="nil"/>
              <w:left w:val="nil"/>
              <w:bottom w:val="single" w:sz="4" w:space="0" w:color="000000"/>
              <w:right w:val="single" w:sz="4" w:space="0" w:color="000000"/>
            </w:tcBorders>
            <w:vAlign w:val="center"/>
          </w:tcPr>
          <w:p w14:paraId="4D824351" w14:textId="77777777" w:rsidR="00E579B9" w:rsidRDefault="00E579B9">
            <w:pPr>
              <w:spacing w:line="240" w:lineRule="auto"/>
              <w:ind w:firstLineChars="0" w:firstLine="0"/>
              <w:rPr>
                <w:rFonts w:cs="Times New Roman"/>
                <w:sz w:val="21"/>
                <w:szCs w:val="21"/>
              </w:rPr>
            </w:pPr>
          </w:p>
        </w:tc>
        <w:tc>
          <w:tcPr>
            <w:tcW w:w="699" w:type="dxa"/>
            <w:tcBorders>
              <w:top w:val="single" w:sz="4" w:space="0" w:color="000000"/>
              <w:left w:val="nil"/>
              <w:bottom w:val="single" w:sz="4" w:space="0" w:color="000000"/>
              <w:right w:val="single" w:sz="4" w:space="0" w:color="000000"/>
            </w:tcBorders>
            <w:vAlign w:val="center"/>
          </w:tcPr>
          <w:p w14:paraId="195D571D"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2</w:t>
            </w:r>
          </w:p>
        </w:tc>
        <w:tc>
          <w:tcPr>
            <w:tcW w:w="6568" w:type="dxa"/>
            <w:tcBorders>
              <w:top w:val="single" w:sz="4" w:space="0" w:color="000000"/>
              <w:left w:val="nil"/>
              <w:bottom w:val="single" w:sz="4" w:space="0" w:color="000000"/>
              <w:right w:val="single" w:sz="4" w:space="0" w:color="000000"/>
            </w:tcBorders>
            <w:vAlign w:val="center"/>
          </w:tcPr>
          <w:p w14:paraId="2CE3C176"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安装在线监测、监控和空气质量监测等综合监控信息平台，主要排放数据等应在企业显眼位置随时公开。</w:t>
            </w:r>
          </w:p>
        </w:tc>
        <w:tc>
          <w:tcPr>
            <w:tcW w:w="3464" w:type="dxa"/>
            <w:tcBorders>
              <w:top w:val="single" w:sz="4" w:space="0" w:color="000000"/>
              <w:left w:val="nil"/>
              <w:bottom w:val="single" w:sz="4" w:space="0" w:color="000000"/>
              <w:right w:val="single" w:sz="4" w:space="0" w:color="000000"/>
            </w:tcBorders>
            <w:vAlign w:val="center"/>
          </w:tcPr>
          <w:p w14:paraId="3881A21C"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破碎场地安装</w:t>
            </w:r>
            <w:r>
              <w:rPr>
                <w:rFonts w:cs="Times New Roman" w:hint="eastAsia"/>
                <w:sz w:val="21"/>
                <w:szCs w:val="21"/>
              </w:rPr>
              <w:t>2</w:t>
            </w:r>
            <w:r>
              <w:rPr>
                <w:rFonts w:ascii="宋体" w:hAnsi="宋体" w:cs="Times New Roman" w:hint="eastAsia"/>
                <w:sz w:val="21"/>
                <w:szCs w:val="21"/>
              </w:rPr>
              <w:t>套在线监测设备，对项目有组织排放颗粒物的量、排放天数等信息进行公开显示</w:t>
            </w:r>
          </w:p>
        </w:tc>
        <w:tc>
          <w:tcPr>
            <w:tcW w:w="912" w:type="dxa"/>
            <w:tcBorders>
              <w:top w:val="single" w:sz="4" w:space="0" w:color="000000"/>
              <w:left w:val="nil"/>
              <w:bottom w:val="single" w:sz="4" w:space="0" w:color="000000"/>
              <w:right w:val="single" w:sz="4" w:space="0" w:color="000000"/>
            </w:tcBorders>
            <w:vAlign w:val="center"/>
          </w:tcPr>
          <w:p w14:paraId="6034E8A2" w14:textId="77777777" w:rsidR="00E579B9" w:rsidRDefault="006A1398">
            <w:pPr>
              <w:widowControl w:val="0"/>
              <w:spacing w:line="360" w:lineRule="exact"/>
              <w:ind w:firstLineChars="0" w:firstLine="0"/>
              <w:jc w:val="center"/>
              <w:rPr>
                <w:rFonts w:cs="Times New Roman"/>
                <w:sz w:val="21"/>
                <w:szCs w:val="21"/>
              </w:rPr>
            </w:pPr>
            <w:r>
              <w:rPr>
                <w:rFonts w:cs="Times New Roman" w:hint="eastAsia"/>
                <w:sz w:val="21"/>
                <w:szCs w:val="21"/>
              </w:rPr>
              <w:t>符合</w:t>
            </w:r>
          </w:p>
        </w:tc>
      </w:tr>
    </w:tbl>
    <w:p w14:paraId="2C0AD667" w14:textId="77777777" w:rsidR="00E579B9" w:rsidRDefault="006A1398">
      <w:pPr>
        <w:widowControl w:val="0"/>
        <w:jc w:val="both"/>
        <w:rPr>
          <w:rFonts w:cs="Times New Roman"/>
          <w:szCs w:val="24"/>
        </w:rPr>
      </w:pPr>
      <w:r>
        <w:rPr>
          <w:rFonts w:ascii="宋体" w:hAnsi="宋体" w:cs="Times New Roman" w:hint="eastAsia"/>
          <w:szCs w:val="24"/>
        </w:rPr>
        <w:t>项目按照评价的要求进行建设后，符合《河南省</w:t>
      </w:r>
      <w:r>
        <w:rPr>
          <w:rFonts w:cs="Times New Roman" w:hint="eastAsia"/>
          <w:szCs w:val="24"/>
        </w:rPr>
        <w:t>2019</w:t>
      </w:r>
      <w:r>
        <w:rPr>
          <w:rFonts w:ascii="宋体" w:hAnsi="宋体" w:cs="Times New Roman" w:hint="eastAsia"/>
          <w:szCs w:val="24"/>
        </w:rPr>
        <w:t>年工业企业无组织排放治理方案》中水泥行业无组织排放治理标准的要求。</w:t>
      </w:r>
    </w:p>
    <w:p w14:paraId="565EC83A" w14:textId="77777777" w:rsidR="00E579B9" w:rsidRDefault="00E579B9">
      <w:pPr>
        <w:sectPr w:rsidR="00E579B9">
          <w:headerReference w:type="even" r:id="rId93"/>
          <w:headerReference w:type="default" r:id="rId94"/>
          <w:footerReference w:type="even" r:id="rId95"/>
          <w:footerReference w:type="default" r:id="rId96"/>
          <w:headerReference w:type="first" r:id="rId97"/>
          <w:footerReference w:type="first" r:id="rId98"/>
          <w:pgSz w:w="16838" w:h="11906" w:orient="landscape"/>
          <w:pgMar w:top="1588" w:right="1701" w:bottom="1588" w:left="1985" w:header="1077" w:footer="850" w:gutter="227"/>
          <w:cols w:space="425"/>
          <w:docGrid w:type="lines" w:linePitch="326"/>
        </w:sectPr>
      </w:pPr>
    </w:p>
    <w:p w14:paraId="0D344725" w14:textId="77777777" w:rsidR="00E579B9" w:rsidRDefault="006A1398">
      <w:pPr>
        <w:pStyle w:val="2"/>
        <w:ind w:firstLine="560"/>
      </w:pPr>
      <w:bookmarkStart w:id="492" w:name="_Toc33021834"/>
      <w:r>
        <w:rPr>
          <w:rFonts w:hint="eastAsia"/>
        </w:rPr>
        <w:lastRenderedPageBreak/>
        <w:t>10.2</w:t>
      </w:r>
      <w:r>
        <w:rPr>
          <w:rFonts w:hint="eastAsia"/>
        </w:rPr>
        <w:t>规划</w:t>
      </w:r>
      <w:r>
        <w:t>相符性分析</w:t>
      </w:r>
      <w:bookmarkEnd w:id="492"/>
    </w:p>
    <w:p w14:paraId="299A0366" w14:textId="77777777" w:rsidR="00E579B9" w:rsidRDefault="006A1398">
      <w:pPr>
        <w:pStyle w:val="3"/>
        <w:ind w:firstLine="560"/>
      </w:pPr>
      <w:r>
        <w:t>10.2.1</w:t>
      </w:r>
      <w:r>
        <w:rPr>
          <w:rFonts w:hint="eastAsia"/>
        </w:rPr>
        <w:t>与</w:t>
      </w:r>
      <w:r>
        <w:rPr>
          <w:rFonts w:hint="eastAsia"/>
          <w:snapToGrid w:val="0"/>
        </w:rPr>
        <w:t>《驻马店市城市总体规划》（</w:t>
      </w:r>
      <w:r>
        <w:rPr>
          <w:rFonts w:hint="eastAsia"/>
          <w:snapToGrid w:val="0"/>
        </w:rPr>
        <w:t>201</w:t>
      </w:r>
      <w:r>
        <w:rPr>
          <w:snapToGrid w:val="0"/>
        </w:rPr>
        <w:t>1</w:t>
      </w:r>
      <w:r>
        <w:rPr>
          <w:rFonts w:hint="eastAsia"/>
          <w:snapToGrid w:val="0"/>
        </w:rPr>
        <w:t>-2030</w:t>
      </w:r>
      <w:r>
        <w:rPr>
          <w:rFonts w:hint="eastAsia"/>
          <w:snapToGrid w:val="0"/>
        </w:rPr>
        <w:t>年）符合性分析</w:t>
      </w:r>
    </w:p>
    <w:p w14:paraId="1481394C" w14:textId="77777777" w:rsidR="00E579B9" w:rsidRDefault="006A1398">
      <w:pPr>
        <w:widowControl w:val="0"/>
        <w:adjustRightInd w:val="0"/>
        <w:snapToGrid w:val="0"/>
        <w:jc w:val="both"/>
        <w:rPr>
          <w:rFonts w:cs="Times New Roman"/>
          <w:szCs w:val="24"/>
        </w:rPr>
      </w:pPr>
      <w:r>
        <w:rPr>
          <w:rFonts w:ascii="宋体" w:hAnsi="宋体" w:cs="Times New Roman"/>
          <w:szCs w:val="24"/>
        </w:rPr>
        <w:t>城市性质：中原经济区南部区域中心城市，现代化的制造业和商贸物流基地，生态旅游名城。</w:t>
      </w:r>
    </w:p>
    <w:p w14:paraId="3C7FD8E6" w14:textId="77777777" w:rsidR="00E579B9" w:rsidRDefault="006A1398">
      <w:pPr>
        <w:widowControl w:val="0"/>
        <w:adjustRightInd w:val="0"/>
        <w:snapToGrid w:val="0"/>
        <w:jc w:val="both"/>
        <w:rPr>
          <w:rFonts w:cs="Times New Roman"/>
          <w:szCs w:val="24"/>
        </w:rPr>
      </w:pPr>
      <w:r>
        <w:rPr>
          <w:rFonts w:ascii="宋体" w:hAnsi="宋体" w:cs="Times New Roman"/>
          <w:szCs w:val="24"/>
        </w:rPr>
        <w:t>中心城区主要发展方向：规划中心城区重点向北、向西拓展，各类建设用地布局和基础设施建设都应适应主要发展方向，健康、有序地引导城市发展。</w:t>
      </w:r>
    </w:p>
    <w:p w14:paraId="0FB0C38D" w14:textId="77777777" w:rsidR="00E579B9" w:rsidRDefault="006A1398">
      <w:pPr>
        <w:widowControl w:val="0"/>
        <w:adjustRightInd w:val="0"/>
        <w:snapToGrid w:val="0"/>
        <w:jc w:val="both"/>
        <w:rPr>
          <w:rFonts w:cs="Times New Roman"/>
          <w:szCs w:val="24"/>
        </w:rPr>
      </w:pPr>
      <w:r>
        <w:rPr>
          <w:rFonts w:ascii="宋体" w:hAnsi="宋体" w:cs="Times New Roman"/>
          <w:szCs w:val="24"/>
        </w:rPr>
        <w:t>中心城区空间增长边界：东起京港澳高速公路、西至平山大道，北起纬十二路、南至工业四路。</w:t>
      </w:r>
    </w:p>
    <w:p w14:paraId="0B4AC374" w14:textId="77777777" w:rsidR="00E579B9" w:rsidRDefault="006A1398">
      <w:pPr>
        <w:widowControl w:val="0"/>
        <w:adjustRightInd w:val="0"/>
        <w:snapToGrid w:val="0"/>
        <w:jc w:val="both"/>
        <w:rPr>
          <w:rFonts w:cs="Times New Roman"/>
          <w:szCs w:val="24"/>
        </w:rPr>
      </w:pPr>
      <w:r>
        <w:rPr>
          <w:rFonts w:ascii="宋体" w:hAnsi="宋体" w:cs="Times New Roman"/>
          <w:szCs w:val="24"/>
        </w:rPr>
        <w:t>中心城区人口规模：预计至</w:t>
      </w:r>
      <w:r>
        <w:rPr>
          <w:rFonts w:cs="Times New Roman"/>
          <w:szCs w:val="24"/>
        </w:rPr>
        <w:t>2015</w:t>
      </w:r>
      <w:r>
        <w:rPr>
          <w:rFonts w:ascii="宋体" w:hAnsi="宋体" w:cs="Times New Roman"/>
          <w:szCs w:val="24"/>
        </w:rPr>
        <w:t>年中心城区人口达到</w:t>
      </w:r>
      <w:r>
        <w:rPr>
          <w:rFonts w:cs="Times New Roman"/>
          <w:szCs w:val="24"/>
        </w:rPr>
        <w:t>95</w:t>
      </w:r>
      <w:r>
        <w:rPr>
          <w:rFonts w:ascii="宋体" w:hAnsi="宋体" w:cs="Times New Roman"/>
          <w:szCs w:val="24"/>
        </w:rPr>
        <w:t>万人，至</w:t>
      </w:r>
      <w:r>
        <w:rPr>
          <w:rFonts w:cs="Times New Roman"/>
          <w:szCs w:val="24"/>
        </w:rPr>
        <w:t>2020</w:t>
      </w:r>
      <w:r>
        <w:rPr>
          <w:rFonts w:ascii="宋体" w:hAnsi="宋体" w:cs="Times New Roman"/>
          <w:szCs w:val="24"/>
        </w:rPr>
        <w:t>年中心城区人口达到</w:t>
      </w:r>
      <w:r>
        <w:rPr>
          <w:rFonts w:cs="Times New Roman"/>
          <w:szCs w:val="24"/>
        </w:rPr>
        <w:t>134</w:t>
      </w:r>
      <w:r>
        <w:rPr>
          <w:rFonts w:ascii="宋体" w:hAnsi="宋体" w:cs="Times New Roman"/>
          <w:szCs w:val="24"/>
        </w:rPr>
        <w:t>万人，至</w:t>
      </w:r>
      <w:r>
        <w:rPr>
          <w:rFonts w:cs="Times New Roman"/>
          <w:szCs w:val="24"/>
        </w:rPr>
        <w:t>2030</w:t>
      </w:r>
      <w:r>
        <w:rPr>
          <w:rFonts w:ascii="宋体" w:hAnsi="宋体" w:cs="Times New Roman"/>
          <w:szCs w:val="24"/>
        </w:rPr>
        <w:t>年中心城区人口达到</w:t>
      </w:r>
      <w:r>
        <w:rPr>
          <w:rFonts w:cs="Times New Roman"/>
          <w:szCs w:val="24"/>
        </w:rPr>
        <w:t>191</w:t>
      </w:r>
      <w:r>
        <w:rPr>
          <w:rFonts w:ascii="宋体" w:hAnsi="宋体" w:cs="Times New Roman"/>
          <w:szCs w:val="24"/>
        </w:rPr>
        <w:t>万人。</w:t>
      </w:r>
    </w:p>
    <w:p w14:paraId="4E38FAB4" w14:textId="77777777" w:rsidR="00E579B9" w:rsidRDefault="006A1398">
      <w:pPr>
        <w:widowControl w:val="0"/>
        <w:adjustRightInd w:val="0"/>
        <w:snapToGrid w:val="0"/>
        <w:jc w:val="both"/>
        <w:rPr>
          <w:rFonts w:cs="Times New Roman"/>
          <w:szCs w:val="24"/>
        </w:rPr>
      </w:pPr>
      <w:r>
        <w:rPr>
          <w:rFonts w:ascii="宋体" w:hAnsi="宋体" w:cs="Times New Roman"/>
          <w:szCs w:val="24"/>
        </w:rPr>
        <w:t>中心城区用地规模：规划至</w:t>
      </w:r>
      <w:r>
        <w:rPr>
          <w:rFonts w:cs="Times New Roman"/>
          <w:szCs w:val="24"/>
        </w:rPr>
        <w:t>2015</w:t>
      </w:r>
      <w:r>
        <w:rPr>
          <w:rFonts w:ascii="宋体" w:hAnsi="宋体" w:cs="Times New Roman"/>
          <w:szCs w:val="24"/>
        </w:rPr>
        <w:t>年中心城区建设用地总规模控制在</w:t>
      </w:r>
      <w:r>
        <w:rPr>
          <w:rFonts w:cs="Times New Roman"/>
          <w:szCs w:val="24"/>
        </w:rPr>
        <w:t>95km</w:t>
      </w:r>
      <w:r>
        <w:rPr>
          <w:rFonts w:cs="Times New Roman"/>
          <w:szCs w:val="24"/>
          <w:vertAlign w:val="superscript"/>
        </w:rPr>
        <w:t>2</w:t>
      </w:r>
      <w:r>
        <w:rPr>
          <w:rFonts w:ascii="宋体" w:hAnsi="宋体" w:cs="Times New Roman"/>
          <w:szCs w:val="24"/>
        </w:rPr>
        <w:t>以内，人均城市建设用地指标控制在</w:t>
      </w:r>
      <w:r>
        <w:rPr>
          <w:rFonts w:cs="Times New Roman"/>
          <w:szCs w:val="24"/>
        </w:rPr>
        <w:t>100m</w:t>
      </w:r>
      <w:r>
        <w:rPr>
          <w:rFonts w:cs="Times New Roman"/>
          <w:szCs w:val="24"/>
          <w:vertAlign w:val="superscript"/>
        </w:rPr>
        <w:t>2</w:t>
      </w:r>
      <w:r>
        <w:rPr>
          <w:rFonts w:ascii="宋体" w:hAnsi="宋体" w:cs="Times New Roman"/>
          <w:szCs w:val="24"/>
        </w:rPr>
        <w:t>以内；至</w:t>
      </w:r>
      <w:r>
        <w:rPr>
          <w:rFonts w:cs="Times New Roman"/>
          <w:szCs w:val="24"/>
        </w:rPr>
        <w:t>2020</w:t>
      </w:r>
      <w:r>
        <w:rPr>
          <w:rFonts w:ascii="宋体" w:hAnsi="宋体" w:cs="Times New Roman"/>
          <w:szCs w:val="24"/>
        </w:rPr>
        <w:t>年中心城区建设用地总规模控制在</w:t>
      </w:r>
      <w:r>
        <w:rPr>
          <w:rFonts w:cs="Times New Roman"/>
          <w:szCs w:val="24"/>
        </w:rPr>
        <w:t>132km</w:t>
      </w:r>
      <w:r>
        <w:rPr>
          <w:rFonts w:cs="Times New Roman"/>
          <w:szCs w:val="24"/>
          <w:vertAlign w:val="superscript"/>
        </w:rPr>
        <w:t>2</w:t>
      </w:r>
      <w:r>
        <w:rPr>
          <w:rFonts w:ascii="宋体" w:hAnsi="宋体" w:cs="Times New Roman"/>
          <w:szCs w:val="24"/>
        </w:rPr>
        <w:t>以内，人均城市建设用地指标控制在</w:t>
      </w:r>
      <w:r>
        <w:rPr>
          <w:rFonts w:cs="Times New Roman"/>
          <w:szCs w:val="24"/>
        </w:rPr>
        <w:t>99m</w:t>
      </w:r>
      <w:r>
        <w:rPr>
          <w:rFonts w:cs="Times New Roman"/>
          <w:szCs w:val="24"/>
          <w:vertAlign w:val="superscript"/>
        </w:rPr>
        <w:t>2</w:t>
      </w:r>
      <w:r>
        <w:rPr>
          <w:rFonts w:ascii="宋体" w:hAnsi="宋体" w:cs="Times New Roman"/>
          <w:szCs w:val="24"/>
        </w:rPr>
        <w:t>以内；至</w:t>
      </w:r>
      <w:r>
        <w:rPr>
          <w:rFonts w:cs="Times New Roman"/>
          <w:szCs w:val="24"/>
        </w:rPr>
        <w:t>2030</w:t>
      </w:r>
      <w:r>
        <w:rPr>
          <w:rFonts w:ascii="宋体" w:hAnsi="宋体" w:cs="Times New Roman"/>
          <w:szCs w:val="24"/>
        </w:rPr>
        <w:t>年中心城区建设用地总规模控制在</w:t>
      </w:r>
      <w:r>
        <w:rPr>
          <w:rFonts w:cs="Times New Roman"/>
          <w:szCs w:val="24"/>
        </w:rPr>
        <w:t>185km</w:t>
      </w:r>
      <w:r>
        <w:rPr>
          <w:rFonts w:cs="Times New Roman"/>
          <w:szCs w:val="24"/>
          <w:vertAlign w:val="superscript"/>
        </w:rPr>
        <w:t>2</w:t>
      </w:r>
      <w:r>
        <w:rPr>
          <w:rFonts w:ascii="宋体" w:hAnsi="宋体" w:cs="Times New Roman"/>
          <w:szCs w:val="24"/>
        </w:rPr>
        <w:t>以内，人均城市建设用地指标控制在</w:t>
      </w:r>
      <w:r>
        <w:rPr>
          <w:rFonts w:cs="Times New Roman"/>
          <w:szCs w:val="24"/>
        </w:rPr>
        <w:t>97m</w:t>
      </w:r>
      <w:r>
        <w:rPr>
          <w:rFonts w:cs="Times New Roman"/>
          <w:szCs w:val="24"/>
          <w:vertAlign w:val="superscript"/>
        </w:rPr>
        <w:t>2</w:t>
      </w:r>
      <w:r>
        <w:rPr>
          <w:rFonts w:ascii="宋体" w:hAnsi="宋体" w:cs="Times New Roman"/>
          <w:szCs w:val="24"/>
        </w:rPr>
        <w:t>以内。</w:t>
      </w:r>
    </w:p>
    <w:p w14:paraId="7AF6A2C1" w14:textId="77777777" w:rsidR="00E579B9" w:rsidRDefault="006A1398">
      <w:pPr>
        <w:widowControl w:val="0"/>
        <w:adjustRightInd w:val="0"/>
        <w:snapToGrid w:val="0"/>
        <w:jc w:val="both"/>
        <w:rPr>
          <w:rFonts w:cs="Times New Roman"/>
          <w:szCs w:val="24"/>
        </w:rPr>
      </w:pPr>
      <w:r>
        <w:rPr>
          <w:rFonts w:ascii="宋体" w:hAnsi="宋体" w:cs="Times New Roman"/>
          <w:szCs w:val="24"/>
        </w:rPr>
        <w:t>中心城区布局结构：以河流、农田、绿地为生态基底，以城市干道为基本骨架，形成</w:t>
      </w:r>
      <w:r>
        <w:rPr>
          <w:rFonts w:cs="Times New Roman"/>
          <w:szCs w:val="24"/>
        </w:rPr>
        <w:t>“</w:t>
      </w:r>
      <w:r>
        <w:rPr>
          <w:rFonts w:ascii="宋体" w:hAnsi="宋体" w:cs="Times New Roman"/>
          <w:szCs w:val="24"/>
        </w:rPr>
        <w:t>一心两轴、四带八区</w:t>
      </w:r>
      <w:r>
        <w:rPr>
          <w:rFonts w:cs="Times New Roman"/>
          <w:szCs w:val="24"/>
        </w:rPr>
        <w:t>”</w:t>
      </w:r>
      <w:r>
        <w:rPr>
          <w:rFonts w:ascii="宋体" w:hAnsi="宋体" w:cs="Times New Roman"/>
          <w:szCs w:val="24"/>
        </w:rPr>
        <w:t>的城市空间结构。</w:t>
      </w:r>
    </w:p>
    <w:p w14:paraId="62CEBE5F" w14:textId="77777777" w:rsidR="00E579B9" w:rsidRDefault="006A1398">
      <w:pPr>
        <w:widowControl w:val="0"/>
        <w:adjustRightInd w:val="0"/>
        <w:snapToGrid w:val="0"/>
        <w:jc w:val="both"/>
        <w:rPr>
          <w:rFonts w:cs="Times New Roman"/>
          <w:szCs w:val="24"/>
        </w:rPr>
      </w:pPr>
      <w:r>
        <w:rPr>
          <w:rFonts w:cs="Times New Roman"/>
          <w:szCs w:val="24"/>
        </w:rPr>
        <w:t>(1)</w:t>
      </w:r>
      <w:r>
        <w:rPr>
          <w:rFonts w:ascii="宋体" w:hAnsi="宋体" w:cs="Times New Roman"/>
          <w:szCs w:val="24"/>
        </w:rPr>
        <w:t>一心：</w:t>
      </w:r>
      <w:r>
        <w:rPr>
          <w:rFonts w:cs="Times New Roman"/>
          <w:szCs w:val="24"/>
        </w:rPr>
        <w:t>“</w:t>
      </w:r>
      <w:r>
        <w:rPr>
          <w:rFonts w:ascii="宋体" w:hAnsi="宋体" w:cs="Times New Roman"/>
          <w:szCs w:val="24"/>
        </w:rPr>
        <w:t>新城</w:t>
      </w:r>
      <w:r>
        <w:rPr>
          <w:rFonts w:cs="Times New Roman"/>
          <w:szCs w:val="24"/>
        </w:rPr>
        <w:t>—</w:t>
      </w:r>
      <w:r>
        <w:rPr>
          <w:rFonts w:ascii="宋体" w:hAnsi="宋体" w:cs="Times New Roman"/>
          <w:szCs w:val="24"/>
        </w:rPr>
        <w:t>老城</w:t>
      </w:r>
      <w:r>
        <w:rPr>
          <w:rFonts w:cs="Times New Roman"/>
          <w:szCs w:val="24"/>
        </w:rPr>
        <w:t>”</w:t>
      </w:r>
      <w:r>
        <w:rPr>
          <w:rFonts w:ascii="宋体" w:hAnsi="宋体" w:cs="Times New Roman"/>
          <w:szCs w:val="24"/>
        </w:rPr>
        <w:t>中心</w:t>
      </w:r>
    </w:p>
    <w:p w14:paraId="306A30E2" w14:textId="77777777" w:rsidR="00E579B9" w:rsidRDefault="006A1398">
      <w:pPr>
        <w:widowControl w:val="0"/>
        <w:adjustRightInd w:val="0"/>
        <w:snapToGrid w:val="0"/>
        <w:jc w:val="both"/>
        <w:rPr>
          <w:rFonts w:cs="Times New Roman"/>
          <w:szCs w:val="24"/>
        </w:rPr>
      </w:pPr>
      <w:r>
        <w:rPr>
          <w:rFonts w:ascii="宋体" w:hAnsi="宋体" w:cs="Times New Roman"/>
          <w:szCs w:val="24"/>
        </w:rPr>
        <w:t>新城主要承担现代城市公共服务与生产性服务功能，老城主要承担生活性服务功能，新老城优势互补、互动发展，提升中心城区面向全市域乃至区域的综合服务能力。</w:t>
      </w:r>
    </w:p>
    <w:p w14:paraId="74E216EE" w14:textId="77777777" w:rsidR="00E579B9" w:rsidRDefault="006A1398">
      <w:pPr>
        <w:widowControl w:val="0"/>
        <w:adjustRightInd w:val="0"/>
        <w:snapToGrid w:val="0"/>
        <w:jc w:val="both"/>
        <w:rPr>
          <w:rFonts w:cs="Times New Roman"/>
          <w:szCs w:val="24"/>
        </w:rPr>
      </w:pPr>
      <w:r>
        <w:rPr>
          <w:rFonts w:cs="Times New Roman"/>
          <w:szCs w:val="24"/>
        </w:rPr>
        <w:t>(2)</w:t>
      </w:r>
      <w:r>
        <w:rPr>
          <w:rFonts w:ascii="宋体" w:hAnsi="宋体" w:cs="Times New Roman"/>
          <w:szCs w:val="24"/>
        </w:rPr>
        <w:t>两轴：区域城镇拓展轴、城市功能拓展轴</w:t>
      </w:r>
    </w:p>
    <w:p w14:paraId="20969795" w14:textId="77777777" w:rsidR="00E579B9" w:rsidRDefault="006A1398">
      <w:pPr>
        <w:widowControl w:val="0"/>
        <w:adjustRightInd w:val="0"/>
        <w:snapToGrid w:val="0"/>
        <w:jc w:val="both"/>
        <w:rPr>
          <w:rFonts w:cs="Times New Roman"/>
          <w:szCs w:val="24"/>
        </w:rPr>
      </w:pPr>
      <w:r>
        <w:rPr>
          <w:rFonts w:ascii="宋体" w:hAnsi="宋体" w:cs="Times New Roman"/>
          <w:szCs w:val="24"/>
        </w:rPr>
        <w:t>区域城镇拓展轴：主要由天中山大道</w:t>
      </w:r>
      <w:r>
        <w:rPr>
          <w:rFonts w:cs="Times New Roman"/>
          <w:szCs w:val="24"/>
        </w:rPr>
        <w:t>—</w:t>
      </w:r>
      <w:r>
        <w:rPr>
          <w:rFonts w:ascii="宋体" w:hAnsi="宋体" w:cs="Times New Roman"/>
          <w:szCs w:val="24"/>
        </w:rPr>
        <w:t>文明大道、乐山大道构成，北联遂平，南接确山，串联</w:t>
      </w:r>
      <w:r>
        <w:rPr>
          <w:rFonts w:cs="Times New Roman"/>
          <w:szCs w:val="24"/>
        </w:rPr>
        <w:t>“</w:t>
      </w:r>
      <w:r>
        <w:rPr>
          <w:rFonts w:ascii="宋体" w:hAnsi="宋体" w:cs="Times New Roman"/>
          <w:szCs w:val="24"/>
        </w:rPr>
        <w:t>新城</w:t>
      </w:r>
      <w:r>
        <w:rPr>
          <w:rFonts w:cs="Times New Roman"/>
          <w:szCs w:val="24"/>
        </w:rPr>
        <w:t>—</w:t>
      </w:r>
      <w:r>
        <w:rPr>
          <w:rFonts w:ascii="宋体" w:hAnsi="宋体" w:cs="Times New Roman"/>
          <w:szCs w:val="24"/>
        </w:rPr>
        <w:t>老城</w:t>
      </w:r>
      <w:r>
        <w:rPr>
          <w:rFonts w:cs="Times New Roman"/>
          <w:szCs w:val="24"/>
        </w:rPr>
        <w:t>”</w:t>
      </w:r>
      <w:r>
        <w:rPr>
          <w:rFonts w:ascii="宋体" w:hAnsi="宋体" w:cs="Times New Roman"/>
          <w:szCs w:val="24"/>
        </w:rPr>
        <w:t>中心、关王庙创新研发区、练江河康体休闲区，引导城市轴线拓展，成为中心城市组团式发展区城镇空间发展轴的重要组成部分。</w:t>
      </w:r>
    </w:p>
    <w:p w14:paraId="4C41F0FE" w14:textId="77777777" w:rsidR="00E579B9" w:rsidRDefault="006A1398">
      <w:pPr>
        <w:widowControl w:val="0"/>
        <w:adjustRightInd w:val="0"/>
        <w:snapToGrid w:val="0"/>
        <w:jc w:val="both"/>
        <w:rPr>
          <w:rFonts w:cs="Times New Roman"/>
          <w:szCs w:val="24"/>
        </w:rPr>
      </w:pPr>
      <w:r>
        <w:rPr>
          <w:rFonts w:ascii="宋体" w:hAnsi="宋体" w:cs="Times New Roman"/>
          <w:szCs w:val="24"/>
        </w:rPr>
        <w:t>城市功能拓展轴：以开源大道、开源河为纽带，西联石武高速铁路驻马店站，中部经过行政文化中心，东部串联企业服务中心，进而向东西两翼延展，西至板桥</w:t>
      </w:r>
      <w:r>
        <w:rPr>
          <w:rFonts w:ascii="宋体" w:hAnsi="宋体" w:cs="Times New Roman"/>
          <w:szCs w:val="24"/>
        </w:rPr>
        <w:lastRenderedPageBreak/>
        <w:t>风景区、西部山区旅游度假休闲区，东至宿鸭湖生态休闲功能区、天中山风景区，并与区域都市旅游休闲环有机结合，主要发展商务商业、信息咨询、企业服务、旅游度假、都市休闲、生态体验等功能，强化中心城区对市域东西向的辐射带动作用。</w:t>
      </w:r>
    </w:p>
    <w:p w14:paraId="18C70D27" w14:textId="77777777" w:rsidR="00E579B9" w:rsidRDefault="006A1398">
      <w:pPr>
        <w:widowControl w:val="0"/>
        <w:adjustRightInd w:val="0"/>
        <w:snapToGrid w:val="0"/>
        <w:jc w:val="both"/>
        <w:rPr>
          <w:rFonts w:cs="Times New Roman"/>
          <w:szCs w:val="24"/>
        </w:rPr>
      </w:pPr>
      <w:r>
        <w:rPr>
          <w:rFonts w:cs="Times New Roman"/>
          <w:szCs w:val="24"/>
        </w:rPr>
        <w:t>(3)</w:t>
      </w:r>
      <w:r>
        <w:rPr>
          <w:rFonts w:ascii="宋体" w:hAnsi="宋体" w:cs="Times New Roman"/>
          <w:szCs w:val="24"/>
        </w:rPr>
        <w:t>四带八区：在</w:t>
      </w:r>
      <w:r>
        <w:rPr>
          <w:rFonts w:cs="Times New Roman"/>
          <w:szCs w:val="24"/>
        </w:rPr>
        <w:t>“</w:t>
      </w:r>
      <w:r>
        <w:rPr>
          <w:rFonts w:ascii="宋体" w:hAnsi="宋体" w:cs="Times New Roman"/>
          <w:szCs w:val="24"/>
        </w:rPr>
        <w:t>一心、两轴</w:t>
      </w:r>
      <w:r>
        <w:rPr>
          <w:rFonts w:cs="Times New Roman"/>
          <w:szCs w:val="24"/>
        </w:rPr>
        <w:t>”</w:t>
      </w:r>
      <w:r>
        <w:rPr>
          <w:rFonts w:ascii="宋体" w:hAnsi="宋体" w:cs="Times New Roman"/>
          <w:szCs w:val="24"/>
        </w:rPr>
        <w:t>的基础上，规划围绕</w:t>
      </w:r>
      <w:r>
        <w:rPr>
          <w:rFonts w:cs="Times New Roman"/>
          <w:szCs w:val="24"/>
        </w:rPr>
        <w:t>“</w:t>
      </w:r>
      <w:r>
        <w:rPr>
          <w:rFonts w:ascii="宋体" w:hAnsi="宋体" w:cs="Times New Roman"/>
          <w:szCs w:val="24"/>
        </w:rPr>
        <w:t>新城</w:t>
      </w:r>
      <w:r>
        <w:rPr>
          <w:rFonts w:cs="Times New Roman"/>
          <w:szCs w:val="24"/>
        </w:rPr>
        <w:t>—</w:t>
      </w:r>
      <w:r>
        <w:rPr>
          <w:rFonts w:ascii="宋体" w:hAnsi="宋体" w:cs="Times New Roman"/>
          <w:szCs w:val="24"/>
        </w:rPr>
        <w:t>老城</w:t>
      </w:r>
      <w:r>
        <w:rPr>
          <w:rFonts w:cs="Times New Roman"/>
          <w:szCs w:val="24"/>
        </w:rPr>
        <w:t>”</w:t>
      </w:r>
      <w:r>
        <w:rPr>
          <w:rFonts w:ascii="宋体" w:hAnsi="宋体" w:cs="Times New Roman"/>
          <w:szCs w:val="24"/>
        </w:rPr>
        <w:t>中心，布局小清河科技文化休闲带、练江河康体娱乐休闲带、京广铁路、石武高速铁路生态保育发展带</w:t>
      </w:r>
      <w:r>
        <w:rPr>
          <w:rFonts w:cs="Times New Roman"/>
          <w:szCs w:val="24"/>
        </w:rPr>
        <w:t>4</w:t>
      </w:r>
      <w:r>
        <w:rPr>
          <w:rFonts w:ascii="宋体" w:hAnsi="宋体" w:cs="Times New Roman"/>
          <w:szCs w:val="24"/>
        </w:rPr>
        <w:t>条发展带，并结合主要发展轴带布局新城片区、老城片区、高铁片区、练江片区、关王庙片区、开源片区、东风片区、南海片区等</w:t>
      </w:r>
      <w:r>
        <w:rPr>
          <w:rFonts w:cs="Times New Roman"/>
          <w:szCs w:val="24"/>
        </w:rPr>
        <w:t>8</w:t>
      </w:r>
      <w:r>
        <w:rPr>
          <w:rFonts w:ascii="宋体" w:hAnsi="宋体" w:cs="Times New Roman"/>
          <w:szCs w:val="24"/>
        </w:rPr>
        <w:t>个城市片区。</w:t>
      </w:r>
    </w:p>
    <w:p w14:paraId="27505295" w14:textId="77777777" w:rsidR="00E579B9" w:rsidRDefault="006A1398">
      <w:pPr>
        <w:widowControl w:val="0"/>
        <w:adjustRightInd w:val="0"/>
        <w:snapToGrid w:val="0"/>
        <w:jc w:val="both"/>
        <w:rPr>
          <w:rFonts w:cs="Times New Roman"/>
          <w:szCs w:val="24"/>
        </w:rPr>
      </w:pPr>
      <w:r>
        <w:rPr>
          <w:rFonts w:ascii="宋体" w:hAnsi="宋体" w:cs="Times New Roman"/>
          <w:szCs w:val="24"/>
        </w:rPr>
        <w:t>中心城区各片区主要职能：</w:t>
      </w:r>
    </w:p>
    <w:p w14:paraId="4F7CE78F" w14:textId="77777777" w:rsidR="00E579B9" w:rsidRDefault="006A1398">
      <w:pPr>
        <w:widowControl w:val="0"/>
        <w:adjustRightInd w:val="0"/>
        <w:snapToGrid w:val="0"/>
        <w:jc w:val="both"/>
        <w:rPr>
          <w:rFonts w:cs="Times New Roman"/>
          <w:szCs w:val="24"/>
        </w:rPr>
      </w:pPr>
      <w:r>
        <w:rPr>
          <w:rFonts w:cs="Times New Roman"/>
          <w:szCs w:val="24"/>
        </w:rPr>
        <w:t>(1)</w:t>
      </w:r>
      <w:r>
        <w:rPr>
          <w:rFonts w:ascii="宋体" w:hAnsi="宋体" w:cs="Times New Roman"/>
          <w:szCs w:val="24"/>
        </w:rPr>
        <w:t>新城片区主要承担行政办公、文化展示、职业教育、居住生活服务等功能</w:t>
      </w:r>
      <w:r>
        <w:rPr>
          <w:rFonts w:cs="Times New Roman"/>
          <w:szCs w:val="24"/>
        </w:rPr>
        <w:t>;</w:t>
      </w:r>
    </w:p>
    <w:p w14:paraId="05CC3318" w14:textId="77777777" w:rsidR="00E579B9" w:rsidRDefault="006A1398">
      <w:pPr>
        <w:widowControl w:val="0"/>
        <w:adjustRightInd w:val="0"/>
        <w:snapToGrid w:val="0"/>
        <w:jc w:val="both"/>
        <w:rPr>
          <w:rFonts w:cs="Times New Roman"/>
          <w:szCs w:val="24"/>
        </w:rPr>
      </w:pPr>
      <w:r>
        <w:rPr>
          <w:rFonts w:cs="Times New Roman"/>
          <w:szCs w:val="24"/>
        </w:rPr>
        <w:t>(2)</w:t>
      </w:r>
      <w:r>
        <w:rPr>
          <w:rFonts w:ascii="宋体" w:hAnsi="宋体" w:cs="Times New Roman"/>
          <w:szCs w:val="24"/>
        </w:rPr>
        <w:t>老城片区主要承担传统商贸、公共服务、居住生活服务等功能</w:t>
      </w:r>
      <w:r>
        <w:rPr>
          <w:rFonts w:cs="Times New Roman"/>
          <w:szCs w:val="24"/>
        </w:rPr>
        <w:t>;</w:t>
      </w:r>
    </w:p>
    <w:p w14:paraId="05D0C08B" w14:textId="77777777" w:rsidR="00E579B9" w:rsidRDefault="006A1398">
      <w:pPr>
        <w:widowControl w:val="0"/>
        <w:adjustRightInd w:val="0"/>
        <w:snapToGrid w:val="0"/>
        <w:jc w:val="both"/>
        <w:rPr>
          <w:rFonts w:cs="Times New Roman"/>
          <w:szCs w:val="24"/>
        </w:rPr>
      </w:pPr>
      <w:r>
        <w:rPr>
          <w:rFonts w:cs="Times New Roman"/>
          <w:szCs w:val="24"/>
        </w:rPr>
        <w:t>(3)</w:t>
      </w:r>
      <w:r>
        <w:rPr>
          <w:rFonts w:ascii="宋体" w:hAnsi="宋体" w:cs="Times New Roman"/>
          <w:szCs w:val="24"/>
        </w:rPr>
        <w:t>高铁片区主要承担现代商务商业、金融保险、贸易咨询、物流、交通枢纽等功能</w:t>
      </w:r>
      <w:r>
        <w:rPr>
          <w:rFonts w:cs="Times New Roman"/>
          <w:szCs w:val="24"/>
        </w:rPr>
        <w:t>;</w:t>
      </w:r>
    </w:p>
    <w:p w14:paraId="3477370A" w14:textId="77777777" w:rsidR="00E579B9" w:rsidRDefault="006A1398">
      <w:pPr>
        <w:widowControl w:val="0"/>
        <w:adjustRightInd w:val="0"/>
        <w:snapToGrid w:val="0"/>
        <w:jc w:val="both"/>
        <w:rPr>
          <w:rFonts w:cs="Times New Roman"/>
          <w:szCs w:val="24"/>
        </w:rPr>
      </w:pPr>
      <w:r>
        <w:rPr>
          <w:rFonts w:cs="Times New Roman"/>
          <w:szCs w:val="24"/>
        </w:rPr>
        <w:t>(4)</w:t>
      </w:r>
      <w:r>
        <w:rPr>
          <w:rFonts w:ascii="宋体" w:hAnsi="宋体" w:cs="Times New Roman"/>
          <w:szCs w:val="24"/>
        </w:rPr>
        <w:t>练江片区主要承担康体疗养、生态休闲、公共服务、生态居住等功能</w:t>
      </w:r>
      <w:r>
        <w:rPr>
          <w:rFonts w:cs="Times New Roman"/>
          <w:szCs w:val="24"/>
        </w:rPr>
        <w:t>;</w:t>
      </w:r>
    </w:p>
    <w:p w14:paraId="5C874A5B" w14:textId="77777777" w:rsidR="00E579B9" w:rsidRDefault="006A1398">
      <w:pPr>
        <w:widowControl w:val="0"/>
        <w:adjustRightInd w:val="0"/>
        <w:snapToGrid w:val="0"/>
        <w:jc w:val="both"/>
        <w:rPr>
          <w:rFonts w:cs="Times New Roman"/>
          <w:szCs w:val="24"/>
        </w:rPr>
      </w:pPr>
      <w:r>
        <w:rPr>
          <w:rFonts w:cs="Times New Roman"/>
          <w:szCs w:val="24"/>
        </w:rPr>
        <w:t>(5)</w:t>
      </w:r>
      <w:r>
        <w:rPr>
          <w:rFonts w:ascii="宋体" w:hAnsi="宋体" w:cs="Times New Roman"/>
          <w:szCs w:val="24"/>
        </w:rPr>
        <w:t>关王庙片区主要承担科技研发、职业教育、文化创意、生物科技、企业孵化、康体休闲、居住等功能</w:t>
      </w:r>
      <w:r>
        <w:rPr>
          <w:rFonts w:cs="Times New Roman"/>
          <w:szCs w:val="24"/>
        </w:rPr>
        <w:t>;</w:t>
      </w:r>
    </w:p>
    <w:p w14:paraId="4D3C6916" w14:textId="77777777" w:rsidR="00E579B9" w:rsidRDefault="006A1398">
      <w:pPr>
        <w:widowControl w:val="0"/>
        <w:adjustRightInd w:val="0"/>
        <w:snapToGrid w:val="0"/>
        <w:jc w:val="both"/>
        <w:rPr>
          <w:rFonts w:cs="Times New Roman"/>
          <w:szCs w:val="24"/>
        </w:rPr>
      </w:pPr>
      <w:r>
        <w:rPr>
          <w:rFonts w:cs="Times New Roman"/>
          <w:szCs w:val="24"/>
        </w:rPr>
        <w:t>(6)</w:t>
      </w:r>
      <w:r>
        <w:rPr>
          <w:rFonts w:ascii="宋体" w:hAnsi="宋体" w:cs="Times New Roman"/>
          <w:szCs w:val="24"/>
        </w:rPr>
        <w:t>开源片区主要承担企业服务及食品加工、综合物流等产业功能</w:t>
      </w:r>
      <w:r>
        <w:rPr>
          <w:rFonts w:cs="Times New Roman"/>
          <w:szCs w:val="24"/>
        </w:rPr>
        <w:t>;</w:t>
      </w:r>
    </w:p>
    <w:p w14:paraId="21985DA4" w14:textId="77777777" w:rsidR="00E579B9" w:rsidRDefault="006A1398">
      <w:pPr>
        <w:widowControl w:val="0"/>
        <w:adjustRightInd w:val="0"/>
        <w:snapToGrid w:val="0"/>
        <w:jc w:val="both"/>
        <w:rPr>
          <w:rFonts w:cs="Times New Roman"/>
          <w:szCs w:val="24"/>
        </w:rPr>
      </w:pPr>
      <w:r>
        <w:rPr>
          <w:rFonts w:cs="Times New Roman"/>
          <w:szCs w:val="24"/>
        </w:rPr>
        <w:t>(7)</w:t>
      </w:r>
      <w:r>
        <w:rPr>
          <w:rFonts w:ascii="宋体" w:hAnsi="宋体" w:cs="Times New Roman"/>
          <w:szCs w:val="24"/>
        </w:rPr>
        <w:t>东风片区主要发展医药制造、装备制造、新能源、环保建材</w:t>
      </w:r>
      <w:r>
        <w:rPr>
          <w:rFonts w:cs="Times New Roman"/>
          <w:szCs w:val="24"/>
        </w:rPr>
        <w:t>(</w:t>
      </w:r>
      <w:r>
        <w:rPr>
          <w:rFonts w:ascii="宋体" w:hAnsi="宋体" w:cs="Times New Roman"/>
          <w:szCs w:val="24"/>
        </w:rPr>
        <w:t>新材料</w:t>
      </w:r>
      <w:r>
        <w:rPr>
          <w:rFonts w:cs="Times New Roman"/>
          <w:szCs w:val="24"/>
        </w:rPr>
        <w:t>)</w:t>
      </w:r>
      <w:r>
        <w:rPr>
          <w:rFonts w:ascii="宋体" w:hAnsi="宋体" w:cs="Times New Roman"/>
          <w:szCs w:val="24"/>
        </w:rPr>
        <w:t>、煤化工等产业功能</w:t>
      </w:r>
      <w:r>
        <w:rPr>
          <w:rFonts w:cs="Times New Roman"/>
          <w:szCs w:val="24"/>
        </w:rPr>
        <w:t>;</w:t>
      </w:r>
    </w:p>
    <w:p w14:paraId="6D4D1E96" w14:textId="77777777" w:rsidR="00E579B9" w:rsidRDefault="006A1398">
      <w:pPr>
        <w:widowControl w:val="0"/>
        <w:adjustRightInd w:val="0"/>
        <w:snapToGrid w:val="0"/>
        <w:jc w:val="both"/>
        <w:rPr>
          <w:rFonts w:cs="Times New Roman"/>
          <w:szCs w:val="24"/>
        </w:rPr>
      </w:pPr>
      <w:r>
        <w:rPr>
          <w:rFonts w:cs="Times New Roman"/>
          <w:szCs w:val="24"/>
        </w:rPr>
        <w:t>(8)</w:t>
      </w:r>
      <w:r>
        <w:rPr>
          <w:rFonts w:ascii="宋体" w:hAnsi="宋体" w:cs="Times New Roman"/>
          <w:szCs w:val="24"/>
        </w:rPr>
        <w:t>南海片区主要发展钢铁、纺织、建材、原材料等产业功能。</w:t>
      </w:r>
    </w:p>
    <w:p w14:paraId="429B61AB" w14:textId="77777777" w:rsidR="00E579B9" w:rsidRDefault="006A1398">
      <w:pPr>
        <w:widowControl w:val="0"/>
        <w:adjustRightInd w:val="0"/>
        <w:snapToGrid w:val="0"/>
        <w:jc w:val="both"/>
        <w:rPr>
          <w:rFonts w:cs="Times New Roman"/>
          <w:szCs w:val="24"/>
        </w:rPr>
      </w:pPr>
      <w:r>
        <w:rPr>
          <w:rFonts w:ascii="宋体" w:hAnsi="宋体" w:cs="Times New Roman"/>
          <w:szCs w:val="24"/>
        </w:rPr>
        <w:t>给水工程规划：</w:t>
      </w:r>
    </w:p>
    <w:p w14:paraId="5DFEBCA7" w14:textId="77777777" w:rsidR="00E579B9" w:rsidRDefault="006A1398">
      <w:pPr>
        <w:widowControl w:val="0"/>
        <w:adjustRightInd w:val="0"/>
        <w:snapToGrid w:val="0"/>
        <w:jc w:val="both"/>
        <w:rPr>
          <w:rFonts w:cs="Times New Roman"/>
          <w:szCs w:val="24"/>
        </w:rPr>
      </w:pPr>
      <w:r>
        <w:rPr>
          <w:rFonts w:cs="Times New Roman"/>
          <w:szCs w:val="24"/>
        </w:rPr>
        <w:t>(1)</w:t>
      </w:r>
      <w:r>
        <w:rPr>
          <w:rFonts w:ascii="宋体" w:hAnsi="宋体" w:cs="Times New Roman"/>
          <w:szCs w:val="24"/>
        </w:rPr>
        <w:t>水源规划：规划中心城区用水全部采用地表水。</w:t>
      </w:r>
    </w:p>
    <w:p w14:paraId="10984337" w14:textId="77777777" w:rsidR="00E579B9" w:rsidRDefault="006A1398">
      <w:pPr>
        <w:widowControl w:val="0"/>
        <w:adjustRightInd w:val="0"/>
        <w:snapToGrid w:val="0"/>
        <w:jc w:val="both"/>
        <w:rPr>
          <w:rFonts w:cs="Times New Roman"/>
          <w:szCs w:val="24"/>
        </w:rPr>
      </w:pPr>
      <w:r>
        <w:rPr>
          <w:rFonts w:ascii="宋体" w:hAnsi="宋体" w:cs="Times New Roman"/>
          <w:szCs w:val="24"/>
        </w:rPr>
        <w:t>板桥水库城镇可供水能力为</w:t>
      </w:r>
      <w:r>
        <w:rPr>
          <w:rFonts w:cs="Times New Roman"/>
          <w:szCs w:val="24"/>
        </w:rPr>
        <w:t>35</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；薄山水库城镇可供水能力为</w:t>
      </w:r>
      <w:r>
        <w:rPr>
          <w:rFonts w:cs="Times New Roman"/>
          <w:szCs w:val="24"/>
        </w:rPr>
        <w:t>15</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，远期供水能力达到</w:t>
      </w:r>
      <w:r>
        <w:rPr>
          <w:rFonts w:cs="Times New Roman"/>
          <w:szCs w:val="24"/>
        </w:rPr>
        <w:t>20</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；逐步改善宿鸭湖水库水质，在水质达标的前提下，可利用</w:t>
      </w:r>
      <w:r>
        <w:rPr>
          <w:rFonts w:cs="Times New Roman"/>
          <w:szCs w:val="24"/>
        </w:rPr>
        <w:t>30</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的水资源作为城镇生产生活用水水源。</w:t>
      </w:r>
    </w:p>
    <w:p w14:paraId="3C5741B7" w14:textId="77777777" w:rsidR="00E579B9" w:rsidRDefault="006A1398">
      <w:pPr>
        <w:widowControl w:val="0"/>
        <w:adjustRightInd w:val="0"/>
        <w:snapToGrid w:val="0"/>
        <w:jc w:val="both"/>
        <w:rPr>
          <w:rFonts w:cs="Times New Roman"/>
          <w:szCs w:val="24"/>
        </w:rPr>
      </w:pPr>
      <w:r>
        <w:rPr>
          <w:rFonts w:cs="Times New Roman"/>
          <w:szCs w:val="24"/>
        </w:rPr>
        <w:t>(2)</w:t>
      </w:r>
      <w:r>
        <w:rPr>
          <w:rFonts w:ascii="宋体" w:hAnsi="宋体" w:cs="Times New Roman"/>
          <w:szCs w:val="24"/>
        </w:rPr>
        <w:t>引水工程</w:t>
      </w:r>
    </w:p>
    <w:p w14:paraId="7A80CDD0" w14:textId="77777777" w:rsidR="00E579B9" w:rsidRDefault="006A1398">
      <w:pPr>
        <w:widowControl w:val="0"/>
        <w:adjustRightInd w:val="0"/>
        <w:snapToGrid w:val="0"/>
        <w:jc w:val="both"/>
        <w:rPr>
          <w:rFonts w:cs="Times New Roman"/>
          <w:szCs w:val="24"/>
        </w:rPr>
      </w:pPr>
      <w:r>
        <w:rPr>
          <w:rFonts w:ascii="宋体" w:hAnsi="宋体" w:cs="Times New Roman"/>
          <w:szCs w:val="24"/>
        </w:rPr>
        <w:t>板桥水库通过板桥灌区南干渠</w:t>
      </w:r>
      <w:r>
        <w:rPr>
          <w:rFonts w:cs="Times New Roman"/>
          <w:szCs w:val="24"/>
        </w:rPr>
        <w:t>(2DN1400)</w:t>
      </w:r>
      <w:r>
        <w:rPr>
          <w:rFonts w:ascii="宋体" w:hAnsi="宋体" w:cs="Times New Roman"/>
          <w:szCs w:val="24"/>
        </w:rPr>
        <w:t>自流将水输送至河里王泵站，再由河里王泵站将水输送至中心城区。</w:t>
      </w:r>
    </w:p>
    <w:p w14:paraId="3A649794" w14:textId="77777777" w:rsidR="00E579B9" w:rsidRDefault="006A1398">
      <w:pPr>
        <w:widowControl w:val="0"/>
        <w:adjustRightInd w:val="0"/>
        <w:snapToGrid w:val="0"/>
        <w:jc w:val="both"/>
        <w:rPr>
          <w:rFonts w:cs="Times New Roman"/>
          <w:szCs w:val="24"/>
        </w:rPr>
      </w:pPr>
      <w:r>
        <w:rPr>
          <w:rFonts w:ascii="宋体" w:hAnsi="宋体" w:cs="Times New Roman"/>
          <w:szCs w:val="24"/>
        </w:rPr>
        <w:t>薄山水库通过薄山北干渠</w:t>
      </w:r>
      <w:r>
        <w:rPr>
          <w:rFonts w:cs="Times New Roman"/>
          <w:szCs w:val="24"/>
        </w:rPr>
        <w:t>(</w:t>
      </w:r>
      <w:r>
        <w:rPr>
          <w:rFonts w:ascii="宋体" w:hAnsi="宋体" w:cs="Times New Roman"/>
          <w:szCs w:val="24"/>
        </w:rPr>
        <w:t>中间设泵站</w:t>
      </w:r>
      <w:r>
        <w:rPr>
          <w:rFonts w:cs="Times New Roman"/>
          <w:szCs w:val="24"/>
        </w:rPr>
        <w:t>)</w:t>
      </w:r>
      <w:r>
        <w:rPr>
          <w:rFonts w:ascii="宋体" w:hAnsi="宋体" w:cs="Times New Roman"/>
          <w:szCs w:val="24"/>
        </w:rPr>
        <w:t>将水输送至中心城区。</w:t>
      </w:r>
    </w:p>
    <w:p w14:paraId="4017DBB6" w14:textId="77777777" w:rsidR="00E579B9" w:rsidRDefault="006A1398">
      <w:pPr>
        <w:widowControl w:val="0"/>
        <w:adjustRightInd w:val="0"/>
        <w:snapToGrid w:val="0"/>
        <w:jc w:val="both"/>
        <w:rPr>
          <w:rFonts w:cs="Times New Roman"/>
          <w:szCs w:val="24"/>
        </w:rPr>
      </w:pPr>
      <w:r>
        <w:rPr>
          <w:rFonts w:ascii="宋体" w:hAnsi="宋体" w:cs="Times New Roman"/>
          <w:szCs w:val="24"/>
        </w:rPr>
        <w:lastRenderedPageBreak/>
        <w:t>宿鸭湖水库通过建设引水工程将达标水输送至中心城区。</w:t>
      </w:r>
    </w:p>
    <w:p w14:paraId="6E54B1E0" w14:textId="77777777" w:rsidR="00E579B9" w:rsidRDefault="006A1398">
      <w:pPr>
        <w:widowControl w:val="0"/>
        <w:adjustRightInd w:val="0"/>
        <w:snapToGrid w:val="0"/>
        <w:jc w:val="both"/>
        <w:rPr>
          <w:rFonts w:cs="Times New Roman"/>
          <w:szCs w:val="24"/>
        </w:rPr>
      </w:pPr>
      <w:r>
        <w:rPr>
          <w:rFonts w:cs="Times New Roman"/>
          <w:szCs w:val="24"/>
        </w:rPr>
        <w:t>(3)</w:t>
      </w:r>
      <w:r>
        <w:rPr>
          <w:rFonts w:ascii="宋体" w:hAnsi="宋体" w:cs="Times New Roman"/>
          <w:szCs w:val="24"/>
        </w:rPr>
        <w:t>给水设施规划</w:t>
      </w:r>
    </w:p>
    <w:p w14:paraId="4238D9A2" w14:textId="77777777" w:rsidR="00E579B9" w:rsidRDefault="006A1398">
      <w:pPr>
        <w:widowControl w:val="0"/>
        <w:adjustRightInd w:val="0"/>
        <w:snapToGrid w:val="0"/>
        <w:jc w:val="both"/>
        <w:rPr>
          <w:rFonts w:cs="Times New Roman"/>
          <w:szCs w:val="24"/>
        </w:rPr>
      </w:pPr>
      <w:r>
        <w:rPr>
          <w:rFonts w:ascii="宋体" w:hAnsi="宋体" w:cs="Times New Roman"/>
          <w:szCs w:val="24"/>
        </w:rPr>
        <w:t>规划扩建中心城区第一</w:t>
      </w:r>
      <w:r>
        <w:rPr>
          <w:rFonts w:cs="Times New Roman"/>
          <w:szCs w:val="24"/>
        </w:rPr>
        <w:t>(</w:t>
      </w:r>
      <w:r>
        <w:rPr>
          <w:rFonts w:ascii="宋体" w:hAnsi="宋体" w:cs="Times New Roman"/>
          <w:szCs w:val="24"/>
        </w:rPr>
        <w:t>王楼</w:t>
      </w:r>
      <w:r>
        <w:rPr>
          <w:rFonts w:cs="Times New Roman"/>
          <w:szCs w:val="24"/>
        </w:rPr>
        <w:t>)</w:t>
      </w:r>
      <w:r>
        <w:rPr>
          <w:rFonts w:ascii="宋体" w:hAnsi="宋体" w:cs="Times New Roman"/>
          <w:szCs w:val="24"/>
        </w:rPr>
        <w:t>水厂和第二水厂，新建第三水厂和第四水厂。第一</w:t>
      </w:r>
      <w:r>
        <w:rPr>
          <w:rFonts w:cs="Times New Roman"/>
          <w:szCs w:val="24"/>
        </w:rPr>
        <w:t>(</w:t>
      </w:r>
      <w:r>
        <w:rPr>
          <w:rFonts w:ascii="宋体" w:hAnsi="宋体" w:cs="Times New Roman"/>
          <w:szCs w:val="24"/>
        </w:rPr>
        <w:t>王楼</w:t>
      </w:r>
      <w:r>
        <w:rPr>
          <w:rFonts w:cs="Times New Roman"/>
          <w:szCs w:val="24"/>
        </w:rPr>
        <w:t>)</w:t>
      </w:r>
      <w:r>
        <w:rPr>
          <w:rFonts w:ascii="宋体" w:hAnsi="宋体" w:cs="Times New Roman"/>
          <w:szCs w:val="24"/>
        </w:rPr>
        <w:t>水厂和第二水厂水源为板桥水库，第三水厂水源为薄山水库，第四水厂水源为宿鸭湖水库。</w:t>
      </w:r>
    </w:p>
    <w:p w14:paraId="1A01EE0D" w14:textId="77777777" w:rsidR="00E579B9" w:rsidRDefault="006A1398">
      <w:pPr>
        <w:widowControl w:val="0"/>
        <w:adjustRightInd w:val="0"/>
        <w:snapToGrid w:val="0"/>
        <w:jc w:val="both"/>
        <w:rPr>
          <w:rFonts w:cs="Times New Roman"/>
          <w:szCs w:val="24"/>
        </w:rPr>
      </w:pPr>
      <w:r>
        <w:rPr>
          <w:rFonts w:ascii="宋体" w:hAnsi="宋体" w:cs="Times New Roman"/>
          <w:szCs w:val="24"/>
        </w:rPr>
        <w:t>排水工程规划：</w:t>
      </w:r>
    </w:p>
    <w:p w14:paraId="5716262A" w14:textId="77777777" w:rsidR="00E579B9" w:rsidRDefault="006A1398">
      <w:pPr>
        <w:widowControl w:val="0"/>
        <w:adjustRightInd w:val="0"/>
        <w:snapToGrid w:val="0"/>
        <w:jc w:val="both"/>
        <w:rPr>
          <w:rFonts w:cs="Times New Roman"/>
          <w:szCs w:val="24"/>
        </w:rPr>
      </w:pPr>
      <w:r>
        <w:rPr>
          <w:rFonts w:cs="Times New Roman"/>
          <w:szCs w:val="24"/>
        </w:rPr>
        <w:t>(1)</w:t>
      </w:r>
      <w:r>
        <w:rPr>
          <w:rFonts w:ascii="宋体" w:hAnsi="宋体" w:cs="Times New Roman"/>
          <w:szCs w:val="24"/>
        </w:rPr>
        <w:t>排水体制</w:t>
      </w:r>
    </w:p>
    <w:p w14:paraId="07C2F101" w14:textId="77777777" w:rsidR="00E579B9" w:rsidRDefault="006A1398">
      <w:pPr>
        <w:widowControl w:val="0"/>
        <w:adjustRightInd w:val="0"/>
        <w:snapToGrid w:val="0"/>
        <w:jc w:val="both"/>
        <w:rPr>
          <w:rFonts w:cs="Times New Roman"/>
          <w:szCs w:val="24"/>
        </w:rPr>
      </w:pPr>
      <w:r>
        <w:rPr>
          <w:rFonts w:ascii="宋体" w:hAnsi="宋体" w:cs="Times New Roman"/>
          <w:szCs w:val="24"/>
        </w:rPr>
        <w:t>采用雨污分流制排水体制。</w:t>
      </w:r>
    </w:p>
    <w:p w14:paraId="5CA45B60" w14:textId="77777777" w:rsidR="00E579B9" w:rsidRDefault="006A1398">
      <w:pPr>
        <w:widowControl w:val="0"/>
        <w:adjustRightInd w:val="0"/>
        <w:snapToGrid w:val="0"/>
        <w:jc w:val="both"/>
        <w:rPr>
          <w:rFonts w:cs="Times New Roman"/>
          <w:szCs w:val="24"/>
        </w:rPr>
      </w:pPr>
      <w:r>
        <w:rPr>
          <w:rFonts w:cs="Times New Roman"/>
          <w:szCs w:val="24"/>
        </w:rPr>
        <w:t>(2)</w:t>
      </w:r>
      <w:r>
        <w:rPr>
          <w:rFonts w:ascii="宋体" w:hAnsi="宋体" w:cs="Times New Roman"/>
          <w:szCs w:val="24"/>
        </w:rPr>
        <w:t>污水量预测</w:t>
      </w:r>
    </w:p>
    <w:p w14:paraId="28524B91" w14:textId="77777777" w:rsidR="00E579B9" w:rsidRDefault="006A1398">
      <w:pPr>
        <w:widowControl w:val="0"/>
        <w:adjustRightInd w:val="0"/>
        <w:snapToGrid w:val="0"/>
        <w:jc w:val="both"/>
        <w:rPr>
          <w:rFonts w:cs="Times New Roman"/>
          <w:szCs w:val="24"/>
        </w:rPr>
      </w:pPr>
      <w:r>
        <w:rPr>
          <w:rFonts w:ascii="宋体" w:hAnsi="宋体" w:cs="Times New Roman"/>
          <w:szCs w:val="24"/>
        </w:rPr>
        <w:t>预测中心城区</w:t>
      </w:r>
      <w:r>
        <w:rPr>
          <w:rFonts w:cs="Times New Roman"/>
          <w:szCs w:val="24"/>
        </w:rPr>
        <w:t>2020</w:t>
      </w:r>
      <w:r>
        <w:rPr>
          <w:rFonts w:ascii="宋体" w:hAnsi="宋体" w:cs="Times New Roman"/>
          <w:szCs w:val="24"/>
        </w:rPr>
        <w:t>年污水量为</w:t>
      </w:r>
      <w:r>
        <w:rPr>
          <w:rFonts w:cs="Times New Roman"/>
          <w:szCs w:val="24"/>
        </w:rPr>
        <w:t>49.3</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，污水总变化系数</w:t>
      </w:r>
      <w:r>
        <w:rPr>
          <w:rFonts w:cs="Times New Roman"/>
          <w:szCs w:val="24"/>
        </w:rPr>
        <w:t>Kz=1.04</w:t>
      </w:r>
      <w:r>
        <w:rPr>
          <w:rFonts w:ascii="宋体" w:hAnsi="宋体" w:cs="Times New Roman"/>
          <w:szCs w:val="24"/>
        </w:rPr>
        <w:t>；</w:t>
      </w:r>
      <w:r>
        <w:rPr>
          <w:rFonts w:cs="Times New Roman"/>
          <w:szCs w:val="24"/>
        </w:rPr>
        <w:t>2030</w:t>
      </w:r>
      <w:r>
        <w:rPr>
          <w:rFonts w:ascii="宋体" w:hAnsi="宋体" w:cs="Times New Roman"/>
          <w:szCs w:val="24"/>
        </w:rPr>
        <w:t>年污水量为</w:t>
      </w:r>
      <w:r>
        <w:rPr>
          <w:rFonts w:cs="Times New Roman"/>
          <w:szCs w:val="24"/>
        </w:rPr>
        <w:t>67.56</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，污水总变化系数</w:t>
      </w:r>
      <w:r>
        <w:rPr>
          <w:rFonts w:cs="Times New Roman"/>
          <w:szCs w:val="24"/>
        </w:rPr>
        <w:t>Kz=1.01</w:t>
      </w:r>
      <w:r>
        <w:rPr>
          <w:rFonts w:ascii="宋体" w:hAnsi="宋体" w:cs="Times New Roman"/>
          <w:szCs w:val="24"/>
        </w:rPr>
        <w:t>。</w:t>
      </w:r>
    </w:p>
    <w:p w14:paraId="7829BD68" w14:textId="77777777" w:rsidR="00E579B9" w:rsidRDefault="006A1398">
      <w:pPr>
        <w:widowControl w:val="0"/>
        <w:adjustRightInd w:val="0"/>
        <w:snapToGrid w:val="0"/>
        <w:jc w:val="both"/>
        <w:rPr>
          <w:rFonts w:cs="Times New Roman"/>
          <w:szCs w:val="24"/>
        </w:rPr>
      </w:pPr>
      <w:r>
        <w:rPr>
          <w:rFonts w:cs="Times New Roman"/>
          <w:szCs w:val="24"/>
        </w:rPr>
        <w:t>(3)</w:t>
      </w:r>
      <w:r>
        <w:rPr>
          <w:rFonts w:ascii="宋体" w:hAnsi="宋体" w:cs="Times New Roman"/>
          <w:szCs w:val="24"/>
        </w:rPr>
        <w:t>污水处理设施规划</w:t>
      </w:r>
    </w:p>
    <w:p w14:paraId="745446C6" w14:textId="77777777" w:rsidR="00E579B9" w:rsidRDefault="006A1398">
      <w:pPr>
        <w:widowControl w:val="0"/>
        <w:adjustRightInd w:val="0"/>
        <w:snapToGrid w:val="0"/>
        <w:jc w:val="both"/>
        <w:rPr>
          <w:rFonts w:cs="Times New Roman"/>
          <w:szCs w:val="24"/>
        </w:rPr>
      </w:pPr>
      <w:r>
        <w:rPr>
          <w:rFonts w:ascii="宋体" w:hAnsi="宋体" w:cs="Times New Roman"/>
          <w:szCs w:val="24"/>
        </w:rPr>
        <w:t>规划对第一</w:t>
      </w:r>
      <w:r>
        <w:rPr>
          <w:rFonts w:cs="Times New Roman"/>
          <w:szCs w:val="24"/>
        </w:rPr>
        <w:t>(</w:t>
      </w:r>
      <w:r>
        <w:rPr>
          <w:rFonts w:ascii="宋体" w:hAnsi="宋体" w:cs="Times New Roman"/>
          <w:szCs w:val="24"/>
        </w:rPr>
        <w:t>刘楼</w:t>
      </w:r>
      <w:r>
        <w:rPr>
          <w:rFonts w:cs="Times New Roman"/>
          <w:szCs w:val="24"/>
        </w:rPr>
        <w:t>)</w:t>
      </w:r>
      <w:r>
        <w:rPr>
          <w:rFonts w:ascii="宋体" w:hAnsi="宋体" w:cs="Times New Roman"/>
          <w:szCs w:val="24"/>
        </w:rPr>
        <w:t>污水处理厂进行扩建，至</w:t>
      </w:r>
      <w:r>
        <w:rPr>
          <w:rFonts w:cs="Times New Roman"/>
          <w:szCs w:val="24"/>
        </w:rPr>
        <w:t>2020</w:t>
      </w:r>
      <w:r>
        <w:rPr>
          <w:rFonts w:ascii="宋体" w:hAnsi="宋体" w:cs="Times New Roman"/>
          <w:szCs w:val="24"/>
        </w:rPr>
        <w:t>年日处理能力为</w:t>
      </w:r>
      <w:r>
        <w:rPr>
          <w:rFonts w:cs="Times New Roman"/>
          <w:szCs w:val="24"/>
        </w:rPr>
        <w:t>15</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，占地约</w:t>
      </w:r>
      <w:r>
        <w:rPr>
          <w:rFonts w:cs="Times New Roman"/>
          <w:szCs w:val="24"/>
        </w:rPr>
        <w:t>11</w:t>
      </w:r>
      <w:r>
        <w:rPr>
          <w:rFonts w:ascii="宋体" w:hAnsi="宋体" w:cs="Times New Roman"/>
          <w:szCs w:val="24"/>
        </w:rPr>
        <w:t>公顷。</w:t>
      </w:r>
    </w:p>
    <w:p w14:paraId="602C0DD8" w14:textId="77777777" w:rsidR="00E579B9" w:rsidRDefault="006A1398">
      <w:pPr>
        <w:widowControl w:val="0"/>
        <w:adjustRightInd w:val="0"/>
        <w:snapToGrid w:val="0"/>
        <w:jc w:val="both"/>
        <w:rPr>
          <w:rFonts w:cs="Times New Roman"/>
          <w:szCs w:val="24"/>
        </w:rPr>
      </w:pPr>
      <w:r>
        <w:rPr>
          <w:rFonts w:ascii="宋体" w:hAnsi="宋体" w:cs="Times New Roman"/>
          <w:szCs w:val="24"/>
        </w:rPr>
        <w:t>新建第二污水处理厂，规划至</w:t>
      </w:r>
      <w:r>
        <w:rPr>
          <w:rFonts w:cs="Times New Roman"/>
          <w:szCs w:val="24"/>
        </w:rPr>
        <w:t>2020</w:t>
      </w:r>
      <w:r>
        <w:rPr>
          <w:rFonts w:ascii="宋体" w:hAnsi="宋体" w:cs="Times New Roman"/>
          <w:szCs w:val="24"/>
        </w:rPr>
        <w:t>年日处理能力为</w:t>
      </w:r>
      <w:r>
        <w:rPr>
          <w:rFonts w:cs="Times New Roman"/>
          <w:szCs w:val="24"/>
        </w:rPr>
        <w:t>20</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，至</w:t>
      </w:r>
      <w:r>
        <w:rPr>
          <w:rFonts w:cs="Times New Roman"/>
          <w:szCs w:val="24"/>
        </w:rPr>
        <w:t>2030</w:t>
      </w:r>
      <w:r>
        <w:rPr>
          <w:rFonts w:ascii="宋体" w:hAnsi="宋体" w:cs="Times New Roman"/>
          <w:szCs w:val="24"/>
        </w:rPr>
        <w:t>年日处理能力为</w:t>
      </w:r>
      <w:r>
        <w:rPr>
          <w:rFonts w:cs="Times New Roman"/>
          <w:szCs w:val="24"/>
        </w:rPr>
        <w:t>30</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，占地约</w:t>
      </w:r>
      <w:r>
        <w:rPr>
          <w:rFonts w:cs="Times New Roman"/>
          <w:szCs w:val="24"/>
        </w:rPr>
        <w:t>18</w:t>
      </w:r>
      <w:r>
        <w:rPr>
          <w:rFonts w:ascii="宋体" w:hAnsi="宋体" w:cs="Times New Roman"/>
          <w:szCs w:val="24"/>
        </w:rPr>
        <w:t>公顷。</w:t>
      </w:r>
    </w:p>
    <w:p w14:paraId="151BF150" w14:textId="77777777" w:rsidR="00E579B9" w:rsidRDefault="006A1398">
      <w:pPr>
        <w:widowControl w:val="0"/>
        <w:adjustRightInd w:val="0"/>
        <w:snapToGrid w:val="0"/>
        <w:jc w:val="both"/>
        <w:rPr>
          <w:rFonts w:cs="Times New Roman"/>
          <w:szCs w:val="24"/>
        </w:rPr>
      </w:pPr>
      <w:r>
        <w:rPr>
          <w:rFonts w:ascii="宋体" w:hAnsi="宋体" w:cs="Times New Roman"/>
          <w:szCs w:val="24"/>
        </w:rPr>
        <w:t>新建第三污水处理厂，规划至</w:t>
      </w:r>
      <w:r>
        <w:rPr>
          <w:rFonts w:cs="Times New Roman"/>
          <w:szCs w:val="24"/>
        </w:rPr>
        <w:t>2020</w:t>
      </w:r>
      <w:r>
        <w:rPr>
          <w:rFonts w:ascii="宋体" w:hAnsi="宋体" w:cs="Times New Roman"/>
          <w:szCs w:val="24"/>
        </w:rPr>
        <w:t>年日处理能力为</w:t>
      </w:r>
      <w:r>
        <w:rPr>
          <w:rFonts w:cs="Times New Roman"/>
          <w:szCs w:val="24"/>
        </w:rPr>
        <w:t>15</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，至</w:t>
      </w:r>
      <w:r>
        <w:rPr>
          <w:rFonts w:cs="Times New Roman"/>
          <w:szCs w:val="24"/>
        </w:rPr>
        <w:t>2030</w:t>
      </w:r>
      <w:r>
        <w:rPr>
          <w:rFonts w:ascii="宋体" w:hAnsi="宋体" w:cs="Times New Roman"/>
          <w:szCs w:val="24"/>
        </w:rPr>
        <w:t>年日处理能力为</w:t>
      </w:r>
      <w:r>
        <w:rPr>
          <w:rFonts w:cs="Times New Roman"/>
          <w:szCs w:val="24"/>
        </w:rPr>
        <w:t>25</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，占地约</w:t>
      </w:r>
      <w:r>
        <w:rPr>
          <w:rFonts w:cs="Times New Roman"/>
          <w:szCs w:val="24"/>
        </w:rPr>
        <w:t>14</w:t>
      </w:r>
      <w:r>
        <w:rPr>
          <w:rFonts w:ascii="宋体" w:hAnsi="宋体" w:cs="Times New Roman"/>
          <w:szCs w:val="24"/>
        </w:rPr>
        <w:t>公顷。</w:t>
      </w:r>
    </w:p>
    <w:p w14:paraId="6C05355E" w14:textId="77777777" w:rsidR="00E579B9" w:rsidRDefault="006A1398">
      <w:pPr>
        <w:widowControl w:val="0"/>
        <w:adjustRightInd w:val="0"/>
        <w:snapToGrid w:val="0"/>
        <w:jc w:val="both"/>
        <w:rPr>
          <w:rFonts w:cs="Times New Roman"/>
          <w:szCs w:val="24"/>
        </w:rPr>
      </w:pPr>
      <w:r>
        <w:rPr>
          <w:rFonts w:ascii="宋体" w:hAnsi="宋体" w:cs="Times New Roman"/>
          <w:szCs w:val="24"/>
        </w:rPr>
        <w:t>新建新城污水泵站，规划至</w:t>
      </w:r>
      <w:r>
        <w:rPr>
          <w:rFonts w:cs="Times New Roman"/>
          <w:szCs w:val="24"/>
        </w:rPr>
        <w:t>2020</w:t>
      </w:r>
      <w:r>
        <w:rPr>
          <w:rFonts w:ascii="宋体" w:hAnsi="宋体" w:cs="Times New Roman"/>
          <w:szCs w:val="24"/>
        </w:rPr>
        <w:t>年日提升能力为</w:t>
      </w:r>
      <w:r>
        <w:rPr>
          <w:rFonts w:cs="Times New Roman"/>
          <w:szCs w:val="24"/>
        </w:rPr>
        <w:t>10</w:t>
      </w:r>
      <w:r>
        <w:rPr>
          <w:rFonts w:ascii="宋体" w:hAnsi="宋体" w:cs="Times New Roman"/>
          <w:szCs w:val="24"/>
        </w:rPr>
        <w:t>万</w:t>
      </w:r>
      <w:r>
        <w:rPr>
          <w:rFonts w:cs="Times New Roman"/>
          <w:szCs w:val="24"/>
        </w:rPr>
        <w:t>m</w:t>
      </w:r>
      <w:r>
        <w:rPr>
          <w:rFonts w:cs="Times New Roman"/>
          <w:szCs w:val="24"/>
          <w:vertAlign w:val="superscript"/>
        </w:rPr>
        <w:t>3</w:t>
      </w:r>
      <w:r>
        <w:rPr>
          <w:rFonts w:ascii="宋体" w:hAnsi="宋体" w:cs="Times New Roman"/>
          <w:szCs w:val="24"/>
        </w:rPr>
        <w:t>，至</w:t>
      </w:r>
      <w:r>
        <w:rPr>
          <w:rFonts w:cs="Times New Roman"/>
          <w:szCs w:val="24"/>
        </w:rPr>
        <w:t>2030</w:t>
      </w:r>
      <w:r>
        <w:rPr>
          <w:rFonts w:ascii="宋体" w:hAnsi="宋体" w:cs="Times New Roman"/>
          <w:szCs w:val="24"/>
        </w:rPr>
        <w:t>年日提升能力为</w:t>
      </w:r>
      <w:r>
        <w:rPr>
          <w:rFonts w:cs="Times New Roman"/>
          <w:szCs w:val="24"/>
        </w:rPr>
        <w:t>15</w:t>
      </w:r>
      <w:r>
        <w:rPr>
          <w:rFonts w:ascii="宋体" w:hAnsi="宋体" w:cs="Times New Roman"/>
          <w:szCs w:val="24"/>
        </w:rPr>
        <w:t>万</w:t>
      </w:r>
      <w:r>
        <w:rPr>
          <w:rFonts w:cs="Times New Roman"/>
          <w:szCs w:val="24"/>
        </w:rPr>
        <w:t>m</w:t>
      </w:r>
      <w:r>
        <w:rPr>
          <w:rFonts w:cs="Times New Roman"/>
          <w:szCs w:val="24"/>
          <w:vertAlign w:val="superscript"/>
        </w:rPr>
        <w:t>3</w:t>
      </w:r>
      <w:r>
        <w:rPr>
          <w:rFonts w:ascii="宋体" w:hAnsi="宋体" w:cs="Times New Roman"/>
          <w:szCs w:val="24"/>
        </w:rPr>
        <w:t>，占地约</w:t>
      </w:r>
      <w:r>
        <w:rPr>
          <w:rFonts w:cs="Times New Roman"/>
          <w:szCs w:val="24"/>
        </w:rPr>
        <w:t>0.35</w:t>
      </w:r>
      <w:r>
        <w:rPr>
          <w:rFonts w:ascii="宋体" w:hAnsi="宋体" w:cs="Times New Roman"/>
          <w:szCs w:val="24"/>
        </w:rPr>
        <w:t>公顷。</w:t>
      </w:r>
    </w:p>
    <w:p w14:paraId="1EDD56E7" w14:textId="77777777" w:rsidR="00E579B9" w:rsidRDefault="006A1398">
      <w:pPr>
        <w:widowControl w:val="0"/>
        <w:adjustRightInd w:val="0"/>
        <w:snapToGrid w:val="0"/>
        <w:jc w:val="both"/>
        <w:rPr>
          <w:rFonts w:cs="Times New Roman"/>
          <w:szCs w:val="24"/>
        </w:rPr>
      </w:pPr>
      <w:r>
        <w:rPr>
          <w:rFonts w:cs="Times New Roman"/>
          <w:szCs w:val="24"/>
        </w:rPr>
        <w:t>(4)</w:t>
      </w:r>
      <w:r>
        <w:rPr>
          <w:rFonts w:ascii="宋体" w:hAnsi="宋体" w:cs="Times New Roman"/>
          <w:szCs w:val="24"/>
        </w:rPr>
        <w:t>再生水设施规划</w:t>
      </w:r>
    </w:p>
    <w:p w14:paraId="2C5BAA38" w14:textId="77777777" w:rsidR="00E579B9" w:rsidRDefault="006A1398">
      <w:pPr>
        <w:widowControl w:val="0"/>
        <w:adjustRightInd w:val="0"/>
        <w:snapToGrid w:val="0"/>
        <w:jc w:val="both"/>
        <w:rPr>
          <w:rFonts w:cs="Times New Roman"/>
          <w:szCs w:val="24"/>
        </w:rPr>
      </w:pPr>
      <w:r>
        <w:rPr>
          <w:rFonts w:ascii="宋体" w:hAnsi="宋体" w:cs="Times New Roman"/>
          <w:szCs w:val="24"/>
        </w:rPr>
        <w:t>新建第一</w:t>
      </w:r>
      <w:r>
        <w:rPr>
          <w:rFonts w:cs="Times New Roman"/>
          <w:szCs w:val="24"/>
        </w:rPr>
        <w:t>(</w:t>
      </w:r>
      <w:r>
        <w:rPr>
          <w:rFonts w:ascii="宋体" w:hAnsi="宋体" w:cs="Times New Roman"/>
          <w:szCs w:val="24"/>
        </w:rPr>
        <w:t>刘楼</w:t>
      </w:r>
      <w:r>
        <w:rPr>
          <w:rFonts w:cs="Times New Roman"/>
          <w:szCs w:val="24"/>
        </w:rPr>
        <w:t>)</w:t>
      </w:r>
      <w:r>
        <w:rPr>
          <w:rFonts w:ascii="宋体" w:hAnsi="宋体" w:cs="Times New Roman"/>
          <w:szCs w:val="24"/>
        </w:rPr>
        <w:t>再生水厂，规划至</w:t>
      </w:r>
      <w:r>
        <w:rPr>
          <w:rFonts w:cs="Times New Roman"/>
          <w:szCs w:val="24"/>
        </w:rPr>
        <w:t>2020</w:t>
      </w:r>
      <w:r>
        <w:rPr>
          <w:rFonts w:ascii="宋体" w:hAnsi="宋体" w:cs="Times New Roman"/>
          <w:szCs w:val="24"/>
        </w:rPr>
        <w:t>年日处理能力为</w:t>
      </w:r>
      <w:r>
        <w:rPr>
          <w:rFonts w:cs="Times New Roman"/>
          <w:szCs w:val="24"/>
        </w:rPr>
        <w:t>6</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，至</w:t>
      </w:r>
      <w:r>
        <w:rPr>
          <w:rFonts w:cs="Times New Roman"/>
          <w:szCs w:val="24"/>
        </w:rPr>
        <w:t>2030</w:t>
      </w:r>
      <w:r>
        <w:rPr>
          <w:rFonts w:ascii="宋体" w:hAnsi="宋体" w:cs="Times New Roman"/>
          <w:szCs w:val="24"/>
        </w:rPr>
        <w:t>年日处理能力为</w:t>
      </w:r>
      <w:r>
        <w:rPr>
          <w:rFonts w:cs="Times New Roman"/>
          <w:szCs w:val="24"/>
        </w:rPr>
        <w:t>10</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，占地约</w:t>
      </w:r>
      <w:r>
        <w:rPr>
          <w:rFonts w:cs="Times New Roman"/>
          <w:szCs w:val="24"/>
        </w:rPr>
        <w:t>3</w:t>
      </w:r>
      <w:r>
        <w:rPr>
          <w:rFonts w:ascii="宋体" w:hAnsi="宋体" w:cs="Times New Roman"/>
          <w:szCs w:val="24"/>
        </w:rPr>
        <w:t>公顷。</w:t>
      </w:r>
    </w:p>
    <w:p w14:paraId="539DF910" w14:textId="77777777" w:rsidR="00E579B9" w:rsidRDefault="006A1398">
      <w:pPr>
        <w:widowControl w:val="0"/>
        <w:adjustRightInd w:val="0"/>
        <w:snapToGrid w:val="0"/>
        <w:jc w:val="both"/>
        <w:rPr>
          <w:rFonts w:cs="Times New Roman"/>
          <w:szCs w:val="24"/>
        </w:rPr>
      </w:pPr>
      <w:r>
        <w:rPr>
          <w:rFonts w:ascii="宋体" w:hAnsi="宋体" w:cs="Times New Roman"/>
          <w:szCs w:val="24"/>
        </w:rPr>
        <w:t>新建第二再生水厂，规划至</w:t>
      </w:r>
      <w:r>
        <w:rPr>
          <w:rFonts w:cs="Times New Roman"/>
          <w:szCs w:val="24"/>
        </w:rPr>
        <w:t>2020</w:t>
      </w:r>
      <w:r>
        <w:rPr>
          <w:rFonts w:ascii="宋体" w:hAnsi="宋体" w:cs="Times New Roman"/>
          <w:szCs w:val="24"/>
        </w:rPr>
        <w:t>年日处理能力为</w:t>
      </w:r>
      <w:r>
        <w:rPr>
          <w:rFonts w:cs="Times New Roman"/>
          <w:szCs w:val="24"/>
        </w:rPr>
        <w:t>5</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，至</w:t>
      </w:r>
      <w:r>
        <w:rPr>
          <w:rFonts w:cs="Times New Roman"/>
          <w:szCs w:val="24"/>
        </w:rPr>
        <w:t>2030</w:t>
      </w:r>
      <w:r>
        <w:rPr>
          <w:rFonts w:ascii="宋体" w:hAnsi="宋体" w:cs="Times New Roman"/>
          <w:szCs w:val="24"/>
        </w:rPr>
        <w:t>年日处理能力为</w:t>
      </w:r>
      <w:r>
        <w:rPr>
          <w:rFonts w:cs="Times New Roman"/>
          <w:szCs w:val="24"/>
        </w:rPr>
        <w:t>10</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，占地约</w:t>
      </w:r>
      <w:r>
        <w:rPr>
          <w:rFonts w:cs="Times New Roman"/>
          <w:szCs w:val="24"/>
        </w:rPr>
        <w:t>3</w:t>
      </w:r>
      <w:r>
        <w:rPr>
          <w:rFonts w:ascii="宋体" w:hAnsi="宋体" w:cs="Times New Roman"/>
          <w:szCs w:val="24"/>
        </w:rPr>
        <w:t>公顷。</w:t>
      </w:r>
    </w:p>
    <w:p w14:paraId="6E68C908" w14:textId="77777777" w:rsidR="00E579B9" w:rsidRDefault="006A1398">
      <w:pPr>
        <w:widowControl w:val="0"/>
        <w:adjustRightInd w:val="0"/>
        <w:snapToGrid w:val="0"/>
        <w:jc w:val="both"/>
        <w:rPr>
          <w:rFonts w:cs="Times New Roman"/>
          <w:szCs w:val="24"/>
        </w:rPr>
      </w:pPr>
      <w:r>
        <w:rPr>
          <w:rFonts w:ascii="宋体" w:hAnsi="宋体" w:cs="Times New Roman"/>
          <w:szCs w:val="24"/>
        </w:rPr>
        <w:t>新建第三再生水厂，规划至</w:t>
      </w:r>
      <w:r>
        <w:rPr>
          <w:rFonts w:cs="Times New Roman"/>
          <w:szCs w:val="24"/>
        </w:rPr>
        <w:t>2020</w:t>
      </w:r>
      <w:r>
        <w:rPr>
          <w:rFonts w:ascii="宋体" w:hAnsi="宋体" w:cs="Times New Roman"/>
          <w:szCs w:val="24"/>
        </w:rPr>
        <w:t>年日处理能力为</w:t>
      </w:r>
      <w:r>
        <w:rPr>
          <w:rFonts w:cs="Times New Roman"/>
          <w:szCs w:val="24"/>
        </w:rPr>
        <w:t>5</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，至</w:t>
      </w:r>
      <w:r>
        <w:rPr>
          <w:rFonts w:cs="Times New Roman"/>
          <w:szCs w:val="24"/>
        </w:rPr>
        <w:t>2030</w:t>
      </w:r>
      <w:r>
        <w:rPr>
          <w:rFonts w:ascii="宋体" w:hAnsi="宋体" w:cs="Times New Roman"/>
          <w:szCs w:val="24"/>
        </w:rPr>
        <w:t>年日处理能力为</w:t>
      </w:r>
      <w:r>
        <w:rPr>
          <w:rFonts w:cs="Times New Roman"/>
          <w:szCs w:val="24"/>
        </w:rPr>
        <w:t>10</w:t>
      </w:r>
      <w:r>
        <w:rPr>
          <w:rFonts w:ascii="宋体" w:hAnsi="宋体" w:cs="Times New Roman"/>
          <w:szCs w:val="24"/>
        </w:rPr>
        <w:t>万</w:t>
      </w:r>
      <w:r>
        <w:rPr>
          <w:rFonts w:cs="Times New Roman"/>
          <w:szCs w:val="24"/>
        </w:rPr>
        <w:t>m</w:t>
      </w:r>
      <w:r>
        <w:rPr>
          <w:rFonts w:cs="Times New Roman"/>
          <w:szCs w:val="24"/>
          <w:vertAlign w:val="superscript"/>
        </w:rPr>
        <w:t>3</w:t>
      </w:r>
      <w:r>
        <w:rPr>
          <w:rFonts w:cs="Times New Roman"/>
          <w:szCs w:val="24"/>
        </w:rPr>
        <w:t>/d</w:t>
      </w:r>
      <w:r>
        <w:rPr>
          <w:rFonts w:ascii="宋体" w:hAnsi="宋体" w:cs="Times New Roman"/>
          <w:szCs w:val="24"/>
        </w:rPr>
        <w:t>，占地约</w:t>
      </w:r>
      <w:r>
        <w:rPr>
          <w:rFonts w:cs="Times New Roman"/>
          <w:szCs w:val="24"/>
        </w:rPr>
        <w:t>2</w:t>
      </w:r>
      <w:r>
        <w:rPr>
          <w:rFonts w:ascii="宋体" w:hAnsi="宋体" w:cs="Times New Roman"/>
          <w:szCs w:val="24"/>
        </w:rPr>
        <w:t>公顷。</w:t>
      </w:r>
    </w:p>
    <w:p w14:paraId="44F5192A" w14:textId="77777777" w:rsidR="00E579B9" w:rsidRDefault="006A1398">
      <w:pPr>
        <w:widowControl w:val="0"/>
        <w:adjustRightInd w:val="0"/>
        <w:snapToGrid w:val="0"/>
        <w:jc w:val="both"/>
        <w:rPr>
          <w:rFonts w:cs="Times New Roman"/>
          <w:szCs w:val="24"/>
        </w:rPr>
      </w:pPr>
      <w:r>
        <w:rPr>
          <w:rFonts w:cs="Times New Roman"/>
          <w:szCs w:val="24"/>
        </w:rPr>
        <w:t>(5)</w:t>
      </w:r>
      <w:r>
        <w:rPr>
          <w:rFonts w:ascii="宋体" w:hAnsi="宋体" w:cs="Times New Roman"/>
          <w:szCs w:val="24"/>
        </w:rPr>
        <w:t>污水管网规划</w:t>
      </w:r>
    </w:p>
    <w:p w14:paraId="09D33169" w14:textId="77777777" w:rsidR="00E579B9" w:rsidRDefault="006A1398">
      <w:pPr>
        <w:widowControl w:val="0"/>
        <w:adjustRightInd w:val="0"/>
        <w:snapToGrid w:val="0"/>
        <w:jc w:val="both"/>
        <w:rPr>
          <w:rFonts w:cs="Times New Roman"/>
          <w:szCs w:val="24"/>
        </w:rPr>
      </w:pPr>
      <w:r>
        <w:rPr>
          <w:rFonts w:ascii="宋体" w:hAnsi="宋体" w:cs="Times New Roman"/>
          <w:szCs w:val="24"/>
        </w:rPr>
        <w:lastRenderedPageBreak/>
        <w:t>规划近期在老城区沿开源大道、雪松大道、骏马路分别建设</w:t>
      </w:r>
      <w:r>
        <w:rPr>
          <w:rFonts w:cs="Times New Roman"/>
          <w:szCs w:val="24"/>
        </w:rPr>
        <w:t>d1000</w:t>
      </w:r>
      <w:r>
        <w:rPr>
          <w:rFonts w:ascii="宋体" w:hAnsi="宋体" w:cs="Times New Roman"/>
          <w:szCs w:val="24"/>
        </w:rPr>
        <w:t>的截污干管，将合流污水截至污水处理厂集中处理，截流倍数取</w:t>
      </w:r>
      <w:r>
        <w:rPr>
          <w:rFonts w:cs="Times New Roman"/>
          <w:szCs w:val="24"/>
        </w:rPr>
        <w:t>1.5</w:t>
      </w:r>
      <w:r>
        <w:rPr>
          <w:rFonts w:ascii="宋体" w:hAnsi="宋体" w:cs="Times New Roman"/>
          <w:szCs w:val="24"/>
        </w:rPr>
        <w:t>。</w:t>
      </w:r>
    </w:p>
    <w:p w14:paraId="061B31C2" w14:textId="77777777" w:rsidR="00E579B9" w:rsidRDefault="006A1398">
      <w:pPr>
        <w:widowControl w:val="0"/>
        <w:adjustRightInd w:val="0"/>
        <w:snapToGrid w:val="0"/>
        <w:jc w:val="both"/>
        <w:rPr>
          <w:rFonts w:cs="Times New Roman"/>
          <w:szCs w:val="24"/>
        </w:rPr>
      </w:pPr>
      <w:r>
        <w:rPr>
          <w:rFonts w:ascii="宋体" w:hAnsi="宋体" w:cs="Times New Roman"/>
          <w:szCs w:val="24"/>
        </w:rPr>
        <w:t>在产业集聚区沿道路敷设</w:t>
      </w:r>
      <w:r>
        <w:rPr>
          <w:rFonts w:cs="Times New Roman"/>
          <w:szCs w:val="24"/>
        </w:rPr>
        <w:t>d600~d1200</w:t>
      </w:r>
      <w:r>
        <w:rPr>
          <w:rFonts w:ascii="宋体" w:hAnsi="宋体" w:cs="Times New Roman"/>
          <w:szCs w:val="24"/>
        </w:rPr>
        <w:t>的再生主干管，鼓励可能的企业使用再生水。</w:t>
      </w:r>
    </w:p>
    <w:p w14:paraId="5C50A42F" w14:textId="77777777" w:rsidR="00E579B9" w:rsidRDefault="006A1398">
      <w:pPr>
        <w:widowControl w:val="0"/>
        <w:adjustRightInd w:val="0"/>
        <w:snapToGrid w:val="0"/>
        <w:jc w:val="both"/>
        <w:rPr>
          <w:rFonts w:cs="Times New Roman"/>
          <w:szCs w:val="24"/>
        </w:rPr>
      </w:pPr>
      <w:r>
        <w:rPr>
          <w:rFonts w:ascii="宋体" w:hAnsi="宋体" w:cs="Times New Roman"/>
          <w:szCs w:val="24"/>
        </w:rPr>
        <w:t>水环境功能区划：</w:t>
      </w:r>
    </w:p>
    <w:p w14:paraId="1CB78E92" w14:textId="77777777" w:rsidR="00E579B9" w:rsidRDefault="006A1398">
      <w:pPr>
        <w:widowControl w:val="0"/>
        <w:adjustRightInd w:val="0"/>
        <w:snapToGrid w:val="0"/>
        <w:jc w:val="both"/>
        <w:rPr>
          <w:rFonts w:cs="Times New Roman"/>
          <w:szCs w:val="24"/>
        </w:rPr>
      </w:pPr>
      <w:r>
        <w:rPr>
          <w:rFonts w:ascii="宋体" w:hAnsi="宋体" w:cs="Times New Roman"/>
          <w:szCs w:val="24"/>
        </w:rPr>
        <w:t>规划汝河作为备用水源，按饮用水源保护区执行</w:t>
      </w:r>
      <w:r>
        <w:rPr>
          <w:rFonts w:ascii="宋体" w:hAnsi="宋体" w:cs="宋体" w:hint="eastAsia"/>
          <w:szCs w:val="24"/>
        </w:rPr>
        <w:t>Ⅲ</w:t>
      </w:r>
      <w:r>
        <w:rPr>
          <w:rFonts w:ascii="宋体" w:hAnsi="宋体" w:cs="Times New Roman"/>
          <w:szCs w:val="24"/>
        </w:rPr>
        <w:t>类水质标准；城市内景观河道练江河、骏马河等执行</w:t>
      </w:r>
      <w:r>
        <w:rPr>
          <w:rFonts w:ascii="宋体" w:hAnsi="宋体" w:cs="宋体" w:hint="eastAsia"/>
          <w:szCs w:val="24"/>
        </w:rPr>
        <w:t>Ⅴ</w:t>
      </w:r>
      <w:r>
        <w:rPr>
          <w:rFonts w:ascii="宋体" w:hAnsi="宋体" w:cs="Times New Roman"/>
          <w:szCs w:val="24"/>
        </w:rPr>
        <w:t>类标准。</w:t>
      </w:r>
    </w:p>
    <w:p w14:paraId="48E5354E" w14:textId="77777777" w:rsidR="00E579B9" w:rsidRDefault="006A1398">
      <w:pPr>
        <w:rPr>
          <w:rFonts w:ascii="Cambria Math" w:hAnsi="Cambria Math" w:cs="宋体"/>
          <w:sz w:val="21"/>
          <w:szCs w:val="21"/>
        </w:rPr>
      </w:pPr>
      <w:r>
        <w:rPr>
          <w:rFonts w:hint="eastAsia"/>
        </w:rPr>
        <w:t>本项目位于驻马店市驿城区沙河店镇赵尧村，项目为非金属矿采选业、土砂石、石材开采加工项目，</w:t>
      </w:r>
      <w:r>
        <w:rPr>
          <w:rFonts w:ascii="宋体" w:hAnsi="宋体" w:cs="Times New Roman"/>
          <w:szCs w:val="24"/>
        </w:rPr>
        <w:t>不在城市规划范围内，</w:t>
      </w:r>
      <w:r>
        <w:rPr>
          <w:rFonts w:hint="eastAsia"/>
        </w:rPr>
        <w:t>本项目符合</w:t>
      </w:r>
      <w:r>
        <w:rPr>
          <w:rFonts w:hint="eastAsia"/>
          <w:snapToGrid w:val="0"/>
        </w:rPr>
        <w:t>《驻马店市城市总体规划》（</w:t>
      </w:r>
      <w:r>
        <w:rPr>
          <w:rFonts w:hint="eastAsia"/>
          <w:snapToGrid w:val="0"/>
        </w:rPr>
        <w:t>201</w:t>
      </w:r>
      <w:r>
        <w:rPr>
          <w:snapToGrid w:val="0"/>
        </w:rPr>
        <w:t>1</w:t>
      </w:r>
      <w:r>
        <w:rPr>
          <w:rFonts w:hint="eastAsia"/>
          <w:snapToGrid w:val="0"/>
        </w:rPr>
        <w:t>-2030</w:t>
      </w:r>
      <w:r>
        <w:rPr>
          <w:rFonts w:hint="eastAsia"/>
          <w:snapToGrid w:val="0"/>
        </w:rPr>
        <w:t>年）</w:t>
      </w:r>
      <w:r>
        <w:rPr>
          <w:rFonts w:hint="eastAsia"/>
        </w:rPr>
        <w:t>的相关要求。</w:t>
      </w:r>
    </w:p>
    <w:p w14:paraId="1C3AC901" w14:textId="77777777" w:rsidR="00E579B9" w:rsidRDefault="006A1398">
      <w:pPr>
        <w:pStyle w:val="3"/>
        <w:ind w:firstLine="560"/>
      </w:pPr>
      <w:r>
        <w:rPr>
          <w:rFonts w:hint="eastAsia"/>
        </w:rPr>
        <w:t>10.2.2</w:t>
      </w:r>
      <w:r>
        <w:t>《河南省城市集中式饮用水源保护区划》</w:t>
      </w:r>
    </w:p>
    <w:p w14:paraId="163DF2C6" w14:textId="77777777" w:rsidR="00E579B9" w:rsidRDefault="006A1398">
      <w:r>
        <w:t>2007</w:t>
      </w:r>
      <w:r>
        <w:t>年</w:t>
      </w:r>
      <w:r>
        <w:t>12</w:t>
      </w:r>
      <w:r>
        <w:t>月，河南省人民政府发布《河南省城市集中式饮用水源保护区划》，对</w:t>
      </w:r>
      <w:r>
        <w:t>18</w:t>
      </w:r>
      <w:r>
        <w:t>个省辖市及</w:t>
      </w:r>
      <w:r>
        <w:t>20</w:t>
      </w:r>
      <w:r>
        <w:t>个县级市的城市建成区和规划区的集中式饮用水源地保护区进行了划分。其中，驻马店市划定一处板桥水库地表水饮用水源保护区。</w:t>
      </w:r>
    </w:p>
    <w:p w14:paraId="61974D60" w14:textId="77777777" w:rsidR="00E579B9" w:rsidRDefault="006A1398">
      <w:pPr>
        <w:rPr>
          <w:shd w:val="clear" w:color="auto" w:fill="FFFFFF"/>
        </w:rPr>
      </w:pPr>
      <w:r>
        <w:rPr>
          <w:rFonts w:hint="eastAsia"/>
          <w:shd w:val="clear" w:color="auto" w:fill="FFFFFF"/>
        </w:rPr>
        <w:t>一级保护区：板桥水库取水口外围</w:t>
      </w:r>
      <w:r>
        <w:rPr>
          <w:rFonts w:hint="eastAsia"/>
          <w:shd w:val="clear" w:color="auto" w:fill="FFFFFF"/>
        </w:rPr>
        <w:t>500</w:t>
      </w:r>
      <w:r>
        <w:rPr>
          <w:rFonts w:hint="eastAsia"/>
          <w:shd w:val="clear" w:color="auto" w:fill="FFFFFF"/>
        </w:rPr>
        <w:t>米的水域</w:t>
      </w:r>
      <w:r>
        <w:rPr>
          <w:rFonts w:hint="eastAsia"/>
          <w:shd w:val="clear" w:color="auto" w:fill="FFFFFF"/>
        </w:rPr>
        <w:t>;</w:t>
      </w:r>
      <w:r>
        <w:rPr>
          <w:rFonts w:hint="eastAsia"/>
          <w:shd w:val="clear" w:color="auto" w:fill="FFFFFF"/>
        </w:rPr>
        <w:t>取水口一侧高程</w:t>
      </w:r>
      <w:r>
        <w:rPr>
          <w:rFonts w:hint="eastAsia"/>
          <w:shd w:val="clear" w:color="auto" w:fill="FFFFFF"/>
        </w:rPr>
        <w:t>111.5</w:t>
      </w:r>
      <w:r>
        <w:rPr>
          <w:rFonts w:hint="eastAsia"/>
          <w:shd w:val="clear" w:color="auto" w:fill="FFFFFF"/>
        </w:rPr>
        <w:t>米以上大坝以内距岸边</w:t>
      </w:r>
      <w:r>
        <w:rPr>
          <w:rFonts w:hint="eastAsia"/>
          <w:shd w:val="clear" w:color="auto" w:fill="FFFFFF"/>
        </w:rPr>
        <w:t>200</w:t>
      </w:r>
      <w:r>
        <w:rPr>
          <w:rFonts w:hint="eastAsia"/>
          <w:shd w:val="clear" w:color="auto" w:fill="FFFFFF"/>
        </w:rPr>
        <w:t>米的陆域；南干渠及两侧</w:t>
      </w:r>
      <w:r>
        <w:rPr>
          <w:rFonts w:hint="eastAsia"/>
          <w:shd w:val="clear" w:color="auto" w:fill="FFFFFF"/>
        </w:rPr>
        <w:t>50</w:t>
      </w:r>
      <w:r>
        <w:rPr>
          <w:rFonts w:hint="eastAsia"/>
          <w:shd w:val="clear" w:color="auto" w:fill="FFFFFF"/>
        </w:rPr>
        <w:t>米的水域和陆域；输水管道两侧</w:t>
      </w:r>
      <w:r>
        <w:rPr>
          <w:rFonts w:hint="eastAsia"/>
          <w:shd w:val="clear" w:color="auto" w:fill="FFFFFF"/>
        </w:rPr>
        <w:t>50</w:t>
      </w:r>
      <w:r>
        <w:rPr>
          <w:rFonts w:hint="eastAsia"/>
          <w:shd w:val="clear" w:color="auto" w:fill="FFFFFF"/>
        </w:rPr>
        <w:t>米的陆域。</w:t>
      </w:r>
      <w:r>
        <w:rPr>
          <w:rFonts w:hint="eastAsia"/>
        </w:rPr>
        <w:br/>
      </w:r>
      <w:r>
        <w:rPr>
          <w:rFonts w:hint="eastAsia"/>
          <w:shd w:val="clear" w:color="auto" w:fill="FFFFFF"/>
        </w:rPr>
        <w:t xml:space="preserve">　　二级保护区：板桥水库高程</w:t>
      </w:r>
      <w:r>
        <w:rPr>
          <w:rFonts w:hint="eastAsia"/>
          <w:shd w:val="clear" w:color="auto" w:fill="FFFFFF"/>
        </w:rPr>
        <w:t>115.3</w:t>
      </w:r>
      <w:r>
        <w:rPr>
          <w:rFonts w:hint="eastAsia"/>
          <w:shd w:val="clear" w:color="auto" w:fill="FFFFFF"/>
        </w:rPr>
        <w:t>米以下，取水口一级保护区外的水域和陆域；南干渠一级保护区外两侧</w:t>
      </w:r>
      <w:r>
        <w:rPr>
          <w:rFonts w:hint="eastAsia"/>
          <w:shd w:val="clear" w:color="auto" w:fill="FFFFFF"/>
        </w:rPr>
        <w:t>1000</w:t>
      </w:r>
      <w:r>
        <w:rPr>
          <w:rFonts w:hint="eastAsia"/>
          <w:shd w:val="clear" w:color="auto" w:fill="FFFFFF"/>
        </w:rPr>
        <w:t>米的陆域。</w:t>
      </w:r>
      <w:r>
        <w:rPr>
          <w:rFonts w:hint="eastAsia"/>
        </w:rPr>
        <w:br/>
      </w:r>
      <w:r>
        <w:rPr>
          <w:rFonts w:hint="eastAsia"/>
          <w:shd w:val="clear" w:color="auto" w:fill="FFFFFF"/>
        </w:rPr>
        <w:t xml:space="preserve">　　准保护区：二级保护区外、山脊线以内所有向板桥水库汇水的水域和陆域。</w:t>
      </w:r>
    </w:p>
    <w:p w14:paraId="0480459A" w14:textId="77777777" w:rsidR="00E579B9" w:rsidRDefault="006A1398">
      <w:pPr>
        <w:rPr>
          <w:rFonts w:ascii="宋体" w:hAnsi="宋体" w:cs="Times New Roman"/>
          <w:bCs/>
          <w:szCs w:val="24"/>
        </w:rPr>
      </w:pPr>
      <w:r>
        <w:rPr>
          <w:rFonts w:ascii="宋体" w:hAnsi="宋体" w:cs="Times New Roman" w:hint="eastAsia"/>
          <w:bCs/>
          <w:szCs w:val="24"/>
        </w:rPr>
        <w:t>根据</w:t>
      </w:r>
      <w:r>
        <w:rPr>
          <w:rFonts w:cs="Times New Roman" w:hint="eastAsia"/>
          <w:bCs/>
          <w:szCs w:val="24"/>
        </w:rPr>
        <w:t>2018</w:t>
      </w:r>
      <w:r>
        <w:rPr>
          <w:rFonts w:ascii="宋体" w:hAnsi="宋体" w:cs="Times New Roman" w:hint="eastAsia"/>
          <w:bCs/>
          <w:szCs w:val="24"/>
        </w:rPr>
        <w:t>年编制的《《驻马店市板桥水库、薄山水库饮用水水源地保护区调整技术报告》》板桥水库</w:t>
      </w:r>
      <w:r>
        <w:rPr>
          <w:rFonts w:ascii="宋体" w:hAnsi="宋体" w:cs="Times New Roman"/>
          <w:bCs/>
          <w:szCs w:val="24"/>
        </w:rPr>
        <w:t>保护区如下：</w:t>
      </w:r>
    </w:p>
    <w:p w14:paraId="47FAE3BC" w14:textId="77777777" w:rsidR="00E579B9" w:rsidRDefault="006A1398">
      <w:r>
        <w:t>一级保护区范围：</w:t>
      </w:r>
      <w:r>
        <w:rPr>
          <w:rFonts w:hint="eastAsia"/>
        </w:rPr>
        <w:t>板桥水库原、新取水口外围</w:t>
      </w:r>
      <w:r>
        <w:rPr>
          <w:rFonts w:hint="eastAsia"/>
        </w:rPr>
        <w:t>800</w:t>
      </w:r>
      <w:r>
        <w:rPr>
          <w:rFonts w:hint="eastAsia"/>
        </w:rPr>
        <w:t>米的水域；原、新取水口一侧高程</w:t>
      </w:r>
      <w:r>
        <w:rPr>
          <w:rFonts w:hint="eastAsia"/>
        </w:rPr>
        <w:t>111.5</w:t>
      </w:r>
      <w:r>
        <w:rPr>
          <w:rFonts w:hint="eastAsia"/>
        </w:rPr>
        <w:t>米以上大坝以内南副坝以西的陆域</w:t>
      </w:r>
      <w:r>
        <w:t>。</w:t>
      </w:r>
    </w:p>
    <w:p w14:paraId="7EFF8560" w14:textId="77777777" w:rsidR="00E579B9" w:rsidRDefault="006A1398">
      <w:r>
        <w:t>二级保护区范围：板桥水库高程</w:t>
      </w:r>
      <w:r>
        <w:t>115.3</w:t>
      </w:r>
      <w:r>
        <w:t>米以下，原、新取水口一级保护区外的水域和陆域</w:t>
      </w:r>
      <w:r>
        <w:rPr>
          <w:rFonts w:hint="eastAsia"/>
        </w:rPr>
        <w:t>；原取水口至河里王泵站输水暗管两侧</w:t>
      </w:r>
      <w:r>
        <w:rPr>
          <w:rFonts w:hint="eastAsia"/>
        </w:rPr>
        <w:t>30</w:t>
      </w:r>
      <w:r>
        <w:rPr>
          <w:rFonts w:hint="eastAsia"/>
        </w:rPr>
        <w:t>米的陆域</w:t>
      </w:r>
      <w:r>
        <w:t>。</w:t>
      </w:r>
    </w:p>
    <w:p w14:paraId="2BACAB2A" w14:textId="77777777" w:rsidR="00E579B9" w:rsidRDefault="006A1398">
      <w:r>
        <w:t>准保护区范围：二级保护区外、山脊线以内所有向板桥水库汇水的水域和陆域。</w:t>
      </w:r>
    </w:p>
    <w:p w14:paraId="1A2F2454" w14:textId="77777777" w:rsidR="00E579B9" w:rsidRDefault="006A1398">
      <w:pPr>
        <w:rPr>
          <w:bCs/>
        </w:rPr>
      </w:pPr>
      <w:r>
        <w:rPr>
          <w:rFonts w:hint="eastAsia"/>
          <w:snapToGrid w:val="0"/>
        </w:rPr>
        <w:lastRenderedPageBreak/>
        <w:t>本项目</w:t>
      </w:r>
      <w:r>
        <w:rPr>
          <w:snapToGrid w:val="0"/>
        </w:rPr>
        <w:t>距离板桥水库</w:t>
      </w:r>
      <w:r>
        <w:rPr>
          <w:snapToGrid w:val="0"/>
        </w:rPr>
        <w:t>13.17km</w:t>
      </w:r>
      <w:r>
        <w:rPr>
          <w:rFonts w:hint="eastAsia"/>
          <w:snapToGrid w:val="0"/>
        </w:rPr>
        <w:t>，</w:t>
      </w:r>
      <w:r>
        <w:rPr>
          <w:snapToGrid w:val="0"/>
        </w:rPr>
        <w:t>不在保护区范围内。</w:t>
      </w:r>
      <w:r>
        <w:rPr>
          <w:rFonts w:hint="eastAsia"/>
          <w:bCs/>
        </w:rPr>
        <w:t>项目建设</w:t>
      </w:r>
      <w:r>
        <w:rPr>
          <w:bCs/>
        </w:rPr>
        <w:t>符合集中式饮用水水源保护区相关保护要求。</w:t>
      </w:r>
    </w:p>
    <w:p w14:paraId="1D917B97" w14:textId="77777777" w:rsidR="00E579B9" w:rsidRDefault="006A1398">
      <w:pPr>
        <w:pStyle w:val="3"/>
        <w:ind w:firstLine="560"/>
        <w:rPr>
          <w:snapToGrid w:val="0"/>
        </w:rPr>
      </w:pPr>
      <w:r>
        <w:rPr>
          <w:snapToGrid w:val="0"/>
        </w:rPr>
        <w:t>10.2.3</w:t>
      </w:r>
      <w:r>
        <w:rPr>
          <w:snapToGrid w:val="0"/>
        </w:rPr>
        <w:t>本项目与《河南省矿产资源总体规划》（</w:t>
      </w:r>
      <w:r>
        <w:rPr>
          <w:snapToGrid w:val="0"/>
        </w:rPr>
        <w:t>2016-2020</w:t>
      </w:r>
      <w:r>
        <w:rPr>
          <w:rFonts w:hint="eastAsia"/>
          <w:snapToGrid w:val="0"/>
        </w:rPr>
        <w:t>年</w:t>
      </w:r>
      <w:r>
        <w:rPr>
          <w:snapToGrid w:val="0"/>
        </w:rPr>
        <w:t>）相符性分析</w:t>
      </w:r>
    </w:p>
    <w:p w14:paraId="713F17DC" w14:textId="77777777" w:rsidR="00E579B9" w:rsidRDefault="006A1398">
      <w:pPr>
        <w:pStyle w:val="21"/>
        <w:ind w:leftChars="0" w:left="0" w:firstLineChars="100" w:firstLine="240"/>
      </w:pPr>
      <w:r>
        <w:t>表</w:t>
      </w:r>
      <w:r>
        <w:t>10.2-1</w:t>
      </w:r>
      <w:r>
        <w:t>与《河南省矿产资源总体规划》</w:t>
      </w:r>
      <w:r>
        <w:rPr>
          <w:rFonts w:hint="eastAsia"/>
        </w:rPr>
        <w:t>（</w:t>
      </w:r>
      <w:r>
        <w:rPr>
          <w:rFonts w:hint="eastAsia"/>
        </w:rPr>
        <w:t>2016-2020</w:t>
      </w:r>
      <w:r>
        <w:rPr>
          <w:rFonts w:hint="eastAsia"/>
        </w:rPr>
        <w:t>年）</w:t>
      </w:r>
      <w:r>
        <w:t>相符性</w:t>
      </w:r>
      <w:r>
        <w:rPr>
          <w:rFonts w:hint="eastAsia"/>
        </w:rPr>
        <w:t>分析</w:t>
      </w:r>
      <w:r>
        <w:t>一览表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596"/>
        <w:gridCol w:w="4517"/>
        <w:gridCol w:w="2693"/>
        <w:gridCol w:w="818"/>
      </w:tblGrid>
      <w:tr w:rsidR="00E579B9" w14:paraId="7D9AE9A5" w14:textId="77777777">
        <w:trPr>
          <w:trHeight w:val="285"/>
          <w:tblHeader/>
        </w:trPr>
        <w:tc>
          <w:tcPr>
            <w:tcW w:w="443" w:type="dxa"/>
            <w:shd w:val="clear" w:color="auto" w:fill="auto"/>
            <w:vAlign w:val="center"/>
          </w:tcPr>
          <w:p w14:paraId="1C83421E" w14:textId="77777777" w:rsidR="00E579B9" w:rsidRDefault="006A1398">
            <w:pPr>
              <w:pStyle w:val="aa"/>
              <w:widowControl w:val="0"/>
              <w:autoSpaceDE w:val="0"/>
              <w:autoSpaceDN w:val="0"/>
              <w:adjustRightInd w:val="0"/>
            </w:pPr>
            <w:r>
              <w:t>序号</w:t>
            </w:r>
          </w:p>
        </w:tc>
        <w:tc>
          <w:tcPr>
            <w:tcW w:w="596" w:type="dxa"/>
            <w:shd w:val="clear" w:color="auto" w:fill="auto"/>
            <w:vAlign w:val="center"/>
          </w:tcPr>
          <w:p w14:paraId="728C41A7" w14:textId="77777777" w:rsidR="00E579B9" w:rsidRDefault="006A1398">
            <w:pPr>
              <w:pStyle w:val="aa"/>
              <w:widowControl w:val="0"/>
              <w:autoSpaceDE w:val="0"/>
              <w:autoSpaceDN w:val="0"/>
              <w:adjustRightInd w:val="0"/>
            </w:pPr>
            <w:r>
              <w:t>类别</w:t>
            </w:r>
          </w:p>
        </w:tc>
        <w:tc>
          <w:tcPr>
            <w:tcW w:w="4517" w:type="dxa"/>
            <w:shd w:val="clear" w:color="auto" w:fill="auto"/>
            <w:vAlign w:val="center"/>
          </w:tcPr>
          <w:p w14:paraId="09BF8BD2" w14:textId="77777777" w:rsidR="00E579B9" w:rsidRDefault="006A1398">
            <w:pPr>
              <w:pStyle w:val="aa"/>
              <w:widowControl w:val="0"/>
              <w:autoSpaceDE w:val="0"/>
              <w:autoSpaceDN w:val="0"/>
              <w:adjustRightInd w:val="0"/>
            </w:pPr>
            <w:r>
              <w:t>相关要求</w:t>
            </w:r>
          </w:p>
        </w:tc>
        <w:tc>
          <w:tcPr>
            <w:tcW w:w="2693" w:type="dxa"/>
            <w:shd w:val="clear" w:color="auto" w:fill="auto"/>
            <w:vAlign w:val="center"/>
          </w:tcPr>
          <w:p w14:paraId="1463BD5A" w14:textId="77777777" w:rsidR="00E579B9" w:rsidRDefault="006A1398">
            <w:pPr>
              <w:pStyle w:val="aa"/>
              <w:widowControl w:val="0"/>
              <w:autoSpaceDE w:val="0"/>
              <w:autoSpaceDN w:val="0"/>
              <w:adjustRightInd w:val="0"/>
            </w:pPr>
            <w:r>
              <w:t>本项目情况</w:t>
            </w:r>
          </w:p>
        </w:tc>
        <w:tc>
          <w:tcPr>
            <w:tcW w:w="818" w:type="dxa"/>
            <w:shd w:val="clear" w:color="auto" w:fill="auto"/>
            <w:vAlign w:val="center"/>
          </w:tcPr>
          <w:p w14:paraId="5163D2CD" w14:textId="77777777" w:rsidR="00E579B9" w:rsidRDefault="006A1398">
            <w:pPr>
              <w:pStyle w:val="aa"/>
              <w:widowControl w:val="0"/>
              <w:autoSpaceDE w:val="0"/>
              <w:autoSpaceDN w:val="0"/>
              <w:adjustRightInd w:val="0"/>
            </w:pPr>
            <w:r>
              <w:t>相符性</w:t>
            </w:r>
          </w:p>
        </w:tc>
      </w:tr>
      <w:tr w:rsidR="00E579B9" w14:paraId="0CF1278E" w14:textId="77777777">
        <w:trPr>
          <w:trHeight w:val="1380"/>
        </w:trPr>
        <w:tc>
          <w:tcPr>
            <w:tcW w:w="443" w:type="dxa"/>
            <w:shd w:val="clear" w:color="auto" w:fill="auto"/>
            <w:vAlign w:val="center"/>
          </w:tcPr>
          <w:p w14:paraId="3B0263B7" w14:textId="77777777" w:rsidR="00E579B9" w:rsidRDefault="006A1398">
            <w:pPr>
              <w:pStyle w:val="aa"/>
              <w:widowControl w:val="0"/>
              <w:autoSpaceDE w:val="0"/>
              <w:autoSpaceDN w:val="0"/>
              <w:adjustRightInd w:val="0"/>
            </w:pPr>
            <w:r>
              <w:t>1</w:t>
            </w:r>
          </w:p>
        </w:tc>
        <w:tc>
          <w:tcPr>
            <w:tcW w:w="596" w:type="dxa"/>
            <w:shd w:val="clear" w:color="auto" w:fill="auto"/>
            <w:vAlign w:val="center"/>
          </w:tcPr>
          <w:p w14:paraId="65B83839" w14:textId="77777777" w:rsidR="00E579B9" w:rsidRDefault="006A1398">
            <w:pPr>
              <w:pStyle w:val="aa"/>
              <w:widowControl w:val="0"/>
              <w:autoSpaceDE w:val="0"/>
              <w:autoSpaceDN w:val="0"/>
              <w:adjustRightInd w:val="0"/>
            </w:pPr>
            <w:r>
              <w:t>规划目标</w:t>
            </w:r>
          </w:p>
        </w:tc>
        <w:tc>
          <w:tcPr>
            <w:tcW w:w="4517" w:type="dxa"/>
            <w:shd w:val="clear" w:color="auto" w:fill="auto"/>
            <w:vAlign w:val="center"/>
          </w:tcPr>
          <w:p w14:paraId="6751CD41" w14:textId="77777777" w:rsidR="00E579B9" w:rsidRDefault="006A1398">
            <w:pPr>
              <w:pStyle w:val="aa"/>
              <w:widowControl w:val="0"/>
              <w:autoSpaceDE w:val="0"/>
              <w:autoSpaceDN w:val="0"/>
              <w:adjustRightInd w:val="0"/>
            </w:pPr>
            <w:r>
              <w:t>到</w:t>
            </w:r>
            <w:r>
              <w:t>2020</w:t>
            </w:r>
            <w:r>
              <w:t>年，非常规能源、战略性新兴产业矿产及传统优势矿产实现找矿新突破，开发利用布局结构得到进一步优化，节约集约和高效利用水平明显提升，绿色矿山建设全面普及，矿山地质环境根本好转，呈现矿产资源勘查开发与环境保护协调发展新局面。</w:t>
            </w:r>
          </w:p>
        </w:tc>
        <w:tc>
          <w:tcPr>
            <w:tcW w:w="2693" w:type="dxa"/>
            <w:shd w:val="clear" w:color="auto" w:fill="auto"/>
            <w:vAlign w:val="center"/>
          </w:tcPr>
          <w:p w14:paraId="483C1BB1" w14:textId="77777777" w:rsidR="00E579B9" w:rsidRDefault="006A1398">
            <w:pPr>
              <w:pStyle w:val="aa"/>
              <w:widowControl w:val="0"/>
              <w:autoSpaceDE w:val="0"/>
              <w:autoSpaceDN w:val="0"/>
              <w:adjustRightInd w:val="0"/>
            </w:pPr>
            <w:r>
              <w:t>本项目</w:t>
            </w:r>
            <w:r>
              <w:rPr>
                <w:rFonts w:hint="eastAsia"/>
              </w:rPr>
              <w:t>在开发建设过程中合理优化开发利用布局，提升设备、工艺的节约、高效利用水平，企业目前正在严格按照绿色矿山建设要求，积极创建绿色矿山。</w:t>
            </w:r>
          </w:p>
        </w:tc>
        <w:tc>
          <w:tcPr>
            <w:tcW w:w="818" w:type="dxa"/>
            <w:shd w:val="clear" w:color="auto" w:fill="auto"/>
            <w:vAlign w:val="center"/>
          </w:tcPr>
          <w:p w14:paraId="44FF306A" w14:textId="77777777" w:rsidR="00E579B9" w:rsidRDefault="006A1398">
            <w:pPr>
              <w:pStyle w:val="aa"/>
              <w:widowControl w:val="0"/>
              <w:autoSpaceDE w:val="0"/>
              <w:autoSpaceDN w:val="0"/>
              <w:adjustRightInd w:val="0"/>
            </w:pPr>
            <w:r>
              <w:t>相符</w:t>
            </w:r>
          </w:p>
        </w:tc>
      </w:tr>
      <w:tr w:rsidR="00E579B9" w14:paraId="1475A30E" w14:textId="77777777">
        <w:trPr>
          <w:trHeight w:val="828"/>
        </w:trPr>
        <w:tc>
          <w:tcPr>
            <w:tcW w:w="443" w:type="dxa"/>
            <w:shd w:val="clear" w:color="auto" w:fill="auto"/>
            <w:vAlign w:val="center"/>
          </w:tcPr>
          <w:p w14:paraId="1A872C49" w14:textId="77777777" w:rsidR="00E579B9" w:rsidRDefault="006A1398">
            <w:pPr>
              <w:pStyle w:val="aa"/>
              <w:widowControl w:val="0"/>
              <w:autoSpaceDE w:val="0"/>
              <w:autoSpaceDN w:val="0"/>
              <w:adjustRightInd w:val="0"/>
            </w:pPr>
            <w:r>
              <w:t>2</w:t>
            </w:r>
          </w:p>
        </w:tc>
        <w:tc>
          <w:tcPr>
            <w:tcW w:w="596" w:type="dxa"/>
            <w:shd w:val="clear" w:color="auto" w:fill="auto"/>
            <w:vAlign w:val="center"/>
          </w:tcPr>
          <w:p w14:paraId="4EBA9AC0" w14:textId="77777777" w:rsidR="00E579B9" w:rsidRDefault="006A1398">
            <w:pPr>
              <w:pStyle w:val="aa"/>
              <w:widowControl w:val="0"/>
              <w:autoSpaceDE w:val="0"/>
              <w:autoSpaceDN w:val="0"/>
              <w:adjustRightInd w:val="0"/>
            </w:pPr>
            <w:r>
              <w:t>重点任务</w:t>
            </w:r>
          </w:p>
        </w:tc>
        <w:tc>
          <w:tcPr>
            <w:tcW w:w="4517" w:type="dxa"/>
            <w:shd w:val="clear" w:color="auto" w:fill="auto"/>
            <w:vAlign w:val="center"/>
          </w:tcPr>
          <w:p w14:paraId="67CF945C" w14:textId="77777777" w:rsidR="00E579B9" w:rsidRDefault="006A1398">
            <w:pPr>
              <w:pStyle w:val="aa"/>
              <w:widowControl w:val="0"/>
              <w:autoSpaceDE w:val="0"/>
              <w:autoSpaceDN w:val="0"/>
              <w:adjustRightInd w:val="0"/>
            </w:pPr>
            <w:r>
              <w:t>以发展理念转变引领全省矿产资源发展方式转变，主动适应矿业发展新趋势，着力提高资源保障能力，着力推进资源利用方式转变，着力推进矿山地质环境根本好转，着力统筹两种资源两个市场，着力维护群众资源权益。</w:t>
            </w:r>
          </w:p>
        </w:tc>
        <w:tc>
          <w:tcPr>
            <w:tcW w:w="2693" w:type="dxa"/>
            <w:shd w:val="clear" w:color="auto" w:fill="auto"/>
            <w:vAlign w:val="center"/>
          </w:tcPr>
          <w:p w14:paraId="217B7ABF" w14:textId="77777777" w:rsidR="00E579B9" w:rsidRDefault="006A1398">
            <w:pPr>
              <w:pStyle w:val="aa"/>
              <w:widowControl w:val="0"/>
              <w:autoSpaceDE w:val="0"/>
              <w:autoSpaceDN w:val="0"/>
              <w:adjustRightInd w:val="0"/>
            </w:pPr>
            <w:r>
              <w:rPr>
                <w:rFonts w:hint="eastAsia"/>
              </w:rPr>
              <w:t>企业主动适应矿业发展新趋势，矿产资源合理利用，固体废物资源综合利用，制定生态恢复措施，着力改善矿山地质环境，着力维护周围群众的资源权益。</w:t>
            </w:r>
          </w:p>
        </w:tc>
        <w:tc>
          <w:tcPr>
            <w:tcW w:w="818" w:type="dxa"/>
            <w:shd w:val="clear" w:color="auto" w:fill="auto"/>
            <w:vAlign w:val="center"/>
          </w:tcPr>
          <w:p w14:paraId="1920A564" w14:textId="77777777" w:rsidR="00E579B9" w:rsidRDefault="006A1398">
            <w:pPr>
              <w:pStyle w:val="aa"/>
              <w:widowControl w:val="0"/>
              <w:autoSpaceDE w:val="0"/>
              <w:autoSpaceDN w:val="0"/>
              <w:adjustRightInd w:val="0"/>
            </w:pPr>
            <w:r>
              <w:t>相符</w:t>
            </w:r>
          </w:p>
        </w:tc>
      </w:tr>
      <w:tr w:rsidR="00E579B9" w14:paraId="60B7F133" w14:textId="77777777">
        <w:trPr>
          <w:trHeight w:val="1995"/>
        </w:trPr>
        <w:tc>
          <w:tcPr>
            <w:tcW w:w="443" w:type="dxa"/>
            <w:shd w:val="clear" w:color="auto" w:fill="auto"/>
            <w:vAlign w:val="center"/>
          </w:tcPr>
          <w:p w14:paraId="7FFD0CA0" w14:textId="77777777" w:rsidR="00E579B9" w:rsidRDefault="006A1398">
            <w:pPr>
              <w:pStyle w:val="aa"/>
              <w:widowControl w:val="0"/>
              <w:autoSpaceDE w:val="0"/>
              <w:autoSpaceDN w:val="0"/>
              <w:adjustRightInd w:val="0"/>
            </w:pPr>
            <w:r>
              <w:t>3</w:t>
            </w:r>
          </w:p>
        </w:tc>
        <w:tc>
          <w:tcPr>
            <w:tcW w:w="596" w:type="dxa"/>
            <w:shd w:val="clear" w:color="auto" w:fill="auto"/>
            <w:vAlign w:val="center"/>
          </w:tcPr>
          <w:p w14:paraId="29DA4D56" w14:textId="77777777" w:rsidR="00E579B9" w:rsidRDefault="006A1398">
            <w:pPr>
              <w:pStyle w:val="aa"/>
              <w:widowControl w:val="0"/>
              <w:autoSpaceDE w:val="0"/>
              <w:autoSpaceDN w:val="0"/>
              <w:adjustRightInd w:val="0"/>
            </w:pPr>
            <w:r>
              <w:t>开发利用方向</w:t>
            </w:r>
          </w:p>
        </w:tc>
        <w:tc>
          <w:tcPr>
            <w:tcW w:w="4517" w:type="dxa"/>
            <w:shd w:val="clear" w:color="auto" w:fill="auto"/>
            <w:vAlign w:val="center"/>
          </w:tcPr>
          <w:p w14:paraId="36D5B5C8" w14:textId="77777777" w:rsidR="00E579B9" w:rsidRDefault="006A1398">
            <w:pPr>
              <w:pStyle w:val="aa"/>
              <w:widowControl w:val="0"/>
              <w:autoSpaceDE w:val="0"/>
              <w:autoSpaceDN w:val="0"/>
              <w:adjustRightInd w:val="0"/>
            </w:pPr>
            <w:r>
              <w:t>从供给侧确定开采矿种划分。鼓励开采煤层气、页岩气、铝土矿、金矿、银矿、</w:t>
            </w:r>
            <w:r>
              <w:t>“</w:t>
            </w:r>
            <w:r>
              <w:t>三稀</w:t>
            </w:r>
            <w:r>
              <w:t>”</w:t>
            </w:r>
            <w:r>
              <w:t>矿产、萤石、岩盐、天然碱、珍珠岩、膨润土、钠长石、钾长石、地热等矿种</w:t>
            </w:r>
            <w:r>
              <w:rPr>
                <w:rFonts w:hint="eastAsia"/>
              </w:rPr>
              <w:t>；</w:t>
            </w:r>
            <w:r>
              <w:t>限制开采高硫高灰煤，不再新建高硫高灰煤矿井，限制开采钼矿、金红石、砂金、砂铁及湿地泥炭；禁止开采石煤、蓝石棉、可耕地砖瓦粘土；保护性开采晶质石墨、独山玉、密玉、虎睛石等矿种。</w:t>
            </w:r>
          </w:p>
        </w:tc>
        <w:tc>
          <w:tcPr>
            <w:tcW w:w="2693" w:type="dxa"/>
            <w:shd w:val="clear" w:color="auto" w:fill="auto"/>
            <w:vAlign w:val="center"/>
          </w:tcPr>
          <w:p w14:paraId="3FAB95D2" w14:textId="77777777" w:rsidR="00E579B9" w:rsidRDefault="006A1398">
            <w:pPr>
              <w:pStyle w:val="aa"/>
              <w:widowControl w:val="0"/>
              <w:autoSpaceDE w:val="0"/>
              <w:autoSpaceDN w:val="0"/>
              <w:adjustRightInd w:val="0"/>
            </w:pPr>
            <w:r>
              <w:t>本项目属于建筑石料用大理岩矿开采项目，不属于规划的鼓励、限制、禁止和保护性开采矿种，</w:t>
            </w:r>
            <w:r>
              <w:rPr>
                <w:rFonts w:hint="eastAsia"/>
              </w:rPr>
              <w:t>即为允许</w:t>
            </w:r>
            <w:r>
              <w:t>开采矿种。</w:t>
            </w:r>
          </w:p>
        </w:tc>
        <w:tc>
          <w:tcPr>
            <w:tcW w:w="818" w:type="dxa"/>
            <w:shd w:val="clear" w:color="auto" w:fill="auto"/>
            <w:vAlign w:val="center"/>
          </w:tcPr>
          <w:p w14:paraId="349F5CCD" w14:textId="77777777" w:rsidR="00E579B9" w:rsidRDefault="006A1398">
            <w:pPr>
              <w:pStyle w:val="aa"/>
              <w:widowControl w:val="0"/>
              <w:autoSpaceDE w:val="0"/>
              <w:autoSpaceDN w:val="0"/>
              <w:adjustRightInd w:val="0"/>
            </w:pPr>
            <w:r>
              <w:t>相符</w:t>
            </w:r>
          </w:p>
        </w:tc>
      </w:tr>
      <w:tr w:rsidR="00E579B9" w14:paraId="58CC8307" w14:textId="77777777">
        <w:trPr>
          <w:trHeight w:val="261"/>
        </w:trPr>
        <w:tc>
          <w:tcPr>
            <w:tcW w:w="443" w:type="dxa"/>
            <w:shd w:val="clear" w:color="auto" w:fill="auto"/>
            <w:vAlign w:val="center"/>
          </w:tcPr>
          <w:p w14:paraId="0BAD0B5F" w14:textId="77777777" w:rsidR="00E579B9" w:rsidRDefault="006A1398">
            <w:pPr>
              <w:pStyle w:val="aa"/>
              <w:widowControl w:val="0"/>
              <w:autoSpaceDE w:val="0"/>
              <w:autoSpaceDN w:val="0"/>
              <w:adjustRightInd w:val="0"/>
            </w:pPr>
            <w:r>
              <w:t>4</w:t>
            </w:r>
          </w:p>
        </w:tc>
        <w:tc>
          <w:tcPr>
            <w:tcW w:w="596" w:type="dxa"/>
            <w:shd w:val="clear" w:color="auto" w:fill="auto"/>
            <w:vAlign w:val="center"/>
          </w:tcPr>
          <w:p w14:paraId="0899E6D3" w14:textId="77777777" w:rsidR="00E579B9" w:rsidRDefault="006A1398">
            <w:pPr>
              <w:pStyle w:val="aa"/>
              <w:widowControl w:val="0"/>
              <w:autoSpaceDE w:val="0"/>
              <w:autoSpaceDN w:val="0"/>
              <w:adjustRightInd w:val="0"/>
            </w:pPr>
            <w:r>
              <w:t>开采规划</w:t>
            </w:r>
            <w:r>
              <w:lastRenderedPageBreak/>
              <w:t>分区</w:t>
            </w:r>
          </w:p>
        </w:tc>
        <w:tc>
          <w:tcPr>
            <w:tcW w:w="4517" w:type="dxa"/>
            <w:shd w:val="clear" w:color="auto" w:fill="auto"/>
            <w:vAlign w:val="center"/>
          </w:tcPr>
          <w:p w14:paraId="1338DFAE" w14:textId="77777777" w:rsidR="00E579B9" w:rsidRDefault="006A1398">
            <w:pPr>
              <w:pStyle w:val="aa"/>
              <w:widowControl w:val="0"/>
              <w:autoSpaceDE w:val="0"/>
              <w:autoSpaceDN w:val="0"/>
              <w:adjustRightInd w:val="0"/>
            </w:pPr>
            <w:r>
              <w:lastRenderedPageBreak/>
              <w:t>为优化矿产开发布局，合理有序开发矿产资源，促进矿产资源开发与生态环境保护友好协调发展，空间上划分出重点矿区、禁止开采区和限制开采区。重点矿区：将我省重要矿种大</w:t>
            </w:r>
            <w:r>
              <w:lastRenderedPageBreak/>
              <w:t>型矿区，以及大中型矿区集中分布区划分为</w:t>
            </w:r>
            <w:r>
              <w:t>13</w:t>
            </w:r>
            <w:r>
              <w:t>处重点矿区，包括陕县</w:t>
            </w:r>
            <w:r>
              <w:t>-</w:t>
            </w:r>
            <w:r>
              <w:t>渑池铝土矿重点矿区等</w:t>
            </w:r>
            <w:r>
              <w:rPr>
                <w:rFonts w:hint="eastAsia"/>
              </w:rPr>
              <w:t>，不包含驻马店市</w:t>
            </w:r>
            <w:r>
              <w:t>。禁止开采区：严格执行矿产资源法、自然保护区条例等法律、法规有关规定，依法划定禁止开采区，并严格管理。非经国务院授权的有关主管部门同意，不得在以下地区开采矿产资源：港口、机场、国防工程建设设施圈定地区以内；重要工业区、大型水利工程设施、城镇市政工程设施附近一定距离以内；铁路、重要公路两侧一定距离以内；重要河流、堤坝两侧一定距离以内；国家划定的自然保护区、重要风景名胜区，国家重点保护的不能移动的历史文物和名胜古迹所在地；国家规定不得开采矿产资源的其他区域。限制开采区：限制开采区划分。包括：国家、省级生态公益林，省级森林公园的集体林范围，国家、省级地质公园内地质遗迹保护区之外的区域；目前开采技术经济条件不成熟的限制开采区</w:t>
            </w:r>
            <w:r>
              <w:t>4</w:t>
            </w:r>
            <w:r>
              <w:t>处，方城县罗庄等金红石矿区、新县杨冲金红石矿区、新县红昱金红石矿区和西峡县八庙金红石矿区；开采可能会对环境产生一定影响的</w:t>
            </w:r>
            <w:r>
              <w:t>2</w:t>
            </w:r>
            <w:r>
              <w:t>处，淅川县下集砂金矿区和嵩县高都川砂金矿区。</w:t>
            </w:r>
          </w:p>
        </w:tc>
        <w:tc>
          <w:tcPr>
            <w:tcW w:w="2693" w:type="dxa"/>
            <w:shd w:val="clear" w:color="auto" w:fill="auto"/>
            <w:vAlign w:val="center"/>
          </w:tcPr>
          <w:p w14:paraId="07E9E471" w14:textId="77777777" w:rsidR="00E579B9" w:rsidRDefault="006A1398">
            <w:pPr>
              <w:pStyle w:val="aa"/>
              <w:widowControl w:val="0"/>
              <w:autoSpaceDE w:val="0"/>
              <w:autoSpaceDN w:val="0"/>
              <w:adjustRightInd w:val="0"/>
            </w:pPr>
            <w:r>
              <w:lastRenderedPageBreak/>
              <w:t>本项目不在矿区港口、机场、国防工程建设设施圈定地区以内；附近无重要工业区、大型水利工程设</w:t>
            </w:r>
            <w:r>
              <w:lastRenderedPageBreak/>
              <w:t>施、城镇市政工程设施；距离铁路、重要公路较远，东侧距</w:t>
            </w:r>
            <w:r>
              <w:rPr>
                <w:rFonts w:hint="eastAsia"/>
              </w:rPr>
              <w:t>S</w:t>
            </w:r>
            <w:r>
              <w:t>220</w:t>
            </w:r>
            <w:r>
              <w:rPr>
                <w:rFonts w:hint="eastAsia"/>
              </w:rPr>
              <w:t>省道直线距离约为</w:t>
            </w:r>
            <w:r>
              <w:rPr>
                <w:rFonts w:hint="eastAsia"/>
              </w:rPr>
              <w:t>1</w:t>
            </w:r>
            <w:r>
              <w:t>.2</w:t>
            </w:r>
            <w:r>
              <w:rPr>
                <w:rFonts w:hint="eastAsia"/>
              </w:rPr>
              <w:t>km</w:t>
            </w:r>
            <w:r>
              <w:t>；矿区不在国家划定的自然保护区、重要风景名胜区，国家重点保护的不能移动的历史文物和名胜古迹所在地内。综上，本项目矿区不属于重点矿区、禁止开采区和限制开采区。</w:t>
            </w:r>
          </w:p>
        </w:tc>
        <w:tc>
          <w:tcPr>
            <w:tcW w:w="818" w:type="dxa"/>
            <w:shd w:val="clear" w:color="auto" w:fill="auto"/>
            <w:vAlign w:val="center"/>
          </w:tcPr>
          <w:p w14:paraId="32ED6871" w14:textId="77777777" w:rsidR="00E579B9" w:rsidRDefault="006A1398">
            <w:pPr>
              <w:pStyle w:val="aa"/>
              <w:widowControl w:val="0"/>
              <w:autoSpaceDE w:val="0"/>
              <w:autoSpaceDN w:val="0"/>
              <w:adjustRightInd w:val="0"/>
            </w:pPr>
            <w:r>
              <w:lastRenderedPageBreak/>
              <w:t>相符</w:t>
            </w:r>
          </w:p>
        </w:tc>
      </w:tr>
      <w:tr w:rsidR="00E579B9" w14:paraId="0041FBD5" w14:textId="77777777">
        <w:trPr>
          <w:trHeight w:val="1511"/>
        </w:trPr>
        <w:tc>
          <w:tcPr>
            <w:tcW w:w="443" w:type="dxa"/>
            <w:vMerge w:val="restart"/>
            <w:shd w:val="clear" w:color="auto" w:fill="auto"/>
            <w:vAlign w:val="center"/>
          </w:tcPr>
          <w:p w14:paraId="38CB846D" w14:textId="77777777" w:rsidR="00E579B9" w:rsidRDefault="006A1398">
            <w:pPr>
              <w:pStyle w:val="aa"/>
              <w:widowControl w:val="0"/>
              <w:autoSpaceDE w:val="0"/>
              <w:autoSpaceDN w:val="0"/>
              <w:adjustRightInd w:val="0"/>
            </w:pPr>
            <w:r>
              <w:t>5</w:t>
            </w:r>
          </w:p>
        </w:tc>
        <w:tc>
          <w:tcPr>
            <w:tcW w:w="596" w:type="dxa"/>
            <w:vMerge w:val="restart"/>
            <w:shd w:val="clear" w:color="auto" w:fill="auto"/>
            <w:vAlign w:val="center"/>
          </w:tcPr>
          <w:p w14:paraId="72A41E1D" w14:textId="77777777" w:rsidR="00E579B9" w:rsidRDefault="006A1398">
            <w:pPr>
              <w:pStyle w:val="aa"/>
              <w:widowControl w:val="0"/>
              <w:autoSpaceDE w:val="0"/>
              <w:autoSpaceDN w:val="0"/>
              <w:adjustRightInd w:val="0"/>
            </w:pPr>
            <w:r>
              <w:t>开发准入管理</w:t>
            </w:r>
          </w:p>
        </w:tc>
        <w:tc>
          <w:tcPr>
            <w:tcW w:w="4517" w:type="dxa"/>
            <w:shd w:val="clear" w:color="auto" w:fill="auto"/>
            <w:vAlign w:val="center"/>
          </w:tcPr>
          <w:p w14:paraId="1D243A8B" w14:textId="77777777" w:rsidR="00E579B9" w:rsidRDefault="006A1398">
            <w:pPr>
              <w:pStyle w:val="aa"/>
              <w:widowControl w:val="0"/>
              <w:autoSpaceDE w:val="0"/>
              <w:autoSpaceDN w:val="0"/>
              <w:adjustRightInd w:val="0"/>
            </w:pPr>
            <w:r>
              <w:t>执行整合矿山最低开采规模要求：鼓励老矿山通过整合，提升规模达到相应矿山最低开采规模要求。针对建筑石料矿开采，新建大型矿山最低开采规模</w:t>
            </w:r>
            <w:r>
              <w:t>100</w:t>
            </w:r>
            <w:r>
              <w:t>万</w:t>
            </w:r>
            <w:r>
              <w:t>t/a</w:t>
            </w:r>
            <w:r>
              <w:t>。</w:t>
            </w:r>
          </w:p>
        </w:tc>
        <w:tc>
          <w:tcPr>
            <w:tcW w:w="2693" w:type="dxa"/>
            <w:vMerge w:val="restart"/>
            <w:shd w:val="clear" w:color="auto" w:fill="auto"/>
            <w:vAlign w:val="center"/>
          </w:tcPr>
          <w:p w14:paraId="11E6B1A7" w14:textId="6BF2F451" w:rsidR="00E579B9" w:rsidRDefault="006A1398">
            <w:pPr>
              <w:pStyle w:val="aa"/>
              <w:widowControl w:val="0"/>
              <w:autoSpaceDE w:val="0"/>
              <w:autoSpaceDN w:val="0"/>
              <w:adjustRightInd w:val="0"/>
            </w:pPr>
            <w:r w:rsidRPr="001737C7">
              <w:rPr>
                <w:color w:val="FF0000"/>
              </w:rPr>
              <w:t>本项目</w:t>
            </w:r>
            <w:r w:rsidR="001737C7" w:rsidRPr="001737C7">
              <w:rPr>
                <w:rFonts w:hint="eastAsia"/>
                <w:color w:val="FF0000"/>
              </w:rPr>
              <w:t>不</w:t>
            </w:r>
            <w:r w:rsidRPr="001737C7">
              <w:rPr>
                <w:color w:val="FF0000"/>
              </w:rPr>
              <w:t>属于</w:t>
            </w:r>
            <w:r w:rsidRPr="001737C7">
              <w:rPr>
                <w:rFonts w:hint="eastAsia"/>
                <w:color w:val="FF0000"/>
              </w:rPr>
              <w:t>新建</w:t>
            </w:r>
            <w:r w:rsidRPr="001737C7">
              <w:rPr>
                <w:color w:val="FF0000"/>
              </w:rPr>
              <w:t>大型矿山，</w:t>
            </w:r>
            <w:r w:rsidR="001737C7" w:rsidRPr="001737C7">
              <w:rPr>
                <w:rFonts w:hint="eastAsia"/>
                <w:color w:val="FF0000"/>
              </w:rPr>
              <w:t>属于资源整合项目，</w:t>
            </w:r>
            <w:r>
              <w:t>设计开采规模为</w:t>
            </w:r>
            <w:r>
              <w:t>230</w:t>
            </w:r>
            <w:r>
              <w:t>万</w:t>
            </w:r>
            <w:r>
              <w:t>t/a</w:t>
            </w:r>
            <w:r>
              <w:t>，大于</w:t>
            </w:r>
            <w:r>
              <w:t>100</w:t>
            </w:r>
            <w:r>
              <w:t>万</w:t>
            </w:r>
            <w:r>
              <w:t>t/a</w:t>
            </w:r>
            <w:r>
              <w:rPr>
                <w:rFonts w:hint="eastAsia"/>
              </w:rPr>
              <w:t>，</w:t>
            </w:r>
            <w:r>
              <w:t>不在</w:t>
            </w:r>
            <w:r>
              <w:rPr>
                <w:rFonts w:hint="eastAsia"/>
              </w:rPr>
              <w:t>“三区两线”及特定生态保护区域，采用绿色开采方式，集中连片规模化开采、不留死角整体开发。</w:t>
            </w:r>
          </w:p>
        </w:tc>
        <w:tc>
          <w:tcPr>
            <w:tcW w:w="818" w:type="dxa"/>
            <w:vMerge w:val="restart"/>
            <w:shd w:val="clear" w:color="auto" w:fill="auto"/>
            <w:vAlign w:val="center"/>
          </w:tcPr>
          <w:p w14:paraId="5A3A0E43" w14:textId="77777777" w:rsidR="00E579B9" w:rsidRDefault="006A1398">
            <w:pPr>
              <w:pStyle w:val="aa"/>
              <w:widowControl w:val="0"/>
              <w:autoSpaceDE w:val="0"/>
              <w:autoSpaceDN w:val="0"/>
              <w:adjustRightInd w:val="0"/>
            </w:pPr>
            <w:r>
              <w:t>相符</w:t>
            </w:r>
          </w:p>
        </w:tc>
      </w:tr>
      <w:tr w:rsidR="00E579B9" w14:paraId="7FC0D144" w14:textId="77777777">
        <w:trPr>
          <w:trHeight w:val="1511"/>
        </w:trPr>
        <w:tc>
          <w:tcPr>
            <w:tcW w:w="443" w:type="dxa"/>
            <w:vMerge/>
            <w:shd w:val="clear" w:color="auto" w:fill="auto"/>
            <w:vAlign w:val="center"/>
          </w:tcPr>
          <w:p w14:paraId="7E66C589" w14:textId="77777777" w:rsidR="00E579B9" w:rsidRDefault="00E579B9">
            <w:pPr>
              <w:pStyle w:val="aa"/>
              <w:widowControl w:val="0"/>
              <w:autoSpaceDE w:val="0"/>
              <w:autoSpaceDN w:val="0"/>
              <w:adjustRightInd w:val="0"/>
            </w:pPr>
          </w:p>
        </w:tc>
        <w:tc>
          <w:tcPr>
            <w:tcW w:w="596" w:type="dxa"/>
            <w:vMerge/>
            <w:shd w:val="clear" w:color="auto" w:fill="auto"/>
            <w:vAlign w:val="center"/>
          </w:tcPr>
          <w:p w14:paraId="47B50A96" w14:textId="77777777" w:rsidR="00E579B9" w:rsidRDefault="00E579B9">
            <w:pPr>
              <w:pStyle w:val="aa"/>
              <w:widowControl w:val="0"/>
              <w:autoSpaceDE w:val="0"/>
              <w:autoSpaceDN w:val="0"/>
              <w:adjustRightInd w:val="0"/>
            </w:pPr>
          </w:p>
        </w:tc>
        <w:tc>
          <w:tcPr>
            <w:tcW w:w="4517" w:type="dxa"/>
            <w:shd w:val="clear" w:color="auto" w:fill="auto"/>
            <w:vAlign w:val="center"/>
          </w:tcPr>
          <w:p w14:paraId="0764016D" w14:textId="77777777" w:rsidR="00E579B9" w:rsidRDefault="006A1398">
            <w:pPr>
              <w:pStyle w:val="aa"/>
              <w:widowControl w:val="0"/>
              <w:autoSpaceDE w:val="0"/>
              <w:autoSpaceDN w:val="0"/>
              <w:adjustRightInd w:val="0"/>
            </w:pPr>
            <w:r>
              <w:rPr>
                <w:rFonts w:hint="eastAsia"/>
                <w:color w:val="FF0000"/>
              </w:rPr>
              <w:t>严格控制新建露天开采矿山。</w:t>
            </w:r>
            <w:r>
              <w:rPr>
                <w:rFonts w:hint="eastAsia"/>
              </w:rPr>
              <w:t>相邻露天矿山采矿许可证边界之间最小安全距离不小于</w:t>
            </w:r>
            <w:r>
              <w:rPr>
                <w:rFonts w:hint="eastAsia"/>
              </w:rPr>
              <w:t>300</w:t>
            </w:r>
            <w:r>
              <w:rPr>
                <w:rFonts w:hint="eastAsia"/>
              </w:rPr>
              <w:t>米。“三区两线”及特定生态保护区域严禁新建露天开采矿山，</w:t>
            </w:r>
            <w:r>
              <w:rPr>
                <w:rFonts w:hint="eastAsia"/>
                <w:color w:val="FF0000"/>
              </w:rPr>
              <w:t>其他区域严格控制新建露天开采矿山数量，严格采矿权准入管理，</w:t>
            </w:r>
            <w:r>
              <w:rPr>
                <w:rFonts w:hint="eastAsia"/>
              </w:rPr>
              <w:t>必须采用绿色开采方式，集中连片规模化开采、不留死角整体开发。</w:t>
            </w:r>
          </w:p>
        </w:tc>
        <w:tc>
          <w:tcPr>
            <w:tcW w:w="2693" w:type="dxa"/>
            <w:vMerge/>
            <w:shd w:val="clear" w:color="auto" w:fill="auto"/>
            <w:vAlign w:val="center"/>
          </w:tcPr>
          <w:p w14:paraId="2297596A" w14:textId="77777777" w:rsidR="00E579B9" w:rsidRDefault="00E579B9">
            <w:pPr>
              <w:pStyle w:val="aa"/>
              <w:widowControl w:val="0"/>
              <w:autoSpaceDE w:val="0"/>
              <w:autoSpaceDN w:val="0"/>
              <w:adjustRightInd w:val="0"/>
            </w:pPr>
          </w:p>
        </w:tc>
        <w:tc>
          <w:tcPr>
            <w:tcW w:w="818" w:type="dxa"/>
            <w:vMerge/>
            <w:shd w:val="clear" w:color="auto" w:fill="auto"/>
            <w:vAlign w:val="center"/>
          </w:tcPr>
          <w:p w14:paraId="234DEE6F" w14:textId="77777777" w:rsidR="00E579B9" w:rsidRDefault="00E579B9">
            <w:pPr>
              <w:pStyle w:val="aa"/>
              <w:widowControl w:val="0"/>
              <w:autoSpaceDE w:val="0"/>
              <w:autoSpaceDN w:val="0"/>
              <w:adjustRightInd w:val="0"/>
            </w:pPr>
          </w:p>
        </w:tc>
      </w:tr>
    </w:tbl>
    <w:p w14:paraId="23291FB5" w14:textId="77777777" w:rsidR="00E579B9" w:rsidRDefault="006A1398">
      <w:pPr>
        <w:rPr>
          <w:szCs w:val="24"/>
        </w:rPr>
      </w:pPr>
      <w:r>
        <w:rPr>
          <w:szCs w:val="24"/>
        </w:rPr>
        <w:lastRenderedPageBreak/>
        <w:t>经分析比较，评价认为本项目建设符合</w:t>
      </w:r>
      <w:r>
        <w:t>《河南省矿产资源总体规划》（</w:t>
      </w:r>
      <w:r>
        <w:t>2016-2020</w:t>
      </w:r>
      <w:r>
        <w:rPr>
          <w:rFonts w:hint="eastAsia"/>
        </w:rPr>
        <w:t>年</w:t>
      </w:r>
      <w:r>
        <w:t>）</w:t>
      </w:r>
      <w:r>
        <w:rPr>
          <w:rFonts w:hint="eastAsia"/>
        </w:rPr>
        <w:t>相关</w:t>
      </w:r>
      <w:r>
        <w:rPr>
          <w:szCs w:val="24"/>
        </w:rPr>
        <w:t>要求</w:t>
      </w:r>
      <w:r>
        <w:rPr>
          <w:rFonts w:hint="eastAsia"/>
          <w:szCs w:val="24"/>
        </w:rPr>
        <w:t>。</w:t>
      </w:r>
    </w:p>
    <w:p w14:paraId="7BB21BEC" w14:textId="77777777" w:rsidR="00E579B9" w:rsidRDefault="006A1398">
      <w:pPr>
        <w:pStyle w:val="3"/>
        <w:ind w:firstLine="560"/>
        <w:rPr>
          <w:snapToGrid w:val="0"/>
        </w:rPr>
      </w:pPr>
      <w:r>
        <w:rPr>
          <w:snapToGrid w:val="0"/>
        </w:rPr>
        <w:t>10.2.4</w:t>
      </w:r>
      <w:r>
        <w:rPr>
          <w:snapToGrid w:val="0"/>
        </w:rPr>
        <w:t>本项目与《河南省矿产资源总体规划（</w:t>
      </w:r>
      <w:r>
        <w:rPr>
          <w:snapToGrid w:val="0"/>
        </w:rPr>
        <w:t>2016-2020</w:t>
      </w:r>
      <w:r>
        <w:rPr>
          <w:snapToGrid w:val="0"/>
        </w:rPr>
        <w:t>年）环境影响报告书</w:t>
      </w:r>
      <w:r>
        <w:rPr>
          <w:rFonts w:hint="eastAsia"/>
          <w:snapToGrid w:val="0"/>
        </w:rPr>
        <w:t>（报批版）</w:t>
      </w:r>
      <w:r>
        <w:rPr>
          <w:snapToGrid w:val="0"/>
        </w:rPr>
        <w:t>》相符性分析</w:t>
      </w:r>
    </w:p>
    <w:p w14:paraId="7AE61D46" w14:textId="77777777" w:rsidR="00E579B9" w:rsidRDefault="006A1398">
      <w:pPr>
        <w:pStyle w:val="21"/>
        <w:ind w:leftChars="0" w:left="0" w:firstLineChars="0" w:firstLine="0"/>
        <w:rPr>
          <w:rFonts w:eastAsia="楷体"/>
          <w:snapToGrid w:val="0"/>
          <w:sz w:val="28"/>
        </w:rPr>
      </w:pPr>
      <w:r>
        <w:rPr>
          <w:rFonts w:hint="eastAsia"/>
        </w:rPr>
        <w:t>表</w:t>
      </w:r>
      <w:r>
        <w:t>10.2-2</w:t>
      </w:r>
      <w:r>
        <w:t>《河南省矿产资源总体规划（</w:t>
      </w:r>
      <w:r>
        <w:t>2016-2020</w:t>
      </w:r>
      <w:r>
        <w:t>年）环境影响报告书》相符</w:t>
      </w:r>
      <w:r>
        <w:rPr>
          <w:rFonts w:hint="eastAsia"/>
        </w:rPr>
        <w:t>性</w:t>
      </w:r>
    </w:p>
    <w:tbl>
      <w:tblPr>
        <w:tblW w:w="9351" w:type="dxa"/>
        <w:jc w:val="center"/>
        <w:tblLayout w:type="fixed"/>
        <w:tblCellMar>
          <w:top w:w="57" w:type="dxa"/>
          <w:bottom w:w="57" w:type="dxa"/>
        </w:tblCellMar>
        <w:tblLook w:val="04A0" w:firstRow="1" w:lastRow="0" w:firstColumn="1" w:lastColumn="0" w:noHBand="0" w:noVBand="1"/>
      </w:tblPr>
      <w:tblGrid>
        <w:gridCol w:w="942"/>
        <w:gridCol w:w="795"/>
        <w:gridCol w:w="3518"/>
        <w:gridCol w:w="3039"/>
        <w:gridCol w:w="1057"/>
      </w:tblGrid>
      <w:tr w:rsidR="00E579B9" w14:paraId="4189BC5D" w14:textId="77777777">
        <w:trPr>
          <w:trHeight w:val="285"/>
          <w:jc w:val="center"/>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68FE0009" w14:textId="77777777" w:rsidR="00E579B9" w:rsidRDefault="006A1398">
            <w:pPr>
              <w:pStyle w:val="aa"/>
            </w:pPr>
            <w:r>
              <w:t>序号</w:t>
            </w:r>
          </w:p>
        </w:tc>
        <w:tc>
          <w:tcPr>
            <w:tcW w:w="795" w:type="dxa"/>
            <w:tcBorders>
              <w:top w:val="single" w:sz="4" w:space="0" w:color="auto"/>
              <w:left w:val="nil"/>
              <w:bottom w:val="single" w:sz="4" w:space="0" w:color="auto"/>
              <w:right w:val="single" w:sz="4" w:space="0" w:color="auto"/>
            </w:tcBorders>
            <w:shd w:val="clear" w:color="auto" w:fill="auto"/>
            <w:vAlign w:val="center"/>
          </w:tcPr>
          <w:p w14:paraId="735451FA" w14:textId="77777777" w:rsidR="00E579B9" w:rsidRDefault="006A1398">
            <w:pPr>
              <w:pStyle w:val="aa"/>
            </w:pPr>
            <w:r>
              <w:t>类别</w:t>
            </w:r>
          </w:p>
        </w:tc>
        <w:tc>
          <w:tcPr>
            <w:tcW w:w="3518" w:type="dxa"/>
            <w:tcBorders>
              <w:top w:val="single" w:sz="4" w:space="0" w:color="auto"/>
              <w:left w:val="nil"/>
              <w:bottom w:val="single" w:sz="4" w:space="0" w:color="auto"/>
              <w:right w:val="single" w:sz="4" w:space="0" w:color="auto"/>
            </w:tcBorders>
            <w:shd w:val="clear" w:color="auto" w:fill="auto"/>
            <w:vAlign w:val="center"/>
          </w:tcPr>
          <w:p w14:paraId="04D9D591" w14:textId="77777777" w:rsidR="00E579B9" w:rsidRDefault="006A1398">
            <w:pPr>
              <w:pStyle w:val="aa"/>
            </w:pPr>
            <w:r>
              <w:t>规划环评减缓措施</w:t>
            </w:r>
          </w:p>
        </w:tc>
        <w:tc>
          <w:tcPr>
            <w:tcW w:w="3039" w:type="dxa"/>
            <w:tcBorders>
              <w:top w:val="single" w:sz="4" w:space="0" w:color="auto"/>
              <w:left w:val="nil"/>
              <w:bottom w:val="single" w:sz="4" w:space="0" w:color="auto"/>
              <w:right w:val="single" w:sz="4" w:space="0" w:color="auto"/>
            </w:tcBorders>
            <w:shd w:val="clear" w:color="auto" w:fill="auto"/>
            <w:vAlign w:val="center"/>
          </w:tcPr>
          <w:p w14:paraId="33E2C4F6" w14:textId="77777777" w:rsidR="00E579B9" w:rsidRDefault="006A1398">
            <w:pPr>
              <w:pStyle w:val="aa"/>
            </w:pPr>
            <w:r>
              <w:t>本项目情况</w:t>
            </w:r>
          </w:p>
        </w:tc>
        <w:tc>
          <w:tcPr>
            <w:tcW w:w="1057" w:type="dxa"/>
            <w:tcBorders>
              <w:top w:val="single" w:sz="4" w:space="0" w:color="auto"/>
              <w:left w:val="nil"/>
              <w:bottom w:val="single" w:sz="4" w:space="0" w:color="auto"/>
              <w:right w:val="single" w:sz="4" w:space="0" w:color="auto"/>
            </w:tcBorders>
            <w:shd w:val="clear" w:color="auto" w:fill="auto"/>
            <w:vAlign w:val="center"/>
          </w:tcPr>
          <w:p w14:paraId="1DAAEE6E" w14:textId="77777777" w:rsidR="00E579B9" w:rsidRDefault="006A1398">
            <w:pPr>
              <w:pStyle w:val="aa"/>
            </w:pPr>
            <w:r>
              <w:t>相符性</w:t>
            </w:r>
          </w:p>
        </w:tc>
      </w:tr>
      <w:tr w:rsidR="00E579B9" w14:paraId="3AACDF73" w14:textId="77777777">
        <w:trPr>
          <w:trHeight w:val="642"/>
          <w:jc w:val="center"/>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C0C23C9" w14:textId="77777777" w:rsidR="00E579B9" w:rsidRDefault="006A1398">
            <w:pPr>
              <w:pStyle w:val="aa"/>
            </w:pPr>
            <w:r>
              <w:t>1</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C5B45A" w14:textId="77777777" w:rsidR="00E579B9" w:rsidRDefault="006A1398">
            <w:pPr>
              <w:pStyle w:val="aa"/>
            </w:pPr>
            <w:r>
              <w:t>绿色矿山建设和综合管理措施</w:t>
            </w:r>
          </w:p>
        </w:tc>
        <w:tc>
          <w:tcPr>
            <w:tcW w:w="3518" w:type="dxa"/>
            <w:tcBorders>
              <w:top w:val="single" w:sz="4" w:space="0" w:color="auto"/>
              <w:left w:val="nil"/>
              <w:bottom w:val="single" w:sz="4" w:space="0" w:color="auto"/>
              <w:right w:val="single" w:sz="4" w:space="0" w:color="auto"/>
            </w:tcBorders>
            <w:shd w:val="clear" w:color="auto" w:fill="auto"/>
            <w:vAlign w:val="center"/>
          </w:tcPr>
          <w:p w14:paraId="33A4D4D6" w14:textId="77777777" w:rsidR="00E579B9" w:rsidRDefault="006A1398">
            <w:pPr>
              <w:pStyle w:val="aa"/>
            </w:pPr>
            <w:r>
              <w:t>加强绿色开采技术。对于露天矿山采矿进行限时关闭，严格执行矿产资源合理开发利用最低</w:t>
            </w:r>
            <w:r>
              <w:t>“</w:t>
            </w:r>
            <w:r>
              <w:t>三率</w:t>
            </w:r>
            <w:r>
              <w:t>”</w:t>
            </w:r>
            <w:r>
              <w:t>指标要求；着力推广绿色采选方式，对现存的</w:t>
            </w:r>
            <w:r>
              <w:t>“</w:t>
            </w:r>
            <w:r>
              <w:t>高边坡一面墙推进</w:t>
            </w:r>
            <w:r>
              <w:t>"</w:t>
            </w:r>
            <w:r>
              <w:t>采矿方式限期完成整改，推广干式堆存的尾矿库技术，加强废石、尾矿的再开发再利用；绿色开采技术推广使用废石、煤矸石充填开采和减沉开采等绿色开采技术、煤炭就地洗选加工技术、煤炭分级分质梯级利用技术、煤层气地面抽采技术、塌陷充填矿山生态恢复技术、探索铝土矿井下开采技术和煤铝兼采技术等。</w:t>
            </w:r>
          </w:p>
        </w:tc>
        <w:tc>
          <w:tcPr>
            <w:tcW w:w="3039" w:type="dxa"/>
            <w:tcBorders>
              <w:top w:val="single" w:sz="4" w:space="0" w:color="auto"/>
              <w:left w:val="nil"/>
              <w:bottom w:val="single" w:sz="4" w:space="0" w:color="auto"/>
              <w:right w:val="single" w:sz="4" w:space="0" w:color="auto"/>
            </w:tcBorders>
            <w:shd w:val="clear" w:color="auto" w:fill="auto"/>
            <w:vAlign w:val="center"/>
          </w:tcPr>
          <w:p w14:paraId="5585DE0C" w14:textId="77777777" w:rsidR="00E579B9" w:rsidRDefault="006A1398">
            <w:pPr>
              <w:pStyle w:val="aa"/>
            </w:pPr>
            <w:r>
              <w:t>本项目为建筑石料用大理岩矿开采</w:t>
            </w:r>
            <w:r>
              <w:rPr>
                <w:rFonts w:hint="eastAsia"/>
              </w:rPr>
              <w:t>建设</w:t>
            </w:r>
            <w:r>
              <w:t>项目，矿山采用露天开采，回采率</w:t>
            </w:r>
            <w:r>
              <w:t>95%</w:t>
            </w:r>
            <w:r>
              <w:t>（满足</w:t>
            </w:r>
            <w:r>
              <w:t>90%</w:t>
            </w:r>
            <w:r>
              <w:t>的最低要求），</w:t>
            </w:r>
            <w:r>
              <w:rPr>
                <w:rFonts w:hint="eastAsia"/>
              </w:rPr>
              <w:t>表土、</w:t>
            </w:r>
            <w:r>
              <w:t>废石等固废综合利用率</w:t>
            </w:r>
            <w:r>
              <w:t>100%</w:t>
            </w:r>
            <w:r>
              <w:t>（满足</w:t>
            </w:r>
            <w:r>
              <w:t>60%</w:t>
            </w:r>
            <w:r>
              <w:t>的最低要求）</w:t>
            </w:r>
            <w:r>
              <w:rPr>
                <w:rFonts w:hint="eastAsia"/>
              </w:rPr>
              <w:t>，满足矿产资源合理开发利用最低“三率”指标要求</w:t>
            </w:r>
            <w:r>
              <w:t>。</w:t>
            </w:r>
            <w:r>
              <w:rPr>
                <w:rFonts w:hint="eastAsia"/>
              </w:rPr>
              <w:t>本项目无尾矿库，但固体废物均能得到综合利用</w:t>
            </w:r>
            <w:r>
              <w:t>。本项目矿山开采采用自上而下台阶式</w:t>
            </w:r>
            <w:r>
              <w:rPr>
                <w:rFonts w:hint="eastAsia"/>
              </w:rPr>
              <w:t>、</w:t>
            </w:r>
            <w:r>
              <w:t>深孔多排空微差挤压爆破</w:t>
            </w:r>
            <w:r>
              <w:rPr>
                <w:rFonts w:hint="eastAsia"/>
              </w:rPr>
              <w:t>、湿式穿孔等先进绿色的开采技术方式，采用充填平整压实矿山生态恢复技术。</w:t>
            </w:r>
          </w:p>
        </w:tc>
        <w:tc>
          <w:tcPr>
            <w:tcW w:w="1057" w:type="dxa"/>
            <w:tcBorders>
              <w:top w:val="single" w:sz="4" w:space="0" w:color="auto"/>
              <w:left w:val="nil"/>
              <w:bottom w:val="single" w:sz="4" w:space="0" w:color="auto"/>
              <w:right w:val="single" w:sz="4" w:space="0" w:color="auto"/>
            </w:tcBorders>
            <w:shd w:val="clear" w:color="auto" w:fill="auto"/>
            <w:vAlign w:val="center"/>
          </w:tcPr>
          <w:p w14:paraId="0BA45711" w14:textId="77777777" w:rsidR="00E579B9" w:rsidRDefault="006A1398">
            <w:pPr>
              <w:pStyle w:val="aa"/>
            </w:pPr>
            <w:r>
              <w:t>相符</w:t>
            </w:r>
          </w:p>
        </w:tc>
      </w:tr>
      <w:tr w:rsidR="00E579B9" w14:paraId="4A4F1C70" w14:textId="77777777">
        <w:trPr>
          <w:trHeight w:val="520"/>
          <w:jc w:val="center"/>
        </w:trPr>
        <w:tc>
          <w:tcPr>
            <w:tcW w:w="942" w:type="dxa"/>
            <w:tcBorders>
              <w:top w:val="nil"/>
              <w:left w:val="single" w:sz="4" w:space="0" w:color="auto"/>
              <w:bottom w:val="single" w:sz="4" w:space="0" w:color="auto"/>
              <w:right w:val="single" w:sz="4" w:space="0" w:color="auto"/>
            </w:tcBorders>
            <w:shd w:val="clear" w:color="auto" w:fill="auto"/>
            <w:vAlign w:val="center"/>
          </w:tcPr>
          <w:p w14:paraId="15050211" w14:textId="77777777" w:rsidR="00E579B9" w:rsidRDefault="006A1398">
            <w:pPr>
              <w:pStyle w:val="aa"/>
            </w:pPr>
            <w:r>
              <w:t>2</w:t>
            </w:r>
          </w:p>
        </w:tc>
        <w:tc>
          <w:tcPr>
            <w:tcW w:w="795" w:type="dxa"/>
            <w:vMerge/>
            <w:tcBorders>
              <w:top w:val="nil"/>
              <w:left w:val="single" w:sz="4" w:space="0" w:color="auto"/>
              <w:bottom w:val="single" w:sz="4" w:space="0" w:color="auto"/>
              <w:right w:val="single" w:sz="4" w:space="0" w:color="auto"/>
            </w:tcBorders>
            <w:vAlign w:val="center"/>
          </w:tcPr>
          <w:p w14:paraId="7C2CFDFE" w14:textId="77777777" w:rsidR="00E579B9" w:rsidRDefault="00E579B9">
            <w:pPr>
              <w:pStyle w:val="aa"/>
            </w:pPr>
          </w:p>
        </w:tc>
        <w:tc>
          <w:tcPr>
            <w:tcW w:w="3518" w:type="dxa"/>
            <w:tcBorders>
              <w:top w:val="nil"/>
              <w:left w:val="nil"/>
              <w:bottom w:val="single" w:sz="4" w:space="0" w:color="auto"/>
              <w:right w:val="single" w:sz="4" w:space="0" w:color="auto"/>
            </w:tcBorders>
            <w:shd w:val="clear" w:color="auto" w:fill="auto"/>
            <w:vAlign w:val="center"/>
          </w:tcPr>
          <w:p w14:paraId="651905D6" w14:textId="77777777" w:rsidR="00E579B9" w:rsidRDefault="006A1398">
            <w:pPr>
              <w:pStyle w:val="aa"/>
            </w:pPr>
            <w:r>
              <w:t>加快矿山地质环境调查和监测机制建设，矿山地质环境恢复治理，加快历史遗留矿山地质环境问题治理。实施平顶山市、焦作市、永城市等城镇周边矿山地质环境治理工程，焦桐高速、连霍高速等重要交通线两侧矿山地质环境治理工程，襄城县紫云山、方城县七峰山等风景区周边矿山地质环境治理工程。突出</w:t>
            </w:r>
            <w:r>
              <w:t>“</w:t>
            </w:r>
            <w:r>
              <w:t>三区两线</w:t>
            </w:r>
            <w:r>
              <w:t>”</w:t>
            </w:r>
            <w:r>
              <w:t>矿山地质环境恢复治理，重点实施城镇周边、重要交通沿线与水利工程周边、重要风景区周边历史遗留矿山地质环境问题</w:t>
            </w:r>
            <w:r>
              <w:lastRenderedPageBreak/>
              <w:t>恢复治理。</w:t>
            </w:r>
            <w:r>
              <w:t>“</w:t>
            </w:r>
            <w:r>
              <w:t>三区两线</w:t>
            </w:r>
            <w:r>
              <w:t>”</w:t>
            </w:r>
            <w:r>
              <w:t>历史遗留矿山地质环境治理恢复率达到</w:t>
            </w:r>
            <w:r>
              <w:t>70%</w:t>
            </w:r>
            <w:r>
              <w:t>。</w:t>
            </w:r>
          </w:p>
        </w:tc>
        <w:tc>
          <w:tcPr>
            <w:tcW w:w="3039" w:type="dxa"/>
            <w:tcBorders>
              <w:top w:val="nil"/>
              <w:left w:val="nil"/>
              <w:bottom w:val="single" w:sz="4" w:space="0" w:color="auto"/>
              <w:right w:val="single" w:sz="4" w:space="0" w:color="auto"/>
            </w:tcBorders>
            <w:shd w:val="clear" w:color="auto" w:fill="auto"/>
            <w:vAlign w:val="center"/>
          </w:tcPr>
          <w:p w14:paraId="0C01D9A8" w14:textId="77777777" w:rsidR="00E579B9" w:rsidRDefault="006A1398">
            <w:pPr>
              <w:pStyle w:val="aa"/>
            </w:pPr>
            <w:r>
              <w:lastRenderedPageBreak/>
              <w:t>本项目位于驻马店市驿城区沙河店镇赵尧村附近，不在规划中的地质环境治理工程范围内。建设单位严格按照绿色矿山要求依法依规进行开采，确保不会产生新的矿山地质环境问题。本项目不在</w:t>
            </w:r>
            <w:r>
              <w:t>“</w:t>
            </w:r>
            <w:r>
              <w:t>三区两线范围内。</w:t>
            </w:r>
          </w:p>
        </w:tc>
        <w:tc>
          <w:tcPr>
            <w:tcW w:w="1057" w:type="dxa"/>
            <w:tcBorders>
              <w:top w:val="nil"/>
              <w:left w:val="nil"/>
              <w:bottom w:val="single" w:sz="4" w:space="0" w:color="auto"/>
              <w:right w:val="single" w:sz="4" w:space="0" w:color="auto"/>
            </w:tcBorders>
            <w:shd w:val="clear" w:color="auto" w:fill="auto"/>
            <w:vAlign w:val="center"/>
          </w:tcPr>
          <w:p w14:paraId="3E07BF9F" w14:textId="77777777" w:rsidR="00E579B9" w:rsidRDefault="006A1398">
            <w:pPr>
              <w:pStyle w:val="aa"/>
            </w:pPr>
            <w:r>
              <w:t>相符</w:t>
            </w:r>
          </w:p>
        </w:tc>
      </w:tr>
      <w:tr w:rsidR="00E579B9" w14:paraId="7B96EBA4" w14:textId="77777777">
        <w:trPr>
          <w:trHeight w:val="652"/>
          <w:jc w:val="center"/>
        </w:trPr>
        <w:tc>
          <w:tcPr>
            <w:tcW w:w="942" w:type="dxa"/>
            <w:vMerge w:val="restart"/>
            <w:tcBorders>
              <w:top w:val="nil"/>
              <w:left w:val="single" w:sz="4" w:space="0" w:color="auto"/>
              <w:bottom w:val="single" w:sz="4" w:space="0" w:color="auto"/>
              <w:right w:val="single" w:sz="4" w:space="0" w:color="auto"/>
            </w:tcBorders>
            <w:shd w:val="clear" w:color="auto" w:fill="auto"/>
            <w:vAlign w:val="center"/>
          </w:tcPr>
          <w:p w14:paraId="5802E12F" w14:textId="77777777" w:rsidR="00E579B9" w:rsidRDefault="006A1398">
            <w:pPr>
              <w:pStyle w:val="aa"/>
            </w:pPr>
            <w:r>
              <w:t>3</w:t>
            </w:r>
          </w:p>
        </w:tc>
        <w:tc>
          <w:tcPr>
            <w:tcW w:w="795" w:type="dxa"/>
            <w:vMerge w:val="restart"/>
            <w:tcBorders>
              <w:top w:val="nil"/>
              <w:left w:val="single" w:sz="4" w:space="0" w:color="auto"/>
              <w:bottom w:val="single" w:sz="4" w:space="0" w:color="auto"/>
              <w:right w:val="single" w:sz="4" w:space="0" w:color="auto"/>
            </w:tcBorders>
            <w:shd w:val="clear" w:color="auto" w:fill="auto"/>
            <w:vAlign w:val="center"/>
          </w:tcPr>
          <w:p w14:paraId="0185A284" w14:textId="77777777" w:rsidR="00E579B9" w:rsidRDefault="006A1398">
            <w:pPr>
              <w:pStyle w:val="aa"/>
            </w:pPr>
            <w:r>
              <w:t>水土保持和土地资源保护措施</w:t>
            </w:r>
          </w:p>
        </w:tc>
        <w:tc>
          <w:tcPr>
            <w:tcW w:w="3518" w:type="dxa"/>
            <w:tcBorders>
              <w:top w:val="nil"/>
              <w:left w:val="nil"/>
              <w:bottom w:val="single" w:sz="4" w:space="0" w:color="auto"/>
              <w:right w:val="single" w:sz="4" w:space="0" w:color="auto"/>
            </w:tcBorders>
            <w:shd w:val="clear" w:color="auto" w:fill="auto"/>
            <w:vAlign w:val="center"/>
          </w:tcPr>
          <w:p w14:paraId="7EB85EA4" w14:textId="77777777" w:rsidR="00E579B9" w:rsidRDefault="006A1398">
            <w:pPr>
              <w:pStyle w:val="aa"/>
            </w:pPr>
            <w:r>
              <w:t>坡面排水措施：对于影响矿山安全的坡面，根据坡长分段设截流沟、排洪渠等工程，并配以防护林草带，增加植被覆盖，减少坡面径流对地表的冲刷，保证矿业安全生产安全运行。边坡防护措施：矿山开采形成的各类边坡，除尽可能采取措施恢复植被外，根据边坡稳定程度对周围的影响，采取相应的工程措施进行防护。坡面防护根据坡度不同而采用石砌护坡或植被护坡。植被恢复措施：对各类裸露面，分别采取不同的措施，加快植被恢复。尽量选择发芽早、生长快、根须发达、多年生，且能与周围环境相协调的草种，防止表土侵蚀和流失。</w:t>
            </w:r>
          </w:p>
        </w:tc>
        <w:tc>
          <w:tcPr>
            <w:tcW w:w="3039" w:type="dxa"/>
            <w:tcBorders>
              <w:top w:val="nil"/>
              <w:left w:val="nil"/>
              <w:bottom w:val="single" w:sz="4" w:space="0" w:color="auto"/>
              <w:right w:val="single" w:sz="4" w:space="0" w:color="auto"/>
            </w:tcBorders>
            <w:shd w:val="clear" w:color="auto" w:fill="auto"/>
            <w:vAlign w:val="center"/>
          </w:tcPr>
          <w:p w14:paraId="0213BEBB" w14:textId="77777777" w:rsidR="00E579B9" w:rsidRDefault="006A1398">
            <w:pPr>
              <w:pStyle w:val="aa"/>
            </w:pPr>
            <w:r>
              <w:t>坡面排水措施：矿区坡面根据地形条件设置截排水沟，并在非开采区种植植被，防范水土流失。矿山尽量一次性采完，不留或少留边坡，对于遗留的边坡，除采取措施恢复植被外，还采取相应的工程措施进行防护。水平地和</w:t>
            </w:r>
            <w:r>
              <w:t>15º</w:t>
            </w:r>
            <w:r>
              <w:t>以下缓坡地采用表土充填；</w:t>
            </w:r>
            <w:r>
              <w:t>15º</w:t>
            </w:r>
            <w:r>
              <w:t>以上陡坡地根据地形地质条件采用挖穴填土、砌筑植生盆（槽）填土等方法进行生态恢复。服务期满后对各类裸露面选择灌草</w:t>
            </w:r>
            <w:r>
              <w:rPr>
                <w:rFonts w:hint="eastAsia"/>
              </w:rPr>
              <w:t>草籽</w:t>
            </w:r>
            <w:r>
              <w:t>进行植被恢复，防止表土侵蚀和流失。</w:t>
            </w:r>
          </w:p>
        </w:tc>
        <w:tc>
          <w:tcPr>
            <w:tcW w:w="1057" w:type="dxa"/>
            <w:tcBorders>
              <w:top w:val="nil"/>
              <w:left w:val="nil"/>
              <w:bottom w:val="single" w:sz="4" w:space="0" w:color="auto"/>
              <w:right w:val="single" w:sz="4" w:space="0" w:color="auto"/>
            </w:tcBorders>
            <w:shd w:val="clear" w:color="auto" w:fill="auto"/>
            <w:vAlign w:val="center"/>
          </w:tcPr>
          <w:p w14:paraId="4A88C268" w14:textId="77777777" w:rsidR="00E579B9" w:rsidRDefault="006A1398">
            <w:pPr>
              <w:pStyle w:val="aa"/>
            </w:pPr>
            <w:r>
              <w:t>相符</w:t>
            </w:r>
          </w:p>
        </w:tc>
      </w:tr>
      <w:tr w:rsidR="00E579B9" w14:paraId="3CCE8939" w14:textId="77777777">
        <w:trPr>
          <w:trHeight w:val="1275"/>
          <w:jc w:val="center"/>
        </w:trPr>
        <w:tc>
          <w:tcPr>
            <w:tcW w:w="942" w:type="dxa"/>
            <w:vMerge/>
            <w:tcBorders>
              <w:top w:val="nil"/>
              <w:left w:val="single" w:sz="4" w:space="0" w:color="auto"/>
              <w:bottom w:val="single" w:sz="4" w:space="0" w:color="auto"/>
              <w:right w:val="single" w:sz="4" w:space="0" w:color="auto"/>
            </w:tcBorders>
            <w:vAlign w:val="center"/>
          </w:tcPr>
          <w:p w14:paraId="67DAFDF1" w14:textId="77777777" w:rsidR="00E579B9" w:rsidRDefault="00E579B9">
            <w:pPr>
              <w:pStyle w:val="aa"/>
            </w:pPr>
          </w:p>
        </w:tc>
        <w:tc>
          <w:tcPr>
            <w:tcW w:w="795" w:type="dxa"/>
            <w:vMerge/>
            <w:tcBorders>
              <w:top w:val="nil"/>
              <w:left w:val="single" w:sz="4" w:space="0" w:color="auto"/>
              <w:bottom w:val="single" w:sz="4" w:space="0" w:color="auto"/>
              <w:right w:val="single" w:sz="4" w:space="0" w:color="auto"/>
            </w:tcBorders>
            <w:vAlign w:val="center"/>
          </w:tcPr>
          <w:p w14:paraId="574D010F" w14:textId="77777777" w:rsidR="00E579B9" w:rsidRDefault="00E579B9">
            <w:pPr>
              <w:pStyle w:val="aa"/>
            </w:pPr>
          </w:p>
        </w:tc>
        <w:tc>
          <w:tcPr>
            <w:tcW w:w="3518" w:type="dxa"/>
            <w:tcBorders>
              <w:top w:val="nil"/>
              <w:left w:val="nil"/>
              <w:bottom w:val="single" w:sz="4" w:space="0" w:color="auto"/>
              <w:right w:val="single" w:sz="4" w:space="0" w:color="auto"/>
            </w:tcBorders>
            <w:shd w:val="clear" w:color="auto" w:fill="auto"/>
            <w:vAlign w:val="center"/>
          </w:tcPr>
          <w:p w14:paraId="402E759D" w14:textId="77777777" w:rsidR="00E579B9" w:rsidRDefault="006A1398">
            <w:pPr>
              <w:pStyle w:val="aa"/>
            </w:pPr>
            <w:r>
              <w:t>严格执行《中华人民共和国矿产资源法》、《中华人民共和国土地管理法》、《中华人民共和国土地管理法实施条例》、《土地复垦规定》等规定，除一些对国民经济有重大意义的矿产外，力求在矿产资源开发和上地资源有效利用之间取得利益均衡，严格执行国家制订的占用耕地补偿制度，依法开矿。</w:t>
            </w:r>
          </w:p>
        </w:tc>
        <w:tc>
          <w:tcPr>
            <w:tcW w:w="3039" w:type="dxa"/>
            <w:tcBorders>
              <w:top w:val="nil"/>
              <w:left w:val="nil"/>
              <w:bottom w:val="single" w:sz="4" w:space="0" w:color="auto"/>
              <w:right w:val="single" w:sz="4" w:space="0" w:color="auto"/>
            </w:tcBorders>
            <w:shd w:val="clear" w:color="auto" w:fill="auto"/>
            <w:vAlign w:val="center"/>
          </w:tcPr>
          <w:p w14:paraId="5162E7B8" w14:textId="77777777" w:rsidR="00E579B9" w:rsidRDefault="006A1398">
            <w:pPr>
              <w:pStyle w:val="aa"/>
            </w:pPr>
            <w:r>
              <w:t>本项目露天采区、</w:t>
            </w:r>
            <w:r>
              <w:rPr>
                <w:rFonts w:hint="eastAsia"/>
              </w:rPr>
              <w:t>表土场</w:t>
            </w:r>
            <w:r>
              <w:t>占地为林地、</w:t>
            </w:r>
            <w:r>
              <w:rPr>
                <w:rFonts w:hint="eastAsia"/>
              </w:rPr>
              <w:t>村庄</w:t>
            </w:r>
            <w:r>
              <w:t>、草地、采矿用地等，将按照有关法律法规要求办理占用手续。</w:t>
            </w:r>
          </w:p>
        </w:tc>
        <w:tc>
          <w:tcPr>
            <w:tcW w:w="1057" w:type="dxa"/>
            <w:tcBorders>
              <w:top w:val="nil"/>
              <w:left w:val="nil"/>
              <w:bottom w:val="single" w:sz="4" w:space="0" w:color="auto"/>
              <w:right w:val="single" w:sz="4" w:space="0" w:color="auto"/>
            </w:tcBorders>
            <w:shd w:val="clear" w:color="auto" w:fill="auto"/>
            <w:vAlign w:val="center"/>
          </w:tcPr>
          <w:p w14:paraId="5A6055F5" w14:textId="77777777" w:rsidR="00E579B9" w:rsidRDefault="006A1398">
            <w:pPr>
              <w:pStyle w:val="aa"/>
            </w:pPr>
            <w:r>
              <w:t>相符</w:t>
            </w:r>
          </w:p>
        </w:tc>
      </w:tr>
      <w:tr w:rsidR="00E579B9" w14:paraId="1EFDD688" w14:textId="77777777">
        <w:trPr>
          <w:trHeight w:val="662"/>
          <w:jc w:val="center"/>
        </w:trPr>
        <w:tc>
          <w:tcPr>
            <w:tcW w:w="942" w:type="dxa"/>
            <w:vMerge w:val="restart"/>
            <w:tcBorders>
              <w:top w:val="nil"/>
              <w:left w:val="single" w:sz="4" w:space="0" w:color="auto"/>
              <w:bottom w:val="single" w:sz="4" w:space="0" w:color="auto"/>
              <w:right w:val="single" w:sz="4" w:space="0" w:color="auto"/>
            </w:tcBorders>
            <w:shd w:val="clear" w:color="auto" w:fill="auto"/>
            <w:vAlign w:val="center"/>
          </w:tcPr>
          <w:p w14:paraId="5A7314CA" w14:textId="77777777" w:rsidR="00E579B9" w:rsidRDefault="006A1398">
            <w:pPr>
              <w:pStyle w:val="aa"/>
            </w:pPr>
            <w:r>
              <w:t>4</w:t>
            </w:r>
          </w:p>
        </w:tc>
        <w:tc>
          <w:tcPr>
            <w:tcW w:w="795" w:type="dxa"/>
            <w:vMerge w:val="restart"/>
            <w:tcBorders>
              <w:top w:val="nil"/>
              <w:left w:val="single" w:sz="4" w:space="0" w:color="auto"/>
              <w:bottom w:val="single" w:sz="4" w:space="0" w:color="auto"/>
              <w:right w:val="single" w:sz="4" w:space="0" w:color="auto"/>
            </w:tcBorders>
            <w:shd w:val="clear" w:color="auto" w:fill="auto"/>
            <w:vAlign w:val="center"/>
          </w:tcPr>
          <w:p w14:paraId="0BF1755C" w14:textId="77777777" w:rsidR="00E579B9" w:rsidRDefault="006A1398">
            <w:pPr>
              <w:pStyle w:val="aa"/>
            </w:pPr>
            <w:r>
              <w:t>水环境不良影响减缓措施</w:t>
            </w:r>
          </w:p>
        </w:tc>
        <w:tc>
          <w:tcPr>
            <w:tcW w:w="3518" w:type="dxa"/>
            <w:tcBorders>
              <w:top w:val="nil"/>
              <w:left w:val="nil"/>
              <w:bottom w:val="single" w:sz="4" w:space="0" w:color="auto"/>
              <w:right w:val="single" w:sz="4" w:space="0" w:color="auto"/>
            </w:tcBorders>
            <w:shd w:val="clear" w:color="auto" w:fill="auto"/>
            <w:vAlign w:val="center"/>
          </w:tcPr>
          <w:p w14:paraId="492FF415" w14:textId="77777777" w:rsidR="00E579B9" w:rsidRDefault="006A1398">
            <w:pPr>
              <w:pStyle w:val="aa"/>
            </w:pPr>
            <w:r>
              <w:t>加强矿山、矿业经济区周围生态功能区、环境保护目标区和重要水源地的水质调查和监测，开展不同矿种、不同开采方式和不同规模矿山的专项水环境调查和评估，掌握矿山开发引起的水质污染的程度和现</w:t>
            </w:r>
            <w:r>
              <w:lastRenderedPageBreak/>
              <w:t>状，为采取有针对性的防治措施提供基础资料。</w:t>
            </w:r>
          </w:p>
        </w:tc>
        <w:tc>
          <w:tcPr>
            <w:tcW w:w="3039" w:type="dxa"/>
            <w:tcBorders>
              <w:top w:val="nil"/>
              <w:left w:val="nil"/>
              <w:bottom w:val="single" w:sz="4" w:space="0" w:color="auto"/>
              <w:right w:val="single" w:sz="4" w:space="0" w:color="auto"/>
            </w:tcBorders>
            <w:shd w:val="clear" w:color="auto" w:fill="auto"/>
            <w:vAlign w:val="center"/>
          </w:tcPr>
          <w:p w14:paraId="4FB3A32B" w14:textId="77777777" w:rsidR="00E579B9" w:rsidRDefault="006A1398">
            <w:pPr>
              <w:pStyle w:val="aa"/>
            </w:pPr>
            <w:r>
              <w:lastRenderedPageBreak/>
              <w:t>矿区周围无生态功能区与重要水源地，对环境保护目标区已制定水质调查和监测方案。矿区内地表水体不发育，无大的河流、沟渠，仅发育一些冲沟，且多为干沟。</w:t>
            </w:r>
            <w:r>
              <w:rPr>
                <w:rFonts w:hint="eastAsia"/>
              </w:rPr>
              <w:t>本项目无生产废水产生、生活污水经一体</w:t>
            </w:r>
            <w:r>
              <w:rPr>
                <w:rFonts w:hint="eastAsia"/>
              </w:rPr>
              <w:lastRenderedPageBreak/>
              <w:t>化处理设施处理后用于降尘洒水降尘，</w:t>
            </w:r>
            <w:r>
              <w:t>本项目废水不外排，对环境保护目标无影响。</w:t>
            </w:r>
          </w:p>
        </w:tc>
        <w:tc>
          <w:tcPr>
            <w:tcW w:w="1057" w:type="dxa"/>
            <w:tcBorders>
              <w:top w:val="nil"/>
              <w:left w:val="nil"/>
              <w:bottom w:val="single" w:sz="4" w:space="0" w:color="auto"/>
              <w:right w:val="single" w:sz="4" w:space="0" w:color="auto"/>
            </w:tcBorders>
            <w:shd w:val="clear" w:color="auto" w:fill="auto"/>
            <w:vAlign w:val="center"/>
          </w:tcPr>
          <w:p w14:paraId="398784C9" w14:textId="77777777" w:rsidR="00E579B9" w:rsidRDefault="006A1398">
            <w:pPr>
              <w:pStyle w:val="aa"/>
            </w:pPr>
            <w:r>
              <w:lastRenderedPageBreak/>
              <w:t>相符</w:t>
            </w:r>
          </w:p>
        </w:tc>
      </w:tr>
      <w:tr w:rsidR="00E579B9" w14:paraId="1B363BB4" w14:textId="77777777">
        <w:trPr>
          <w:trHeight w:val="1020"/>
          <w:jc w:val="center"/>
        </w:trPr>
        <w:tc>
          <w:tcPr>
            <w:tcW w:w="942" w:type="dxa"/>
            <w:vMerge/>
            <w:tcBorders>
              <w:top w:val="nil"/>
              <w:left w:val="single" w:sz="4" w:space="0" w:color="auto"/>
              <w:bottom w:val="single" w:sz="4" w:space="0" w:color="auto"/>
              <w:right w:val="single" w:sz="4" w:space="0" w:color="auto"/>
            </w:tcBorders>
            <w:vAlign w:val="center"/>
          </w:tcPr>
          <w:p w14:paraId="0B1BEC23" w14:textId="77777777" w:rsidR="00E579B9" w:rsidRDefault="00E579B9">
            <w:pPr>
              <w:pStyle w:val="aa"/>
            </w:pPr>
          </w:p>
        </w:tc>
        <w:tc>
          <w:tcPr>
            <w:tcW w:w="795" w:type="dxa"/>
            <w:vMerge/>
            <w:tcBorders>
              <w:top w:val="nil"/>
              <w:left w:val="single" w:sz="4" w:space="0" w:color="auto"/>
              <w:bottom w:val="single" w:sz="4" w:space="0" w:color="auto"/>
              <w:right w:val="single" w:sz="4" w:space="0" w:color="auto"/>
            </w:tcBorders>
            <w:vAlign w:val="center"/>
          </w:tcPr>
          <w:p w14:paraId="493EAE31" w14:textId="77777777" w:rsidR="00E579B9" w:rsidRDefault="00E579B9">
            <w:pPr>
              <w:pStyle w:val="aa"/>
            </w:pPr>
          </w:p>
        </w:tc>
        <w:tc>
          <w:tcPr>
            <w:tcW w:w="3518" w:type="dxa"/>
            <w:tcBorders>
              <w:top w:val="nil"/>
              <w:left w:val="nil"/>
              <w:bottom w:val="single" w:sz="4" w:space="0" w:color="auto"/>
              <w:right w:val="single" w:sz="4" w:space="0" w:color="auto"/>
            </w:tcBorders>
            <w:shd w:val="clear" w:color="auto" w:fill="auto"/>
            <w:vAlign w:val="center"/>
          </w:tcPr>
          <w:p w14:paraId="04AD5F7A" w14:textId="77777777" w:rsidR="00E579B9" w:rsidRDefault="006A1398">
            <w:pPr>
              <w:pStyle w:val="aa"/>
            </w:pPr>
            <w:r>
              <w:t>对于在采矿山，应作好矿山的环境监测工作，根据矿山所处的地质条件，查明易于发生污染的开采环节和地段，尤其要摸清矿山表土场、煤矸石堆放区和尾矿坝区的水文地质条件，掌握可能的污染源，发现问题及时采取措施治理。</w:t>
            </w:r>
          </w:p>
        </w:tc>
        <w:tc>
          <w:tcPr>
            <w:tcW w:w="3039" w:type="dxa"/>
            <w:tcBorders>
              <w:top w:val="nil"/>
              <w:left w:val="nil"/>
              <w:bottom w:val="single" w:sz="4" w:space="0" w:color="auto"/>
              <w:right w:val="single" w:sz="4" w:space="0" w:color="auto"/>
            </w:tcBorders>
            <w:shd w:val="clear" w:color="auto" w:fill="auto"/>
            <w:vAlign w:val="center"/>
          </w:tcPr>
          <w:p w14:paraId="0A347E5A" w14:textId="77777777" w:rsidR="00E579B9" w:rsidRDefault="006A1398">
            <w:pPr>
              <w:pStyle w:val="aa"/>
            </w:pPr>
            <w:r>
              <w:t>评价已制定运营期监测计划，设置地表水监测断面，对受影响的地表水体环境进行监测，及时掌握水质变化情况。</w:t>
            </w:r>
            <w:r>
              <w:rPr>
                <w:rFonts w:hint="eastAsia"/>
              </w:rPr>
              <w:t>本项目建筑用大理岩矿不含重金属，暂存于表土场，不存在重金属污染，本项目无尾矿库</w:t>
            </w:r>
            <w:r>
              <w:t>。</w:t>
            </w:r>
          </w:p>
        </w:tc>
        <w:tc>
          <w:tcPr>
            <w:tcW w:w="1057" w:type="dxa"/>
            <w:tcBorders>
              <w:top w:val="nil"/>
              <w:left w:val="nil"/>
              <w:bottom w:val="single" w:sz="4" w:space="0" w:color="auto"/>
              <w:right w:val="single" w:sz="4" w:space="0" w:color="auto"/>
            </w:tcBorders>
            <w:shd w:val="clear" w:color="auto" w:fill="auto"/>
            <w:vAlign w:val="center"/>
          </w:tcPr>
          <w:p w14:paraId="1ADFEA8F" w14:textId="77777777" w:rsidR="00E579B9" w:rsidRDefault="006A1398">
            <w:pPr>
              <w:pStyle w:val="aa"/>
            </w:pPr>
            <w:r>
              <w:t>相符</w:t>
            </w:r>
          </w:p>
        </w:tc>
      </w:tr>
      <w:tr w:rsidR="00E579B9" w14:paraId="5AC93FEF" w14:textId="77777777">
        <w:trPr>
          <w:trHeight w:val="765"/>
          <w:jc w:val="center"/>
        </w:trPr>
        <w:tc>
          <w:tcPr>
            <w:tcW w:w="942" w:type="dxa"/>
            <w:vMerge/>
            <w:tcBorders>
              <w:top w:val="nil"/>
              <w:left w:val="single" w:sz="4" w:space="0" w:color="auto"/>
              <w:bottom w:val="single" w:sz="4" w:space="0" w:color="auto"/>
              <w:right w:val="single" w:sz="4" w:space="0" w:color="auto"/>
            </w:tcBorders>
            <w:vAlign w:val="center"/>
          </w:tcPr>
          <w:p w14:paraId="0A9D345F" w14:textId="77777777" w:rsidR="00E579B9" w:rsidRDefault="00E579B9">
            <w:pPr>
              <w:pStyle w:val="aa"/>
            </w:pPr>
          </w:p>
        </w:tc>
        <w:tc>
          <w:tcPr>
            <w:tcW w:w="795" w:type="dxa"/>
            <w:vMerge/>
            <w:tcBorders>
              <w:top w:val="nil"/>
              <w:left w:val="single" w:sz="4" w:space="0" w:color="auto"/>
              <w:bottom w:val="single" w:sz="4" w:space="0" w:color="auto"/>
              <w:right w:val="single" w:sz="4" w:space="0" w:color="auto"/>
            </w:tcBorders>
            <w:vAlign w:val="center"/>
          </w:tcPr>
          <w:p w14:paraId="4BEEDB08" w14:textId="77777777" w:rsidR="00E579B9" w:rsidRDefault="00E579B9">
            <w:pPr>
              <w:pStyle w:val="aa"/>
            </w:pPr>
          </w:p>
        </w:tc>
        <w:tc>
          <w:tcPr>
            <w:tcW w:w="3518" w:type="dxa"/>
            <w:tcBorders>
              <w:top w:val="nil"/>
              <w:left w:val="nil"/>
              <w:bottom w:val="single" w:sz="4" w:space="0" w:color="auto"/>
              <w:right w:val="single" w:sz="4" w:space="0" w:color="auto"/>
            </w:tcBorders>
            <w:shd w:val="clear" w:color="auto" w:fill="auto"/>
            <w:vAlign w:val="center"/>
          </w:tcPr>
          <w:p w14:paraId="2555966D" w14:textId="77777777" w:rsidR="00E579B9" w:rsidRDefault="006A1398">
            <w:pPr>
              <w:pStyle w:val="aa"/>
            </w:pPr>
            <w:r>
              <w:t>对于矿山排出的废液，应采取各种污水处理方法清污达标后，才能排放。对于泄露的尾矿水可通过吸附、沉淀法除去金属毒物；同时对矿山水环境和邻区土壤加强监测和管理，控制污水的外泄。</w:t>
            </w:r>
          </w:p>
        </w:tc>
        <w:tc>
          <w:tcPr>
            <w:tcW w:w="3039" w:type="dxa"/>
            <w:tcBorders>
              <w:top w:val="nil"/>
              <w:left w:val="nil"/>
              <w:bottom w:val="single" w:sz="4" w:space="0" w:color="auto"/>
              <w:right w:val="single" w:sz="4" w:space="0" w:color="auto"/>
            </w:tcBorders>
            <w:shd w:val="clear" w:color="auto" w:fill="auto"/>
            <w:vAlign w:val="center"/>
          </w:tcPr>
          <w:p w14:paraId="5F78A93D" w14:textId="77777777" w:rsidR="00E579B9" w:rsidRDefault="006A1398">
            <w:pPr>
              <w:pStyle w:val="aa"/>
            </w:pPr>
            <w:r>
              <w:t>本项目建成后无废水外排。</w:t>
            </w:r>
            <w:r>
              <w:rPr>
                <w:rFonts w:hint="eastAsia"/>
              </w:rPr>
              <w:t>本项目不设置尾矿库，不存在尾矿水，另外本项目为建筑用大理岩矿不含重金属，不存在重金属污染。此外，已制定相应的监测和管理制度。</w:t>
            </w:r>
          </w:p>
        </w:tc>
        <w:tc>
          <w:tcPr>
            <w:tcW w:w="1057" w:type="dxa"/>
            <w:tcBorders>
              <w:top w:val="nil"/>
              <w:left w:val="nil"/>
              <w:bottom w:val="single" w:sz="4" w:space="0" w:color="auto"/>
              <w:right w:val="single" w:sz="4" w:space="0" w:color="auto"/>
            </w:tcBorders>
            <w:shd w:val="clear" w:color="auto" w:fill="auto"/>
            <w:vAlign w:val="center"/>
          </w:tcPr>
          <w:p w14:paraId="33017A9A" w14:textId="77777777" w:rsidR="00E579B9" w:rsidRDefault="006A1398">
            <w:pPr>
              <w:pStyle w:val="aa"/>
            </w:pPr>
            <w:r>
              <w:t>相符</w:t>
            </w:r>
          </w:p>
        </w:tc>
      </w:tr>
      <w:tr w:rsidR="00E579B9" w14:paraId="56306376" w14:textId="77777777">
        <w:trPr>
          <w:trHeight w:val="1035"/>
          <w:jc w:val="center"/>
        </w:trPr>
        <w:tc>
          <w:tcPr>
            <w:tcW w:w="942" w:type="dxa"/>
            <w:vMerge/>
            <w:tcBorders>
              <w:top w:val="nil"/>
              <w:left w:val="single" w:sz="4" w:space="0" w:color="auto"/>
              <w:bottom w:val="single" w:sz="4" w:space="0" w:color="auto"/>
              <w:right w:val="single" w:sz="4" w:space="0" w:color="auto"/>
            </w:tcBorders>
            <w:vAlign w:val="center"/>
          </w:tcPr>
          <w:p w14:paraId="75A6936E" w14:textId="77777777" w:rsidR="00E579B9" w:rsidRDefault="00E579B9">
            <w:pPr>
              <w:pStyle w:val="aa"/>
            </w:pPr>
          </w:p>
        </w:tc>
        <w:tc>
          <w:tcPr>
            <w:tcW w:w="795" w:type="dxa"/>
            <w:vMerge/>
            <w:tcBorders>
              <w:top w:val="nil"/>
              <w:left w:val="single" w:sz="4" w:space="0" w:color="auto"/>
              <w:bottom w:val="single" w:sz="4" w:space="0" w:color="auto"/>
              <w:right w:val="single" w:sz="4" w:space="0" w:color="auto"/>
            </w:tcBorders>
            <w:vAlign w:val="center"/>
          </w:tcPr>
          <w:p w14:paraId="1272DA7A" w14:textId="77777777" w:rsidR="00E579B9" w:rsidRDefault="00E579B9">
            <w:pPr>
              <w:pStyle w:val="aa"/>
            </w:pPr>
          </w:p>
        </w:tc>
        <w:tc>
          <w:tcPr>
            <w:tcW w:w="3518" w:type="dxa"/>
            <w:tcBorders>
              <w:top w:val="nil"/>
              <w:left w:val="nil"/>
              <w:bottom w:val="single" w:sz="4" w:space="0" w:color="auto"/>
              <w:right w:val="single" w:sz="4" w:space="0" w:color="auto"/>
            </w:tcBorders>
            <w:shd w:val="clear" w:color="auto" w:fill="auto"/>
            <w:vAlign w:val="center"/>
          </w:tcPr>
          <w:p w14:paraId="5B342301" w14:textId="77777777" w:rsidR="00E579B9" w:rsidRDefault="006A1398">
            <w:pPr>
              <w:pStyle w:val="aa"/>
            </w:pPr>
            <w:r>
              <w:t>转变矿山开采方式，保护水资源。在矿山开发地下水防治中，目前采取</w:t>
            </w:r>
            <w:r>
              <w:t>3</w:t>
            </w:r>
            <w:r>
              <w:t>种方式，即全面疏干法、帷幕注浆堵水法和供排结合法。由于全面疏干法会造成地下水位大幅度下降，对水资源的破坏极其严重，因此，在水资源日益紧张的今天，这种排水方式是尽量放弃。</w:t>
            </w:r>
          </w:p>
        </w:tc>
        <w:tc>
          <w:tcPr>
            <w:tcW w:w="3039" w:type="dxa"/>
            <w:tcBorders>
              <w:top w:val="nil"/>
              <w:left w:val="nil"/>
              <w:bottom w:val="single" w:sz="4" w:space="0" w:color="auto"/>
              <w:right w:val="single" w:sz="4" w:space="0" w:color="auto"/>
            </w:tcBorders>
            <w:shd w:val="clear" w:color="auto" w:fill="auto"/>
            <w:vAlign w:val="center"/>
          </w:tcPr>
          <w:p w14:paraId="7A2FCF67" w14:textId="77777777" w:rsidR="00E579B9" w:rsidRDefault="006A1398">
            <w:pPr>
              <w:pStyle w:val="aa"/>
            </w:pPr>
            <w:r>
              <w:t>本项目为露天开采，无矿井涌水产生和排放。</w:t>
            </w:r>
          </w:p>
        </w:tc>
        <w:tc>
          <w:tcPr>
            <w:tcW w:w="1057" w:type="dxa"/>
            <w:tcBorders>
              <w:top w:val="nil"/>
              <w:left w:val="nil"/>
              <w:bottom w:val="single" w:sz="4" w:space="0" w:color="auto"/>
              <w:right w:val="single" w:sz="4" w:space="0" w:color="auto"/>
            </w:tcBorders>
            <w:shd w:val="clear" w:color="auto" w:fill="auto"/>
            <w:vAlign w:val="center"/>
          </w:tcPr>
          <w:p w14:paraId="17348DCB" w14:textId="77777777" w:rsidR="00E579B9" w:rsidRDefault="006A1398">
            <w:pPr>
              <w:pStyle w:val="aa"/>
            </w:pPr>
            <w:r>
              <w:t>相符</w:t>
            </w:r>
          </w:p>
        </w:tc>
      </w:tr>
      <w:tr w:rsidR="00E579B9" w14:paraId="3DFF8CFB" w14:textId="77777777">
        <w:trPr>
          <w:trHeight w:val="520"/>
          <w:jc w:val="center"/>
        </w:trPr>
        <w:tc>
          <w:tcPr>
            <w:tcW w:w="942" w:type="dxa"/>
            <w:vMerge w:val="restart"/>
            <w:tcBorders>
              <w:top w:val="nil"/>
              <w:left w:val="single" w:sz="4" w:space="0" w:color="auto"/>
              <w:bottom w:val="single" w:sz="4" w:space="0" w:color="auto"/>
              <w:right w:val="single" w:sz="4" w:space="0" w:color="auto"/>
            </w:tcBorders>
            <w:shd w:val="clear" w:color="auto" w:fill="auto"/>
            <w:vAlign w:val="center"/>
          </w:tcPr>
          <w:p w14:paraId="196480FC" w14:textId="77777777" w:rsidR="00E579B9" w:rsidRDefault="006A1398">
            <w:pPr>
              <w:pStyle w:val="aa"/>
            </w:pPr>
            <w:r>
              <w:t>5</w:t>
            </w:r>
          </w:p>
        </w:tc>
        <w:tc>
          <w:tcPr>
            <w:tcW w:w="795" w:type="dxa"/>
            <w:vMerge w:val="restart"/>
            <w:tcBorders>
              <w:top w:val="nil"/>
              <w:left w:val="single" w:sz="4" w:space="0" w:color="auto"/>
              <w:bottom w:val="single" w:sz="4" w:space="0" w:color="auto"/>
              <w:right w:val="single" w:sz="4" w:space="0" w:color="auto"/>
            </w:tcBorders>
            <w:shd w:val="clear" w:color="auto" w:fill="auto"/>
            <w:vAlign w:val="center"/>
          </w:tcPr>
          <w:p w14:paraId="3FB4F23A" w14:textId="77777777" w:rsidR="00E579B9" w:rsidRDefault="006A1398">
            <w:pPr>
              <w:pStyle w:val="aa"/>
            </w:pPr>
            <w:r>
              <w:t>大气环境不良影响减缓措施</w:t>
            </w:r>
          </w:p>
        </w:tc>
        <w:tc>
          <w:tcPr>
            <w:tcW w:w="3518" w:type="dxa"/>
            <w:tcBorders>
              <w:top w:val="nil"/>
              <w:left w:val="nil"/>
              <w:bottom w:val="single" w:sz="4" w:space="0" w:color="auto"/>
              <w:right w:val="single" w:sz="4" w:space="0" w:color="auto"/>
            </w:tcBorders>
            <w:shd w:val="clear" w:color="auto" w:fill="auto"/>
            <w:vAlign w:val="center"/>
          </w:tcPr>
          <w:p w14:paraId="1BBD7B22" w14:textId="77777777" w:rsidR="00E579B9" w:rsidRDefault="006A1398">
            <w:pPr>
              <w:pStyle w:val="aa"/>
            </w:pPr>
            <w:r>
              <w:t>为了防止矿石在运输过程中铲斗往汽车及其运输工具卸载时的产尘量，应尽量减少卸载的高度，增大物料的湿度，采用国际上一些发达国家常用的高分子灰尘防治剂对运输的路面进行防尘处理；对胶带输送机采用罩密封的方法。</w:t>
            </w:r>
          </w:p>
        </w:tc>
        <w:tc>
          <w:tcPr>
            <w:tcW w:w="3039" w:type="dxa"/>
            <w:tcBorders>
              <w:top w:val="nil"/>
              <w:left w:val="nil"/>
              <w:bottom w:val="single" w:sz="4" w:space="0" w:color="auto"/>
              <w:right w:val="single" w:sz="4" w:space="0" w:color="auto"/>
            </w:tcBorders>
            <w:shd w:val="clear" w:color="auto" w:fill="auto"/>
            <w:vAlign w:val="center"/>
          </w:tcPr>
          <w:p w14:paraId="4F297595" w14:textId="77777777" w:rsidR="00E579B9" w:rsidRDefault="006A1398">
            <w:pPr>
              <w:pStyle w:val="aa"/>
            </w:pPr>
            <w:r>
              <w:t>项目</w:t>
            </w:r>
            <w:r>
              <w:rPr>
                <w:rFonts w:hint="eastAsia"/>
              </w:rPr>
              <w:t>在装卸过程中严格控制</w:t>
            </w:r>
            <w:r>
              <w:t>卸载高度，物料卸载过程中设有洒水降尘措施；矿区设洒水车，定期对路面进行洒水抑尘。</w:t>
            </w:r>
          </w:p>
        </w:tc>
        <w:tc>
          <w:tcPr>
            <w:tcW w:w="1057" w:type="dxa"/>
            <w:tcBorders>
              <w:top w:val="nil"/>
              <w:left w:val="nil"/>
              <w:bottom w:val="single" w:sz="4" w:space="0" w:color="auto"/>
              <w:right w:val="single" w:sz="4" w:space="0" w:color="auto"/>
            </w:tcBorders>
            <w:shd w:val="clear" w:color="auto" w:fill="auto"/>
            <w:vAlign w:val="center"/>
          </w:tcPr>
          <w:p w14:paraId="0490B1BF" w14:textId="77777777" w:rsidR="00E579B9" w:rsidRDefault="006A1398">
            <w:pPr>
              <w:pStyle w:val="aa"/>
            </w:pPr>
            <w:r>
              <w:t>相符</w:t>
            </w:r>
          </w:p>
        </w:tc>
      </w:tr>
      <w:tr w:rsidR="00E579B9" w14:paraId="6D110DE7" w14:textId="77777777">
        <w:trPr>
          <w:trHeight w:val="765"/>
          <w:jc w:val="center"/>
        </w:trPr>
        <w:tc>
          <w:tcPr>
            <w:tcW w:w="942" w:type="dxa"/>
            <w:vMerge/>
            <w:tcBorders>
              <w:top w:val="nil"/>
              <w:left w:val="single" w:sz="4" w:space="0" w:color="auto"/>
              <w:bottom w:val="single" w:sz="4" w:space="0" w:color="auto"/>
              <w:right w:val="single" w:sz="4" w:space="0" w:color="auto"/>
            </w:tcBorders>
            <w:vAlign w:val="center"/>
          </w:tcPr>
          <w:p w14:paraId="0FD0538D" w14:textId="77777777" w:rsidR="00E579B9" w:rsidRDefault="00E579B9">
            <w:pPr>
              <w:pStyle w:val="aa"/>
            </w:pPr>
          </w:p>
        </w:tc>
        <w:tc>
          <w:tcPr>
            <w:tcW w:w="795" w:type="dxa"/>
            <w:vMerge/>
            <w:tcBorders>
              <w:top w:val="nil"/>
              <w:left w:val="single" w:sz="4" w:space="0" w:color="auto"/>
              <w:bottom w:val="single" w:sz="4" w:space="0" w:color="auto"/>
              <w:right w:val="single" w:sz="4" w:space="0" w:color="auto"/>
            </w:tcBorders>
            <w:vAlign w:val="center"/>
          </w:tcPr>
          <w:p w14:paraId="4621FDF2" w14:textId="77777777" w:rsidR="00E579B9" w:rsidRDefault="00E579B9">
            <w:pPr>
              <w:pStyle w:val="aa"/>
            </w:pPr>
          </w:p>
        </w:tc>
        <w:tc>
          <w:tcPr>
            <w:tcW w:w="3518" w:type="dxa"/>
            <w:tcBorders>
              <w:top w:val="nil"/>
              <w:left w:val="nil"/>
              <w:bottom w:val="single" w:sz="4" w:space="0" w:color="auto"/>
              <w:right w:val="single" w:sz="4" w:space="0" w:color="auto"/>
            </w:tcBorders>
            <w:shd w:val="clear" w:color="auto" w:fill="auto"/>
            <w:vAlign w:val="center"/>
          </w:tcPr>
          <w:p w14:paraId="21180FD2" w14:textId="77777777" w:rsidR="00E579B9" w:rsidRDefault="006A1398">
            <w:pPr>
              <w:pStyle w:val="aa"/>
            </w:pPr>
            <w:r>
              <w:t>矿山的表土场、矸石场和尾矿堆放区是大气扬尘的主要污染源，为减轻其对大气环境的污染，对于已经</w:t>
            </w:r>
            <w:r>
              <w:lastRenderedPageBreak/>
              <w:t>关闭的固废场，可通过种植适宜的灌木、种草绿化来稳定固废斜坡剥离物的表面层，减少起尘。</w:t>
            </w:r>
          </w:p>
        </w:tc>
        <w:tc>
          <w:tcPr>
            <w:tcW w:w="3039" w:type="dxa"/>
            <w:tcBorders>
              <w:top w:val="nil"/>
              <w:left w:val="nil"/>
              <w:bottom w:val="single" w:sz="4" w:space="0" w:color="auto"/>
              <w:right w:val="single" w:sz="4" w:space="0" w:color="auto"/>
            </w:tcBorders>
            <w:shd w:val="clear" w:color="auto" w:fill="auto"/>
            <w:vAlign w:val="center"/>
          </w:tcPr>
          <w:p w14:paraId="3323BC23" w14:textId="77777777" w:rsidR="00E579B9" w:rsidRDefault="006A1398">
            <w:pPr>
              <w:pStyle w:val="aa"/>
            </w:pPr>
            <w:r>
              <w:lastRenderedPageBreak/>
              <w:t>本项目仅</w:t>
            </w:r>
            <w:r>
              <w:rPr>
                <w:rFonts w:hint="eastAsia"/>
              </w:rPr>
              <w:t>涉及表土场</w:t>
            </w:r>
            <w:r>
              <w:t>，</w:t>
            </w:r>
            <w:r>
              <w:rPr>
                <w:rFonts w:hint="eastAsia"/>
              </w:rPr>
              <w:t>运营期采取防尘网覆盖、拦挡、洒水等措施进行降尘，</w:t>
            </w:r>
            <w:r>
              <w:t>服务期满后</w:t>
            </w:r>
            <w:r>
              <w:lastRenderedPageBreak/>
              <w:t>进行生态恢复，表土清运后，然后种植灌木并撒播草籽，恢复成灌草地。</w:t>
            </w:r>
          </w:p>
        </w:tc>
        <w:tc>
          <w:tcPr>
            <w:tcW w:w="1057" w:type="dxa"/>
            <w:tcBorders>
              <w:top w:val="nil"/>
              <w:left w:val="nil"/>
              <w:bottom w:val="single" w:sz="4" w:space="0" w:color="auto"/>
              <w:right w:val="single" w:sz="4" w:space="0" w:color="auto"/>
            </w:tcBorders>
            <w:shd w:val="clear" w:color="auto" w:fill="auto"/>
            <w:vAlign w:val="center"/>
          </w:tcPr>
          <w:p w14:paraId="7CF5642D" w14:textId="77777777" w:rsidR="00E579B9" w:rsidRDefault="006A1398">
            <w:pPr>
              <w:pStyle w:val="aa"/>
            </w:pPr>
            <w:r>
              <w:lastRenderedPageBreak/>
              <w:t>相符</w:t>
            </w:r>
          </w:p>
        </w:tc>
      </w:tr>
      <w:tr w:rsidR="00E579B9" w14:paraId="30D1F8B7" w14:textId="77777777">
        <w:trPr>
          <w:trHeight w:val="552"/>
          <w:jc w:val="center"/>
        </w:trPr>
        <w:tc>
          <w:tcPr>
            <w:tcW w:w="942" w:type="dxa"/>
            <w:tcBorders>
              <w:top w:val="nil"/>
              <w:left w:val="single" w:sz="4" w:space="0" w:color="auto"/>
              <w:bottom w:val="single" w:sz="4" w:space="0" w:color="auto"/>
              <w:right w:val="single" w:sz="4" w:space="0" w:color="auto"/>
            </w:tcBorders>
            <w:shd w:val="clear" w:color="auto" w:fill="auto"/>
            <w:vAlign w:val="center"/>
          </w:tcPr>
          <w:p w14:paraId="424F44FD" w14:textId="77777777" w:rsidR="00E579B9" w:rsidRDefault="006A1398">
            <w:pPr>
              <w:pStyle w:val="aa"/>
            </w:pPr>
            <w:r>
              <w:t>6</w:t>
            </w:r>
          </w:p>
        </w:tc>
        <w:tc>
          <w:tcPr>
            <w:tcW w:w="795" w:type="dxa"/>
            <w:tcBorders>
              <w:top w:val="nil"/>
              <w:left w:val="nil"/>
              <w:bottom w:val="single" w:sz="4" w:space="0" w:color="auto"/>
              <w:right w:val="single" w:sz="4" w:space="0" w:color="auto"/>
            </w:tcBorders>
            <w:shd w:val="clear" w:color="auto" w:fill="auto"/>
            <w:vAlign w:val="center"/>
          </w:tcPr>
          <w:p w14:paraId="7616714D" w14:textId="77777777" w:rsidR="00E579B9" w:rsidRDefault="006A1398">
            <w:pPr>
              <w:pStyle w:val="aa"/>
            </w:pPr>
            <w:r>
              <w:t>声环境不良环境影响减缓措施</w:t>
            </w:r>
          </w:p>
        </w:tc>
        <w:tc>
          <w:tcPr>
            <w:tcW w:w="3518" w:type="dxa"/>
            <w:tcBorders>
              <w:top w:val="nil"/>
              <w:left w:val="nil"/>
              <w:bottom w:val="single" w:sz="4" w:space="0" w:color="auto"/>
              <w:right w:val="single" w:sz="4" w:space="0" w:color="auto"/>
            </w:tcBorders>
            <w:shd w:val="clear" w:color="auto" w:fill="auto"/>
            <w:vAlign w:val="center"/>
          </w:tcPr>
          <w:p w14:paraId="56059D8B" w14:textId="77777777" w:rsidR="00E579B9" w:rsidRDefault="006A1398">
            <w:pPr>
              <w:pStyle w:val="aa"/>
            </w:pPr>
            <w:r>
              <w:t>做好规划设计工作，尽可能的将新建采矿区规划在远离噪声敏感点。民宅、医院、学校等噪声敏感目标应尽量远离矿区。</w:t>
            </w:r>
          </w:p>
        </w:tc>
        <w:tc>
          <w:tcPr>
            <w:tcW w:w="3039" w:type="dxa"/>
            <w:tcBorders>
              <w:top w:val="nil"/>
              <w:left w:val="nil"/>
              <w:bottom w:val="single" w:sz="4" w:space="0" w:color="auto"/>
              <w:right w:val="single" w:sz="4" w:space="0" w:color="auto"/>
            </w:tcBorders>
            <w:shd w:val="clear" w:color="auto" w:fill="auto"/>
            <w:vAlign w:val="center"/>
          </w:tcPr>
          <w:p w14:paraId="3079C007" w14:textId="77777777" w:rsidR="00E579B9" w:rsidRDefault="006A1398">
            <w:pPr>
              <w:pStyle w:val="aa"/>
            </w:pPr>
            <w:r>
              <w:t>本项目采矿区选址合理，符合国家与地方的相关土地利用规划要求。矿区设计环境防护距离，环境防护距离内无民宅、医院、学校等噪声敏感目标。</w:t>
            </w:r>
          </w:p>
        </w:tc>
        <w:tc>
          <w:tcPr>
            <w:tcW w:w="1057" w:type="dxa"/>
            <w:tcBorders>
              <w:top w:val="nil"/>
              <w:left w:val="nil"/>
              <w:bottom w:val="single" w:sz="4" w:space="0" w:color="auto"/>
              <w:right w:val="single" w:sz="4" w:space="0" w:color="auto"/>
            </w:tcBorders>
            <w:shd w:val="clear" w:color="auto" w:fill="auto"/>
            <w:vAlign w:val="center"/>
          </w:tcPr>
          <w:p w14:paraId="49C8A0E9" w14:textId="77777777" w:rsidR="00E579B9" w:rsidRDefault="006A1398">
            <w:pPr>
              <w:pStyle w:val="aa"/>
            </w:pPr>
            <w:r>
              <w:t>相符</w:t>
            </w:r>
          </w:p>
        </w:tc>
      </w:tr>
      <w:tr w:rsidR="00E579B9" w14:paraId="0CB6BE7F" w14:textId="77777777">
        <w:trPr>
          <w:trHeight w:val="1545"/>
          <w:jc w:val="center"/>
        </w:trPr>
        <w:tc>
          <w:tcPr>
            <w:tcW w:w="942" w:type="dxa"/>
            <w:tcBorders>
              <w:top w:val="nil"/>
              <w:left w:val="single" w:sz="4" w:space="0" w:color="auto"/>
              <w:bottom w:val="single" w:sz="4" w:space="0" w:color="auto"/>
              <w:right w:val="single" w:sz="4" w:space="0" w:color="auto"/>
            </w:tcBorders>
            <w:shd w:val="clear" w:color="auto" w:fill="auto"/>
            <w:vAlign w:val="center"/>
          </w:tcPr>
          <w:p w14:paraId="023F57CE" w14:textId="77777777" w:rsidR="00E579B9" w:rsidRDefault="006A1398">
            <w:pPr>
              <w:pStyle w:val="aa"/>
            </w:pPr>
            <w:r>
              <w:t>7</w:t>
            </w:r>
          </w:p>
        </w:tc>
        <w:tc>
          <w:tcPr>
            <w:tcW w:w="795" w:type="dxa"/>
            <w:tcBorders>
              <w:top w:val="nil"/>
              <w:left w:val="nil"/>
              <w:bottom w:val="single" w:sz="4" w:space="0" w:color="auto"/>
              <w:right w:val="single" w:sz="4" w:space="0" w:color="auto"/>
            </w:tcBorders>
            <w:shd w:val="clear" w:color="auto" w:fill="auto"/>
            <w:vAlign w:val="center"/>
          </w:tcPr>
          <w:p w14:paraId="53182CB6" w14:textId="77777777" w:rsidR="00E579B9" w:rsidRDefault="006A1398">
            <w:pPr>
              <w:pStyle w:val="aa"/>
            </w:pPr>
            <w:r>
              <w:t>固体废物不良环境影响减缓措施</w:t>
            </w:r>
          </w:p>
        </w:tc>
        <w:tc>
          <w:tcPr>
            <w:tcW w:w="3518" w:type="dxa"/>
            <w:tcBorders>
              <w:top w:val="nil"/>
              <w:left w:val="nil"/>
              <w:bottom w:val="single" w:sz="4" w:space="0" w:color="auto"/>
              <w:right w:val="single" w:sz="4" w:space="0" w:color="auto"/>
            </w:tcBorders>
            <w:shd w:val="clear" w:color="auto" w:fill="auto"/>
            <w:vAlign w:val="center"/>
          </w:tcPr>
          <w:p w14:paraId="617828C5" w14:textId="77777777" w:rsidR="00E579B9" w:rsidRDefault="006A1398">
            <w:pPr>
              <w:pStyle w:val="aa"/>
            </w:pPr>
            <w:r>
              <w:t>固废的综合处置：无论何种矿山固体废弃物，都应采取相应的综合措施进行治理。对矿山生产过程中产生的大量废石堆，废弃工业场地及尾矿库，采取排蓄结合，排水拦渣，综合利用，变废为宝，有效解决</w:t>
            </w:r>
            <w:r>
              <w:t>“</w:t>
            </w:r>
            <w:r>
              <w:t>三废</w:t>
            </w:r>
            <w:r>
              <w:t>”</w:t>
            </w:r>
            <w:r>
              <w:t>污染，同时对服务期满的弃渣场、尾矿库采取复垦措施，提高土地利用率。依靠科技创新，加大投入力度，达到固体废弃物减量化、资源化和无害化综合处置的目标。</w:t>
            </w:r>
          </w:p>
        </w:tc>
        <w:tc>
          <w:tcPr>
            <w:tcW w:w="3039" w:type="dxa"/>
            <w:tcBorders>
              <w:top w:val="nil"/>
              <w:left w:val="nil"/>
              <w:bottom w:val="single" w:sz="4" w:space="0" w:color="auto"/>
              <w:right w:val="single" w:sz="4" w:space="0" w:color="auto"/>
            </w:tcBorders>
            <w:shd w:val="clear" w:color="auto" w:fill="auto"/>
            <w:vAlign w:val="center"/>
          </w:tcPr>
          <w:p w14:paraId="59C0F890" w14:textId="77777777" w:rsidR="00E579B9" w:rsidRDefault="006A1398">
            <w:pPr>
              <w:pStyle w:val="aa"/>
            </w:pPr>
            <w:r>
              <w:rPr>
                <w:rFonts w:hint="eastAsia"/>
              </w:rPr>
              <w:t>本项目剥离表土和部分废土石暂存于表土场，用于后期矿坑复垦，部分外售给当地砖厂，最终均可得到有效利用</w:t>
            </w:r>
            <w:r>
              <w:t>。矿区固废的处理能实现减量化、资源化和无害化综合处置的目标。</w:t>
            </w:r>
            <w:r>
              <w:rPr>
                <w:rFonts w:hint="eastAsia"/>
              </w:rPr>
              <w:t>本项目无尾矿库</w:t>
            </w:r>
            <w:r>
              <w:t>。</w:t>
            </w:r>
          </w:p>
        </w:tc>
        <w:tc>
          <w:tcPr>
            <w:tcW w:w="1057" w:type="dxa"/>
            <w:tcBorders>
              <w:top w:val="nil"/>
              <w:left w:val="nil"/>
              <w:bottom w:val="single" w:sz="4" w:space="0" w:color="auto"/>
              <w:right w:val="single" w:sz="4" w:space="0" w:color="auto"/>
            </w:tcBorders>
            <w:shd w:val="clear" w:color="auto" w:fill="auto"/>
            <w:vAlign w:val="center"/>
          </w:tcPr>
          <w:p w14:paraId="5B0C94D6" w14:textId="77777777" w:rsidR="00E579B9" w:rsidRDefault="006A1398">
            <w:pPr>
              <w:pStyle w:val="aa"/>
            </w:pPr>
            <w:r>
              <w:t>相符</w:t>
            </w:r>
          </w:p>
        </w:tc>
      </w:tr>
    </w:tbl>
    <w:p w14:paraId="59B6BF10" w14:textId="77777777" w:rsidR="00E579B9" w:rsidRDefault="006A1398">
      <w:r>
        <w:rPr>
          <w:rFonts w:hint="eastAsia"/>
        </w:rPr>
        <w:t>经分析比较，评价认为本项目建设符合《河南省矿产资源总体规划（</w:t>
      </w:r>
      <w:r>
        <w:rPr>
          <w:rFonts w:hint="eastAsia"/>
        </w:rPr>
        <w:t>2016-2020</w:t>
      </w:r>
      <w:r>
        <w:rPr>
          <w:rFonts w:hint="eastAsia"/>
        </w:rPr>
        <w:t>年）环境影响报告书（报批版）》相关要求。</w:t>
      </w:r>
    </w:p>
    <w:p w14:paraId="52CCBA1A" w14:textId="77777777" w:rsidR="00E579B9" w:rsidRDefault="006A1398">
      <w:pPr>
        <w:pStyle w:val="3"/>
        <w:ind w:firstLine="560"/>
        <w:rPr>
          <w:snapToGrid w:val="0"/>
        </w:rPr>
      </w:pPr>
      <w:r>
        <w:rPr>
          <w:rFonts w:hint="eastAsia"/>
        </w:rPr>
        <w:t>10.2.5</w:t>
      </w:r>
      <w:r>
        <w:rPr>
          <w:rFonts w:hint="eastAsia"/>
          <w:snapToGrid w:val="0"/>
        </w:rPr>
        <w:t>本项目与《</w:t>
      </w:r>
      <w:r>
        <w:rPr>
          <w:snapToGrid w:val="0"/>
        </w:rPr>
        <w:t>驻马店市</w:t>
      </w:r>
      <w:r>
        <w:rPr>
          <w:snapToGrid w:val="0"/>
        </w:rPr>
        <w:t>“</w:t>
      </w:r>
      <w:r>
        <w:rPr>
          <w:snapToGrid w:val="0"/>
        </w:rPr>
        <w:t>十三五</w:t>
      </w:r>
      <w:r>
        <w:rPr>
          <w:snapToGrid w:val="0"/>
        </w:rPr>
        <w:t>”</w:t>
      </w:r>
      <w:r>
        <w:rPr>
          <w:snapToGrid w:val="0"/>
        </w:rPr>
        <w:t>生态环境保护规划</w:t>
      </w:r>
      <w:r>
        <w:rPr>
          <w:rFonts w:hint="eastAsia"/>
          <w:snapToGrid w:val="0"/>
        </w:rPr>
        <w:t>》（</w:t>
      </w:r>
      <w:r>
        <w:rPr>
          <w:rFonts w:hint="eastAsia"/>
          <w:snapToGrid w:val="0"/>
        </w:rPr>
        <w:t>2016-2020</w:t>
      </w:r>
      <w:r>
        <w:rPr>
          <w:rFonts w:hint="eastAsia"/>
          <w:snapToGrid w:val="0"/>
        </w:rPr>
        <w:t>年）相符性分析</w:t>
      </w:r>
    </w:p>
    <w:p w14:paraId="130C69DD" w14:textId="77777777" w:rsidR="00E579B9" w:rsidRDefault="006A1398">
      <w:pPr>
        <w:pStyle w:val="21"/>
      </w:pPr>
      <w:r>
        <w:rPr>
          <w:rFonts w:hint="eastAsia"/>
        </w:rPr>
        <w:t>表</w:t>
      </w:r>
      <w:r>
        <w:t>10.2-3</w:t>
      </w:r>
      <w:r>
        <w:rPr>
          <w:rFonts w:hint="eastAsia"/>
        </w:rPr>
        <w:t>与《</w:t>
      </w:r>
      <w:r>
        <w:t>驻马店市</w:t>
      </w:r>
      <w:r>
        <w:t>“</w:t>
      </w:r>
      <w:r>
        <w:t>十三五</w:t>
      </w:r>
      <w:r>
        <w:t>”</w:t>
      </w:r>
      <w:r>
        <w:t>生态环境保护规划</w:t>
      </w:r>
      <w:r>
        <w:rPr>
          <w:rFonts w:hint="eastAsia"/>
        </w:rPr>
        <w:t>》（</w:t>
      </w:r>
      <w:r>
        <w:rPr>
          <w:rFonts w:hint="eastAsia"/>
        </w:rPr>
        <w:t>2016-2020</w:t>
      </w:r>
      <w:r>
        <w:rPr>
          <w:rFonts w:hint="eastAsia"/>
        </w:rPr>
        <w:t>年）相符性</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62"/>
        <w:gridCol w:w="1134"/>
        <w:gridCol w:w="2977"/>
        <w:gridCol w:w="3260"/>
        <w:gridCol w:w="787"/>
      </w:tblGrid>
      <w:tr w:rsidR="00E579B9" w14:paraId="23985AE9" w14:textId="77777777">
        <w:trPr>
          <w:tblHeader/>
          <w:jc w:val="center"/>
        </w:trPr>
        <w:tc>
          <w:tcPr>
            <w:tcW w:w="562" w:type="dxa"/>
            <w:vAlign w:val="center"/>
          </w:tcPr>
          <w:p w14:paraId="5E4604C5" w14:textId="77777777" w:rsidR="00E579B9" w:rsidRDefault="006A1398">
            <w:pPr>
              <w:pStyle w:val="aa"/>
            </w:pPr>
            <w:r>
              <w:t>序号</w:t>
            </w:r>
          </w:p>
        </w:tc>
        <w:tc>
          <w:tcPr>
            <w:tcW w:w="1134" w:type="dxa"/>
            <w:vAlign w:val="center"/>
          </w:tcPr>
          <w:p w14:paraId="3F31F054" w14:textId="77777777" w:rsidR="00E579B9" w:rsidRDefault="006A1398">
            <w:pPr>
              <w:pStyle w:val="aa"/>
            </w:pPr>
            <w:r>
              <w:t>类别</w:t>
            </w:r>
          </w:p>
        </w:tc>
        <w:tc>
          <w:tcPr>
            <w:tcW w:w="2977" w:type="dxa"/>
            <w:vAlign w:val="center"/>
          </w:tcPr>
          <w:p w14:paraId="79DD9C88" w14:textId="77777777" w:rsidR="00E579B9" w:rsidRDefault="006A1398">
            <w:pPr>
              <w:pStyle w:val="aa"/>
            </w:pPr>
            <w:r>
              <w:t>要求</w:t>
            </w:r>
          </w:p>
        </w:tc>
        <w:tc>
          <w:tcPr>
            <w:tcW w:w="3260" w:type="dxa"/>
            <w:vAlign w:val="center"/>
          </w:tcPr>
          <w:p w14:paraId="45CAFB53" w14:textId="77777777" w:rsidR="00E579B9" w:rsidRDefault="006A1398">
            <w:pPr>
              <w:pStyle w:val="aa"/>
            </w:pPr>
            <w:r>
              <w:t>本项目情况</w:t>
            </w:r>
          </w:p>
        </w:tc>
        <w:tc>
          <w:tcPr>
            <w:tcW w:w="787" w:type="dxa"/>
            <w:vAlign w:val="center"/>
          </w:tcPr>
          <w:p w14:paraId="17188AFA" w14:textId="77777777" w:rsidR="00E579B9" w:rsidRDefault="006A1398">
            <w:pPr>
              <w:pStyle w:val="aa"/>
            </w:pPr>
            <w:r>
              <w:t>相符性</w:t>
            </w:r>
          </w:p>
        </w:tc>
      </w:tr>
      <w:tr w:rsidR="00E579B9" w14:paraId="58005987" w14:textId="77777777">
        <w:trPr>
          <w:jc w:val="center"/>
        </w:trPr>
        <w:tc>
          <w:tcPr>
            <w:tcW w:w="562" w:type="dxa"/>
            <w:vAlign w:val="center"/>
          </w:tcPr>
          <w:p w14:paraId="26E45811" w14:textId="77777777" w:rsidR="00E579B9" w:rsidRDefault="006A1398">
            <w:pPr>
              <w:pStyle w:val="aa"/>
            </w:pPr>
            <w:r>
              <w:rPr>
                <w:rFonts w:hint="eastAsia"/>
              </w:rPr>
              <w:t>1</w:t>
            </w:r>
          </w:p>
        </w:tc>
        <w:tc>
          <w:tcPr>
            <w:tcW w:w="1134" w:type="dxa"/>
            <w:vAlign w:val="center"/>
          </w:tcPr>
          <w:p w14:paraId="2113393A" w14:textId="77777777" w:rsidR="00E579B9" w:rsidRDefault="006A1398">
            <w:pPr>
              <w:pStyle w:val="aa"/>
            </w:pPr>
            <w:r>
              <w:t>严格环评项目审批</w:t>
            </w:r>
          </w:p>
        </w:tc>
        <w:tc>
          <w:tcPr>
            <w:tcW w:w="2977" w:type="dxa"/>
            <w:vAlign w:val="center"/>
          </w:tcPr>
          <w:p w14:paraId="7987309F" w14:textId="77777777" w:rsidR="00E579B9" w:rsidRDefault="006A1398">
            <w:pPr>
              <w:pStyle w:val="aa"/>
            </w:pPr>
            <w:r>
              <w:t>严格环境准入，将二氧化硫、氮氧化物、烟粉尘、化学需氧量、氨氮和重金属等排放总量</w:t>
            </w:r>
            <w:r>
              <w:lastRenderedPageBreak/>
              <w:t>控制作为建设项目环评审批的前置条件。</w:t>
            </w:r>
          </w:p>
        </w:tc>
        <w:tc>
          <w:tcPr>
            <w:tcW w:w="3260" w:type="dxa"/>
            <w:vAlign w:val="center"/>
          </w:tcPr>
          <w:p w14:paraId="526139B3" w14:textId="77777777" w:rsidR="00E579B9" w:rsidRDefault="006A1398">
            <w:pPr>
              <w:pStyle w:val="aa"/>
            </w:pPr>
            <w:r>
              <w:lastRenderedPageBreak/>
              <w:t>本项目运营过程中主要产生的污染物为粉尘，因此，本项目不涉及总量控制指标。</w:t>
            </w:r>
          </w:p>
        </w:tc>
        <w:tc>
          <w:tcPr>
            <w:tcW w:w="787" w:type="dxa"/>
            <w:vAlign w:val="center"/>
          </w:tcPr>
          <w:p w14:paraId="76EF5E44" w14:textId="77777777" w:rsidR="00E579B9" w:rsidRDefault="006A1398">
            <w:pPr>
              <w:pStyle w:val="aa"/>
            </w:pPr>
            <w:r>
              <w:t>相符</w:t>
            </w:r>
          </w:p>
        </w:tc>
      </w:tr>
      <w:tr w:rsidR="00E579B9" w14:paraId="75A2D01E" w14:textId="77777777">
        <w:trPr>
          <w:jc w:val="center"/>
        </w:trPr>
        <w:tc>
          <w:tcPr>
            <w:tcW w:w="562" w:type="dxa"/>
            <w:vAlign w:val="center"/>
          </w:tcPr>
          <w:p w14:paraId="20776F94" w14:textId="77777777" w:rsidR="00E579B9" w:rsidRDefault="006A1398">
            <w:pPr>
              <w:pStyle w:val="aa"/>
            </w:pPr>
            <w:r>
              <w:rPr>
                <w:rFonts w:hint="eastAsia"/>
              </w:rPr>
              <w:t>2</w:t>
            </w:r>
          </w:p>
        </w:tc>
        <w:tc>
          <w:tcPr>
            <w:tcW w:w="1134" w:type="dxa"/>
            <w:vAlign w:val="center"/>
          </w:tcPr>
          <w:p w14:paraId="21004AF2" w14:textId="77777777" w:rsidR="00E579B9" w:rsidRDefault="006A1398">
            <w:pPr>
              <w:pStyle w:val="aa"/>
            </w:pPr>
            <w:r>
              <w:t>加强工业污染防治</w:t>
            </w:r>
          </w:p>
        </w:tc>
        <w:tc>
          <w:tcPr>
            <w:tcW w:w="2977" w:type="dxa"/>
            <w:vAlign w:val="center"/>
          </w:tcPr>
          <w:p w14:paraId="2347F903" w14:textId="77777777" w:rsidR="00E579B9" w:rsidRDefault="006A1398">
            <w:pPr>
              <w:pStyle w:val="aa"/>
            </w:pPr>
            <w:r>
              <w:t>开展非煤矿山粉尘专项治理。开展非煤矿山、石料加工企业粉尘专项整治，治理露天开采、石料加工、运输等环节产生的粉尘污染。</w:t>
            </w:r>
          </w:p>
        </w:tc>
        <w:tc>
          <w:tcPr>
            <w:tcW w:w="3260" w:type="dxa"/>
            <w:vAlign w:val="center"/>
          </w:tcPr>
          <w:p w14:paraId="1B28AC6D" w14:textId="77777777" w:rsidR="00E579B9" w:rsidRDefault="006A1398">
            <w:pPr>
              <w:pStyle w:val="aa"/>
            </w:pPr>
            <w:r>
              <w:t>本项目露天开采过程中采用钻孔湿式作业，运输道路硬化，矿区定期洒水，</w:t>
            </w:r>
            <w:r>
              <w:rPr>
                <w:rFonts w:cs="Times New Roman" w:hint="eastAsia"/>
                <w:kern w:val="0"/>
              </w:rPr>
              <w:t>表土场</w:t>
            </w:r>
            <w:r>
              <w:t>进行覆盖、洒水，可有效治理粉尘污染。</w:t>
            </w:r>
          </w:p>
        </w:tc>
        <w:tc>
          <w:tcPr>
            <w:tcW w:w="787" w:type="dxa"/>
            <w:vAlign w:val="center"/>
          </w:tcPr>
          <w:p w14:paraId="026B9E41" w14:textId="77777777" w:rsidR="00E579B9" w:rsidRDefault="006A1398">
            <w:pPr>
              <w:pStyle w:val="aa"/>
            </w:pPr>
            <w:r>
              <w:t>相符</w:t>
            </w:r>
          </w:p>
        </w:tc>
      </w:tr>
      <w:tr w:rsidR="00E579B9" w14:paraId="05392DD9" w14:textId="77777777">
        <w:trPr>
          <w:jc w:val="center"/>
        </w:trPr>
        <w:tc>
          <w:tcPr>
            <w:tcW w:w="562" w:type="dxa"/>
            <w:vAlign w:val="center"/>
          </w:tcPr>
          <w:p w14:paraId="02170B10" w14:textId="77777777" w:rsidR="00E579B9" w:rsidRDefault="006A1398">
            <w:pPr>
              <w:pStyle w:val="aa"/>
            </w:pPr>
            <w:r>
              <w:rPr>
                <w:rFonts w:hint="eastAsia"/>
              </w:rPr>
              <w:t>3</w:t>
            </w:r>
          </w:p>
        </w:tc>
        <w:tc>
          <w:tcPr>
            <w:tcW w:w="1134" w:type="dxa"/>
            <w:vAlign w:val="center"/>
          </w:tcPr>
          <w:p w14:paraId="4910081A" w14:textId="77777777" w:rsidR="00E579B9" w:rsidRDefault="006A1398">
            <w:pPr>
              <w:pStyle w:val="aa"/>
            </w:pPr>
            <w:r>
              <w:t>强化扬尘污染防治</w:t>
            </w:r>
          </w:p>
        </w:tc>
        <w:tc>
          <w:tcPr>
            <w:tcW w:w="2977" w:type="dxa"/>
            <w:vAlign w:val="center"/>
          </w:tcPr>
          <w:p w14:paraId="0713BC7F" w14:textId="77777777" w:rsidR="00E579B9" w:rsidRDefault="006A1398">
            <w:pPr>
              <w:pStyle w:val="aa"/>
            </w:pPr>
            <w:r>
              <w:t>严格控制施工扬尘污染，落实扬尘整治工作责任制。严格落实工地周边硬质密闭围挡、物料堆放覆盖或密闭储存、出入车辆冲洗、施工现场地面硬化保洁、建筑土方（工程渣土、建筑垃圾）密闭堆存和及时密闭清运、拆迁工地湿法作业等</w:t>
            </w:r>
            <w:r>
              <w:t>“</w:t>
            </w:r>
            <w:r>
              <w:rPr>
                <w:rFonts w:hint="eastAsia"/>
              </w:rPr>
              <w:t>八</w:t>
            </w:r>
            <w:r>
              <w:t>个百分百</w:t>
            </w:r>
            <w:r>
              <w:t>”</w:t>
            </w:r>
            <w:r>
              <w:t>扬尘防治要求。</w:t>
            </w:r>
          </w:p>
        </w:tc>
        <w:tc>
          <w:tcPr>
            <w:tcW w:w="3260" w:type="dxa"/>
            <w:vAlign w:val="center"/>
          </w:tcPr>
          <w:p w14:paraId="1B32FF99" w14:textId="77777777" w:rsidR="00E579B9" w:rsidRDefault="006A1398">
            <w:pPr>
              <w:pStyle w:val="aa"/>
            </w:pPr>
            <w:r>
              <w:t>本项目基建期工程量包括采准、运输道路。施工过程中周边进行</w:t>
            </w:r>
            <w:r>
              <w:t>100%</w:t>
            </w:r>
            <w:r>
              <w:t>围挡，物料堆放</w:t>
            </w:r>
            <w:r>
              <w:t>100%</w:t>
            </w:r>
            <w:r>
              <w:t>覆盖、土方开挖</w:t>
            </w:r>
            <w:r>
              <w:t>100%</w:t>
            </w:r>
            <w:r>
              <w:t>湿法作业、路面</w:t>
            </w:r>
            <w:r>
              <w:t>100%</w:t>
            </w:r>
            <w:r>
              <w:t>硬化、出入车辆</w:t>
            </w:r>
            <w:r>
              <w:t>100%</w:t>
            </w:r>
            <w:r>
              <w:t>清洗、渣土车辆</w:t>
            </w:r>
            <w:r>
              <w:t>100%</w:t>
            </w:r>
            <w:r>
              <w:t>密闭</w:t>
            </w:r>
            <w:r>
              <w:rPr>
                <w:rFonts w:hint="eastAsia"/>
              </w:rPr>
              <w:t>、扬尘监控</w:t>
            </w:r>
            <w:r>
              <w:rPr>
                <w:rFonts w:hint="eastAsia"/>
              </w:rPr>
              <w:t>100%</w:t>
            </w:r>
            <w:r>
              <w:rPr>
                <w:rFonts w:hint="eastAsia"/>
              </w:rPr>
              <w:t>安装、工地内非道路移动机械车辆</w:t>
            </w:r>
            <w:r>
              <w:rPr>
                <w:rFonts w:hint="eastAsia"/>
              </w:rPr>
              <w:t>100%</w:t>
            </w:r>
            <w:r>
              <w:rPr>
                <w:rFonts w:hint="eastAsia"/>
              </w:rPr>
              <w:t>达标</w:t>
            </w:r>
            <w:r>
              <w:t>。</w:t>
            </w:r>
          </w:p>
        </w:tc>
        <w:tc>
          <w:tcPr>
            <w:tcW w:w="787" w:type="dxa"/>
            <w:vAlign w:val="center"/>
          </w:tcPr>
          <w:p w14:paraId="0E84518C" w14:textId="77777777" w:rsidR="00E579B9" w:rsidRDefault="006A1398">
            <w:pPr>
              <w:pStyle w:val="aa"/>
            </w:pPr>
            <w:r>
              <w:t>相符</w:t>
            </w:r>
          </w:p>
        </w:tc>
      </w:tr>
      <w:tr w:rsidR="00E579B9" w14:paraId="114FF9CC" w14:textId="77777777">
        <w:trPr>
          <w:jc w:val="center"/>
        </w:trPr>
        <w:tc>
          <w:tcPr>
            <w:tcW w:w="562" w:type="dxa"/>
            <w:vAlign w:val="center"/>
          </w:tcPr>
          <w:p w14:paraId="7DA083F8" w14:textId="77777777" w:rsidR="00E579B9" w:rsidRDefault="006A1398">
            <w:pPr>
              <w:pStyle w:val="aa"/>
            </w:pPr>
            <w:r>
              <w:rPr>
                <w:rFonts w:hint="eastAsia"/>
              </w:rPr>
              <w:t>4</w:t>
            </w:r>
          </w:p>
        </w:tc>
        <w:tc>
          <w:tcPr>
            <w:tcW w:w="1134" w:type="dxa"/>
            <w:vAlign w:val="center"/>
          </w:tcPr>
          <w:p w14:paraId="11F3AC65" w14:textId="77777777" w:rsidR="00E579B9" w:rsidRDefault="006A1398">
            <w:pPr>
              <w:pStyle w:val="aa"/>
            </w:pPr>
            <w:r>
              <w:t>强化矿产资源开发的土壤环境监管。</w:t>
            </w:r>
          </w:p>
        </w:tc>
        <w:tc>
          <w:tcPr>
            <w:tcW w:w="2977" w:type="dxa"/>
            <w:vAlign w:val="center"/>
          </w:tcPr>
          <w:p w14:paraId="4C29565D" w14:textId="77777777" w:rsidR="00E579B9" w:rsidRDefault="006A1398">
            <w:pPr>
              <w:pStyle w:val="aa"/>
            </w:pPr>
            <w:r>
              <w:t>按照</w:t>
            </w:r>
            <w:r>
              <w:t>“</w:t>
            </w:r>
            <w:r>
              <w:t>一库一策</w:t>
            </w:r>
            <w:r>
              <w:t>”</w:t>
            </w:r>
            <w:r>
              <w:t>制定整治工作方案，有重点监管尾矿库的企业完成环境安全隐患排查和风险评估，完善污染治理设施，储备应急物资，按规定编制、报备环境应急预案。</w:t>
            </w:r>
          </w:p>
        </w:tc>
        <w:tc>
          <w:tcPr>
            <w:tcW w:w="3260" w:type="dxa"/>
            <w:vAlign w:val="center"/>
          </w:tcPr>
          <w:p w14:paraId="68E3060C" w14:textId="77777777" w:rsidR="00E579B9" w:rsidRDefault="006A1398">
            <w:pPr>
              <w:pStyle w:val="aa"/>
            </w:pPr>
            <w:r>
              <w:t>本项目无尾矿库，本次环评提出企业应编制环境风险应急预案，预案中将包含有效的环境风险防范及应急措施，并将其纳入区域环境风险应急联动机制。</w:t>
            </w:r>
          </w:p>
        </w:tc>
        <w:tc>
          <w:tcPr>
            <w:tcW w:w="787" w:type="dxa"/>
            <w:vAlign w:val="center"/>
          </w:tcPr>
          <w:p w14:paraId="686BF983" w14:textId="77777777" w:rsidR="00E579B9" w:rsidRDefault="006A1398">
            <w:pPr>
              <w:pStyle w:val="aa"/>
            </w:pPr>
            <w:r>
              <w:t>相符</w:t>
            </w:r>
          </w:p>
        </w:tc>
      </w:tr>
      <w:tr w:rsidR="00E579B9" w14:paraId="7A42B64B" w14:textId="77777777">
        <w:trPr>
          <w:jc w:val="center"/>
        </w:trPr>
        <w:tc>
          <w:tcPr>
            <w:tcW w:w="562" w:type="dxa"/>
            <w:vAlign w:val="center"/>
          </w:tcPr>
          <w:p w14:paraId="442ECD78" w14:textId="77777777" w:rsidR="00E579B9" w:rsidRDefault="006A1398">
            <w:pPr>
              <w:pStyle w:val="aa"/>
            </w:pPr>
            <w:r>
              <w:rPr>
                <w:rFonts w:hint="eastAsia"/>
              </w:rPr>
              <w:t>5</w:t>
            </w:r>
          </w:p>
        </w:tc>
        <w:tc>
          <w:tcPr>
            <w:tcW w:w="1134" w:type="dxa"/>
            <w:vAlign w:val="center"/>
          </w:tcPr>
          <w:p w14:paraId="528D3D93" w14:textId="77777777" w:rsidR="00E579B9" w:rsidRDefault="006A1398">
            <w:pPr>
              <w:pStyle w:val="aa"/>
            </w:pPr>
            <w:r>
              <w:t>防治工业企业噪声</w:t>
            </w:r>
          </w:p>
        </w:tc>
        <w:tc>
          <w:tcPr>
            <w:tcW w:w="2977" w:type="dxa"/>
            <w:vAlign w:val="center"/>
          </w:tcPr>
          <w:p w14:paraId="0F800719" w14:textId="77777777" w:rsidR="00E579B9" w:rsidRDefault="006A1398">
            <w:pPr>
              <w:pStyle w:val="aa"/>
            </w:pPr>
            <w:r>
              <w:t>严格执行声环境功能区划，对区域内工业企业合理布局，远离居民点、文教区等噪声敏感点。</w:t>
            </w:r>
          </w:p>
        </w:tc>
        <w:tc>
          <w:tcPr>
            <w:tcW w:w="3260" w:type="dxa"/>
            <w:vAlign w:val="center"/>
          </w:tcPr>
          <w:p w14:paraId="3D9D03A1" w14:textId="77777777" w:rsidR="00E579B9" w:rsidRDefault="006A1398">
            <w:pPr>
              <w:pStyle w:val="aa"/>
            </w:pPr>
            <w:r>
              <w:t>本项目所处声环境功能区属于</w:t>
            </w:r>
            <w:r>
              <w:t>“2</w:t>
            </w:r>
            <w:r>
              <w:t>类声环境功能区，本项目周围</w:t>
            </w:r>
            <w:r>
              <w:t>300m</w:t>
            </w:r>
            <w:r>
              <w:t>范围内不存在学校、医院、居民区等噪声敏感点</w:t>
            </w:r>
          </w:p>
        </w:tc>
        <w:tc>
          <w:tcPr>
            <w:tcW w:w="787" w:type="dxa"/>
            <w:vAlign w:val="center"/>
          </w:tcPr>
          <w:p w14:paraId="4BA0FE25" w14:textId="77777777" w:rsidR="00E579B9" w:rsidRDefault="006A1398">
            <w:pPr>
              <w:pStyle w:val="aa"/>
            </w:pPr>
            <w:r>
              <w:t>相符</w:t>
            </w:r>
          </w:p>
        </w:tc>
      </w:tr>
      <w:tr w:rsidR="00E579B9" w14:paraId="5ABFC08D" w14:textId="77777777">
        <w:trPr>
          <w:jc w:val="center"/>
        </w:trPr>
        <w:tc>
          <w:tcPr>
            <w:tcW w:w="562" w:type="dxa"/>
            <w:vAlign w:val="center"/>
          </w:tcPr>
          <w:p w14:paraId="6C5847D1" w14:textId="77777777" w:rsidR="00E579B9" w:rsidRDefault="006A1398">
            <w:pPr>
              <w:pStyle w:val="aa"/>
            </w:pPr>
            <w:r>
              <w:rPr>
                <w:rFonts w:hint="eastAsia"/>
              </w:rPr>
              <w:t>6</w:t>
            </w:r>
          </w:p>
        </w:tc>
        <w:tc>
          <w:tcPr>
            <w:tcW w:w="1134" w:type="dxa"/>
            <w:vAlign w:val="center"/>
          </w:tcPr>
          <w:p w14:paraId="11C7FE69" w14:textId="77777777" w:rsidR="00E579B9" w:rsidRDefault="006A1398">
            <w:pPr>
              <w:pStyle w:val="aa"/>
            </w:pPr>
            <w:r>
              <w:t>加强公众参与</w:t>
            </w:r>
          </w:p>
        </w:tc>
        <w:tc>
          <w:tcPr>
            <w:tcW w:w="2977" w:type="dxa"/>
            <w:vAlign w:val="center"/>
          </w:tcPr>
          <w:p w14:paraId="4077C1C2" w14:textId="77777777" w:rsidR="00E579B9" w:rsidRDefault="006A1398">
            <w:pPr>
              <w:pStyle w:val="aa"/>
            </w:pPr>
            <w:r>
              <w:t>建立公众参与环境管理决策的有效渠道和合理机制，鼓励公众对政府环保工作、企业排污行为进行监督。在建设项目立项、实施、后评价等环节建立沟通协商平台，听取公众意见</w:t>
            </w:r>
            <w:r>
              <w:lastRenderedPageBreak/>
              <w:t>和建议，保障公众环境知情权、参与权、监督权和表达权。</w:t>
            </w:r>
          </w:p>
        </w:tc>
        <w:tc>
          <w:tcPr>
            <w:tcW w:w="3260" w:type="dxa"/>
            <w:vAlign w:val="center"/>
          </w:tcPr>
          <w:p w14:paraId="4D51117B" w14:textId="77777777" w:rsidR="00E579B9" w:rsidRDefault="006A1398">
            <w:pPr>
              <w:pStyle w:val="aa"/>
            </w:pPr>
            <w:r>
              <w:lastRenderedPageBreak/>
              <w:t>本项目已经</w:t>
            </w:r>
            <w:r>
              <w:rPr>
                <w:rFonts w:hint="eastAsia"/>
              </w:rPr>
              <w:t>通过网站、报刊等方式</w:t>
            </w:r>
            <w:r>
              <w:t>进行了二次公示，周围公众</w:t>
            </w:r>
            <w:r>
              <w:t>100%</w:t>
            </w:r>
            <w:r>
              <w:rPr>
                <w:rFonts w:hint="eastAsia"/>
              </w:rPr>
              <w:t>不反对</w:t>
            </w:r>
            <w:r>
              <w:t>项目的建设，不存在群众反映强烈的问题。</w:t>
            </w:r>
          </w:p>
        </w:tc>
        <w:tc>
          <w:tcPr>
            <w:tcW w:w="787" w:type="dxa"/>
            <w:vAlign w:val="center"/>
          </w:tcPr>
          <w:p w14:paraId="3A188C00" w14:textId="77777777" w:rsidR="00E579B9" w:rsidRDefault="006A1398">
            <w:pPr>
              <w:pStyle w:val="aa"/>
            </w:pPr>
            <w:r>
              <w:t>相符</w:t>
            </w:r>
          </w:p>
        </w:tc>
      </w:tr>
    </w:tbl>
    <w:p w14:paraId="094AD84A" w14:textId="77777777" w:rsidR="00E579B9" w:rsidRDefault="006A1398">
      <w:r>
        <w:rPr>
          <w:rFonts w:hint="eastAsia"/>
        </w:rPr>
        <w:t>经分析比较，本项目建设符合《驻马店市“十三五”生态环境保护规划》（</w:t>
      </w:r>
      <w:r>
        <w:rPr>
          <w:rFonts w:hint="eastAsia"/>
        </w:rPr>
        <w:t>2016-2020</w:t>
      </w:r>
      <w:r>
        <w:rPr>
          <w:rFonts w:hint="eastAsia"/>
        </w:rPr>
        <w:t>年）相关要求。</w:t>
      </w:r>
    </w:p>
    <w:p w14:paraId="1758340D" w14:textId="77777777" w:rsidR="00E579B9" w:rsidRDefault="006A1398">
      <w:pPr>
        <w:pStyle w:val="2"/>
        <w:ind w:firstLine="560"/>
      </w:pPr>
      <w:bookmarkStart w:id="493" w:name="_Toc33021835"/>
      <w:r>
        <w:rPr>
          <w:rFonts w:hint="eastAsia"/>
        </w:rPr>
        <w:t>10.3</w:t>
      </w:r>
      <w:r>
        <w:rPr>
          <w:rFonts w:hint="eastAsia"/>
        </w:rPr>
        <w:t>总量</w:t>
      </w:r>
      <w:r>
        <w:t>控制</w:t>
      </w:r>
      <w:bookmarkEnd w:id="493"/>
    </w:p>
    <w:p w14:paraId="2DD18DCC" w14:textId="77777777" w:rsidR="00E579B9" w:rsidRDefault="006A1398">
      <w:r>
        <w:rPr>
          <w:rFonts w:hint="eastAsia"/>
        </w:rPr>
        <w:t>本次评价依据《建设项目主要污染物排放总量指标审核及管理办法》（环发</w:t>
      </w:r>
      <w:r>
        <w:t>[2014]197</w:t>
      </w:r>
      <w:r>
        <w:rPr>
          <w:rFonts w:hint="eastAsia"/>
          <w:spacing w:val="-2"/>
        </w:rPr>
        <w:t>号）和《河南省环境保护厅关于贯彻落实建设项目主要污染物排放总量指标审核及管理</w:t>
      </w:r>
      <w:r>
        <w:rPr>
          <w:rFonts w:hint="eastAsia"/>
        </w:rPr>
        <w:t>暂行办法的通知》（豫环文</w:t>
      </w:r>
      <w:r>
        <w:t>[2015]18</w:t>
      </w:r>
      <w:r>
        <w:rPr>
          <w:rFonts w:hint="eastAsia"/>
        </w:rPr>
        <w:t>号）等文件的相关要求，对本项目进行总量控制分析。</w:t>
      </w:r>
    </w:p>
    <w:p w14:paraId="5B3991FD" w14:textId="0D9EDDBB" w:rsidR="00E579B9" w:rsidRPr="0007525E" w:rsidRDefault="006A1398">
      <w:pPr>
        <w:ind w:firstLine="472"/>
        <w:rPr>
          <w:color w:val="FF0000"/>
        </w:rPr>
      </w:pPr>
      <w:r w:rsidRPr="002B5221">
        <w:rPr>
          <w:rFonts w:hint="eastAsia"/>
          <w:spacing w:val="-2"/>
        </w:rPr>
        <w:t>本项目生产过程中废气污染源主要为钻孔、爆破等作业产生的粉尘，排土场、废石</w:t>
      </w:r>
      <w:r w:rsidRPr="002B5221">
        <w:rPr>
          <w:rFonts w:hint="eastAsia"/>
        </w:rPr>
        <w:t>场风蚀扬尘，车辆运输扬尘等，</w:t>
      </w:r>
      <w:r w:rsidR="0007525E" w:rsidRPr="002B5221">
        <w:rPr>
          <w:rFonts w:hint="eastAsia"/>
        </w:rPr>
        <w:t>主要为无组织排放粉尘；破碎筛分粉尘经袋式除尘器处理后通过</w:t>
      </w:r>
      <w:r w:rsidR="0007525E" w:rsidRPr="002B5221">
        <w:rPr>
          <w:rFonts w:hint="eastAsia"/>
        </w:rPr>
        <w:t>15</w:t>
      </w:r>
      <w:r w:rsidR="0007525E" w:rsidRPr="002B5221">
        <w:rPr>
          <w:rFonts w:hint="eastAsia"/>
        </w:rPr>
        <w:t>米高排气筒排放，本项目颗粒物排放量为</w:t>
      </w:r>
      <w:r w:rsidR="0007525E" w:rsidRPr="002B5221">
        <w:rPr>
          <w:rFonts w:hint="eastAsia"/>
        </w:rPr>
        <w:t>3.6224</w:t>
      </w:r>
      <w:r w:rsidR="0007525E" w:rsidRPr="002B5221">
        <w:t>t/a</w:t>
      </w:r>
      <w:r w:rsidR="0007525E" w:rsidRPr="002B5221">
        <w:rPr>
          <w:rFonts w:hint="eastAsia"/>
        </w:rPr>
        <w:t>。</w:t>
      </w:r>
    </w:p>
    <w:p w14:paraId="5994D054" w14:textId="77777777" w:rsidR="00E579B9" w:rsidRDefault="006A1398">
      <w:pPr>
        <w:ind w:firstLine="472"/>
      </w:pPr>
      <w:r>
        <w:rPr>
          <w:rFonts w:hint="eastAsia"/>
          <w:spacing w:val="-2"/>
        </w:rPr>
        <w:t>工程投运后产生的废水主要为生活污水，</w:t>
      </w:r>
      <w:r>
        <w:rPr>
          <w:rFonts w:hint="eastAsia"/>
        </w:rPr>
        <w:t>生活污水经厂区内</w:t>
      </w:r>
      <w:r>
        <w:rPr>
          <w:rFonts w:hint="eastAsia"/>
        </w:rPr>
        <w:t>8m</w:t>
      </w:r>
      <w:r>
        <w:rPr>
          <w:rFonts w:hint="eastAsia"/>
          <w:vertAlign w:val="superscript"/>
        </w:rPr>
        <w:t>3</w:t>
      </w:r>
      <w:r>
        <w:rPr>
          <w:rFonts w:hint="eastAsia"/>
        </w:rPr>
        <w:t>一体化污水处理设施处理后用于厂区洒水降尘，不外排，旱厕粪污由附近村民拉走用于肥田。</w:t>
      </w:r>
      <w:r>
        <w:rPr>
          <w:rFonts w:hint="eastAsia"/>
          <w:spacing w:val="-2"/>
        </w:rPr>
        <w:t>投运后各类废水均可实现循</w:t>
      </w:r>
      <w:r>
        <w:rPr>
          <w:rFonts w:hint="eastAsia"/>
        </w:rPr>
        <w:t>环及回用，不外排。</w:t>
      </w:r>
    </w:p>
    <w:p w14:paraId="3D09090C" w14:textId="77777777" w:rsidR="00E579B9" w:rsidRDefault="006A1398">
      <w:pPr>
        <w:rPr>
          <w:szCs w:val="24"/>
        </w:rPr>
      </w:pPr>
      <w:r>
        <w:rPr>
          <w:rFonts w:hint="eastAsia"/>
          <w:szCs w:val="24"/>
        </w:rPr>
        <w:t>根据</w:t>
      </w:r>
      <w:r>
        <w:rPr>
          <w:szCs w:val="24"/>
        </w:rPr>
        <w:t>“</w:t>
      </w:r>
      <w:r>
        <w:rPr>
          <w:rFonts w:hint="eastAsia"/>
          <w:szCs w:val="24"/>
        </w:rPr>
        <w:t>环发</w:t>
      </w:r>
      <w:r>
        <w:rPr>
          <w:szCs w:val="24"/>
        </w:rPr>
        <w:t>[2014]197</w:t>
      </w:r>
      <w:r>
        <w:rPr>
          <w:rFonts w:hint="eastAsia"/>
          <w:spacing w:val="2"/>
          <w:szCs w:val="24"/>
        </w:rPr>
        <w:t>号</w:t>
      </w:r>
      <w:r>
        <w:rPr>
          <w:spacing w:val="2"/>
          <w:szCs w:val="24"/>
        </w:rPr>
        <w:t>”</w:t>
      </w:r>
      <w:r>
        <w:rPr>
          <w:rFonts w:hint="eastAsia"/>
          <w:spacing w:val="2"/>
          <w:szCs w:val="24"/>
        </w:rPr>
        <w:t>及</w:t>
      </w:r>
      <w:r>
        <w:rPr>
          <w:spacing w:val="2"/>
          <w:szCs w:val="24"/>
        </w:rPr>
        <w:t>“</w:t>
      </w:r>
      <w:r>
        <w:rPr>
          <w:rFonts w:hint="eastAsia"/>
          <w:spacing w:val="2"/>
          <w:szCs w:val="24"/>
        </w:rPr>
        <w:t>豫环文</w:t>
      </w:r>
      <w:r>
        <w:rPr>
          <w:spacing w:val="2"/>
          <w:szCs w:val="24"/>
        </w:rPr>
        <w:t>[2015]18</w:t>
      </w:r>
      <w:r>
        <w:rPr>
          <w:rFonts w:hint="eastAsia"/>
          <w:spacing w:val="4"/>
          <w:szCs w:val="24"/>
        </w:rPr>
        <w:t>号</w:t>
      </w:r>
      <w:r>
        <w:rPr>
          <w:spacing w:val="4"/>
          <w:szCs w:val="24"/>
        </w:rPr>
        <w:t>”</w:t>
      </w:r>
      <w:r>
        <w:rPr>
          <w:rFonts w:hint="eastAsia"/>
          <w:spacing w:val="4"/>
          <w:szCs w:val="24"/>
        </w:rPr>
        <w:t>，本项目纳入总量控制的污染物为</w:t>
      </w:r>
      <w:r>
        <w:rPr>
          <w:szCs w:val="24"/>
        </w:rPr>
        <w:t>COD</w:t>
      </w:r>
      <w:r>
        <w:rPr>
          <w:rFonts w:hint="eastAsia"/>
          <w:szCs w:val="24"/>
        </w:rPr>
        <w:t>、氨氮。</w:t>
      </w:r>
    </w:p>
    <w:p w14:paraId="1EACE5BB" w14:textId="77777777" w:rsidR="00E579B9" w:rsidRDefault="006A1398">
      <w:pPr>
        <w:rPr>
          <w:rFonts w:ascii="Calibri" w:hAnsi="Calibri" w:cs="Times New Roman"/>
          <w:kern w:val="0"/>
          <w:szCs w:val="24"/>
        </w:rPr>
      </w:pPr>
      <w:r>
        <w:rPr>
          <w:rFonts w:ascii="宋体" w:hAnsi="宋体" w:cs="Times New Roman"/>
          <w:kern w:val="0"/>
          <w:szCs w:val="24"/>
        </w:rPr>
        <w:t>综上所述，本项目全厂推荐总量控制指标为</w:t>
      </w:r>
      <w:r>
        <w:rPr>
          <w:szCs w:val="24"/>
        </w:rPr>
        <w:t>COD</w:t>
      </w:r>
      <w:r>
        <w:rPr>
          <w:rFonts w:hint="eastAsia"/>
          <w:szCs w:val="24"/>
        </w:rPr>
        <w:t>：</w:t>
      </w:r>
      <w:r>
        <w:rPr>
          <w:rFonts w:hint="eastAsia"/>
          <w:szCs w:val="24"/>
        </w:rPr>
        <w:t>0</w:t>
      </w:r>
      <w:r>
        <w:rPr>
          <w:szCs w:val="24"/>
        </w:rPr>
        <w:t>t/a</w:t>
      </w:r>
      <w:r>
        <w:rPr>
          <w:rFonts w:hint="eastAsia"/>
          <w:szCs w:val="24"/>
        </w:rPr>
        <w:t>、氨氮：</w:t>
      </w:r>
      <w:r>
        <w:rPr>
          <w:rFonts w:hint="eastAsia"/>
          <w:szCs w:val="24"/>
        </w:rPr>
        <w:t>0</w:t>
      </w:r>
      <w:r>
        <w:rPr>
          <w:szCs w:val="24"/>
        </w:rPr>
        <w:t>t/a</w:t>
      </w:r>
      <w:r>
        <w:rPr>
          <w:rFonts w:hint="eastAsia"/>
          <w:szCs w:val="24"/>
        </w:rPr>
        <w:t>。</w:t>
      </w:r>
    </w:p>
    <w:p w14:paraId="69F5FEA3" w14:textId="77777777" w:rsidR="00E579B9" w:rsidRDefault="00E579B9">
      <w:pPr>
        <w:ind w:firstLineChars="0" w:firstLine="0"/>
        <w:sectPr w:rsidR="00E579B9">
          <w:pgSz w:w="11906" w:h="16838"/>
          <w:pgMar w:top="1701" w:right="1588" w:bottom="1985" w:left="1588" w:header="1077" w:footer="850" w:gutter="227"/>
          <w:cols w:space="425"/>
          <w:docGrid w:type="lines" w:linePitch="312"/>
        </w:sectPr>
      </w:pPr>
    </w:p>
    <w:p w14:paraId="1D36ACE7" w14:textId="77777777" w:rsidR="00E579B9" w:rsidRDefault="00E579B9">
      <w:pPr>
        <w:ind w:firstLineChars="0" w:firstLine="0"/>
      </w:pPr>
    </w:p>
    <w:p w14:paraId="5593CCCB" w14:textId="77777777" w:rsidR="00E579B9" w:rsidRDefault="006A1398">
      <w:pPr>
        <w:pStyle w:val="1"/>
      </w:pPr>
      <w:bookmarkStart w:id="494" w:name="_Toc33021836"/>
      <w:r>
        <w:t>第十</w:t>
      </w:r>
      <w:r>
        <w:rPr>
          <w:rFonts w:hint="eastAsia"/>
        </w:rPr>
        <w:t>一</w:t>
      </w:r>
      <w:r>
        <w:t>章评价结论与建议</w:t>
      </w:r>
      <w:bookmarkEnd w:id="486"/>
      <w:bookmarkEnd w:id="487"/>
      <w:bookmarkEnd w:id="488"/>
      <w:bookmarkEnd w:id="494"/>
    </w:p>
    <w:p w14:paraId="22246E66" w14:textId="77777777" w:rsidR="00E579B9" w:rsidRDefault="006A1398">
      <w:pPr>
        <w:pStyle w:val="2"/>
        <w:ind w:firstLine="560"/>
      </w:pPr>
      <w:bookmarkStart w:id="495" w:name="_Toc335031002"/>
      <w:bookmarkStart w:id="496" w:name="_Toc25615"/>
      <w:bookmarkStart w:id="497" w:name="_Toc531939431"/>
      <w:bookmarkStart w:id="498" w:name="_Toc33021837"/>
      <w:r>
        <w:t>11.1</w:t>
      </w:r>
      <w:r>
        <w:t>评价结论</w:t>
      </w:r>
      <w:bookmarkEnd w:id="495"/>
      <w:bookmarkEnd w:id="496"/>
      <w:bookmarkEnd w:id="497"/>
      <w:bookmarkEnd w:id="498"/>
    </w:p>
    <w:p w14:paraId="6AAC130C" w14:textId="77777777" w:rsidR="00E579B9" w:rsidRDefault="006A1398">
      <w:pPr>
        <w:pStyle w:val="3"/>
        <w:ind w:firstLine="560"/>
      </w:pPr>
      <w:r>
        <w:t>11.1.1</w:t>
      </w:r>
      <w:r>
        <w:rPr>
          <w:rFonts w:hint="eastAsia"/>
        </w:rPr>
        <w:t>项目概况</w:t>
      </w:r>
    </w:p>
    <w:p w14:paraId="6663A4F3" w14:textId="77777777" w:rsidR="00E579B9" w:rsidRDefault="006A1398">
      <w:r>
        <w:rPr>
          <w:rFonts w:hint="eastAsia"/>
        </w:rPr>
        <w:t>项目名称：驻马店市驿城区李尧建筑用大理岩矿开采项目（简称“本项目”）</w:t>
      </w:r>
    </w:p>
    <w:p w14:paraId="17BBE635" w14:textId="77777777" w:rsidR="00E579B9" w:rsidRDefault="006A1398">
      <w:r>
        <w:rPr>
          <w:rFonts w:hint="eastAsia"/>
        </w:rPr>
        <w:t>建设单位：马店市驿城区丰鑫矿业有限公司</w:t>
      </w:r>
    </w:p>
    <w:p w14:paraId="1E7B3042" w14:textId="77777777" w:rsidR="00E579B9" w:rsidRDefault="006A1398">
      <w:r>
        <w:rPr>
          <w:rFonts w:hint="eastAsia"/>
        </w:rPr>
        <w:t>建设地点：</w:t>
      </w:r>
      <w:r>
        <w:rPr>
          <w:rFonts w:cs="Times New Roman"/>
        </w:rPr>
        <w:t>驻马店市驿城区沙河店镇赵尧村李庄组</w:t>
      </w:r>
    </w:p>
    <w:p w14:paraId="76F725DF" w14:textId="62BC314B" w:rsidR="00E579B9" w:rsidRDefault="006A1398">
      <w:r>
        <w:rPr>
          <w:rFonts w:hint="eastAsia"/>
        </w:rPr>
        <w:t>建设性质：</w:t>
      </w:r>
      <w:r w:rsidR="001737C7">
        <w:rPr>
          <w:rFonts w:hint="eastAsia"/>
        </w:rPr>
        <w:t>资源整合</w:t>
      </w:r>
    </w:p>
    <w:p w14:paraId="0274CA4F" w14:textId="77777777" w:rsidR="00E579B9" w:rsidRDefault="006A1398">
      <w:r>
        <w:t>建设规模：年开采</w:t>
      </w:r>
      <w:r>
        <w:rPr>
          <w:rFonts w:hint="eastAsia"/>
        </w:rPr>
        <w:t>大理岩</w:t>
      </w:r>
      <w:r>
        <w:t>矿石</w:t>
      </w:r>
      <w:r>
        <w:t>230</w:t>
      </w:r>
      <w:r>
        <w:rPr>
          <w:rFonts w:hint="eastAsia"/>
        </w:rPr>
        <w:t>万</w:t>
      </w:r>
      <w:r>
        <w:t>t</w:t>
      </w:r>
    </w:p>
    <w:p w14:paraId="5581FA8F" w14:textId="77777777" w:rsidR="00E579B9" w:rsidRDefault="006A1398">
      <w:r>
        <w:t>项目投资：项目总投资</w:t>
      </w:r>
      <w:r>
        <w:t>5000</w:t>
      </w:r>
      <w:r>
        <w:t>万元</w:t>
      </w:r>
    </w:p>
    <w:p w14:paraId="76763330" w14:textId="77777777" w:rsidR="00E579B9" w:rsidRDefault="006A1398">
      <w:r>
        <w:rPr>
          <w:rFonts w:hint="eastAsia"/>
        </w:rPr>
        <w:t>环保投资：</w:t>
      </w:r>
      <w:r>
        <w:t>509</w:t>
      </w:r>
      <w:r>
        <w:rPr>
          <w:rFonts w:hint="eastAsia"/>
        </w:rPr>
        <w:t>万元，占总投资的</w:t>
      </w:r>
      <w:r>
        <w:t>10.18%</w:t>
      </w:r>
    </w:p>
    <w:p w14:paraId="2F96B738" w14:textId="77777777" w:rsidR="00E579B9" w:rsidRDefault="006A1398">
      <w:r>
        <w:t>矿区面积：</w:t>
      </w:r>
      <w:r>
        <w:t>0.2965</w:t>
      </w:r>
      <w:r>
        <w:rPr>
          <w:rFonts w:hint="eastAsia"/>
        </w:rPr>
        <w:t>km</w:t>
      </w:r>
      <w:r>
        <w:rPr>
          <w:rFonts w:hint="eastAsia"/>
          <w:vertAlign w:val="superscript"/>
        </w:rPr>
        <w:t>2</w:t>
      </w:r>
    </w:p>
    <w:p w14:paraId="43FF9FB5" w14:textId="77777777" w:rsidR="00E579B9" w:rsidRDefault="006A1398">
      <w:r>
        <w:t>服务年限：</w:t>
      </w:r>
      <w:r>
        <w:t>9.5</w:t>
      </w:r>
      <w:r>
        <w:t>年（含</w:t>
      </w:r>
      <w:r>
        <w:t>0.5</w:t>
      </w:r>
      <w:r>
        <w:t>年基建期）</w:t>
      </w:r>
    </w:p>
    <w:p w14:paraId="409EBDB8" w14:textId="77777777" w:rsidR="00E579B9" w:rsidRDefault="006A1398">
      <w:pPr>
        <w:pStyle w:val="3"/>
        <w:ind w:firstLine="560"/>
      </w:pPr>
      <w:bookmarkStart w:id="499" w:name="_Toc4627"/>
      <w:bookmarkStart w:id="500" w:name="_Toc531939432"/>
      <w:r>
        <w:t>11.1.2</w:t>
      </w:r>
      <w:bookmarkEnd w:id="499"/>
      <w:r>
        <w:rPr>
          <w:rFonts w:hint="eastAsia"/>
        </w:rPr>
        <w:t>产业政策和相关规划相符性</w:t>
      </w:r>
      <w:bookmarkEnd w:id="500"/>
    </w:p>
    <w:p w14:paraId="24E102F4" w14:textId="77777777" w:rsidR="00E579B9" w:rsidRDefault="006A1398">
      <w:r>
        <w:t>本项目属于非金属矿山开采</w:t>
      </w:r>
      <w:r>
        <w:rPr>
          <w:rFonts w:hint="eastAsia"/>
        </w:rPr>
        <w:t>加工</w:t>
      </w:r>
      <w:r>
        <w:t>项目，矿山开采及配套的主要生产设备不属于《产业结构调整指导目录（</w:t>
      </w:r>
      <w:r>
        <w:t>2011</w:t>
      </w:r>
      <w:r>
        <w:t>年本）</w:t>
      </w:r>
      <w:r>
        <w:rPr>
          <w:rFonts w:hint="eastAsia"/>
        </w:rPr>
        <w:t>（修正）</w:t>
      </w:r>
      <w:r>
        <w:t>》中限制、淘汰类，属允许建设项目。</w:t>
      </w:r>
    </w:p>
    <w:p w14:paraId="673B0C93" w14:textId="77777777" w:rsidR="00E579B9" w:rsidRDefault="006A1398">
      <w:r>
        <w:t>本项目为</w:t>
      </w:r>
      <w:r>
        <w:rPr>
          <w:rFonts w:hint="eastAsia"/>
        </w:rPr>
        <w:t>建筑用</w:t>
      </w:r>
      <w:r>
        <w:t>大理岩矿，设计规模为</w:t>
      </w:r>
      <w:r>
        <w:t>230</w:t>
      </w:r>
      <w:r>
        <w:rPr>
          <w:rFonts w:hint="eastAsia"/>
        </w:rPr>
        <w:t>万</w:t>
      </w:r>
      <w:r>
        <w:t>t/a</w:t>
      </w:r>
      <w:r>
        <w:t>，符合《河南省矿产资源勘查开发整合总体方案》矿山最低开采规模要求。</w:t>
      </w:r>
    </w:p>
    <w:p w14:paraId="5F5E5D9C" w14:textId="77777777" w:rsidR="00E579B9" w:rsidRDefault="006A1398">
      <w:r>
        <w:rPr>
          <w:rFonts w:hint="eastAsia"/>
        </w:rPr>
        <w:t>本项目符合国家和省生态保护相关的法律法规要求；不在《河南省矿产资源总体规划》（</w:t>
      </w:r>
      <w:r>
        <w:t>2016-2020</w:t>
      </w:r>
      <w:r>
        <w:rPr>
          <w:rFonts w:hint="eastAsia"/>
        </w:rPr>
        <w:t>年）确定的重点矿区、禁止开采区和限制开采区内；根据矿区资源储量和开采实际情况，本项目属于大型矿山。符合《河南省矿产资源总体规划》（</w:t>
      </w:r>
      <w:r>
        <w:t>2016-2020</w:t>
      </w:r>
      <w:r>
        <w:rPr>
          <w:rFonts w:hint="eastAsia"/>
        </w:rPr>
        <w:t>年）的总体要求。</w:t>
      </w:r>
    </w:p>
    <w:p w14:paraId="423A0D54" w14:textId="77777777" w:rsidR="00E579B9" w:rsidRDefault="006A1398">
      <w:r>
        <w:rPr>
          <w:rFonts w:hint="eastAsia"/>
        </w:rPr>
        <w:t>本项目建设符合《河南省矿产资源总体规划（</w:t>
      </w:r>
      <w:r>
        <w:rPr>
          <w:rFonts w:hint="eastAsia"/>
        </w:rPr>
        <w:t>2016-2020</w:t>
      </w:r>
      <w:r>
        <w:rPr>
          <w:rFonts w:hint="eastAsia"/>
        </w:rPr>
        <w:t>年）环境影响报告书》的相关要求。</w:t>
      </w:r>
    </w:p>
    <w:p w14:paraId="481E1952" w14:textId="77777777" w:rsidR="00E579B9" w:rsidRDefault="006A1398">
      <w:pPr>
        <w:pStyle w:val="3"/>
        <w:ind w:firstLine="560"/>
      </w:pPr>
      <w:bookmarkStart w:id="501" w:name="_Toc16769"/>
      <w:bookmarkStart w:id="502" w:name="_Toc531939433"/>
      <w:r>
        <w:lastRenderedPageBreak/>
        <w:t>11.1.3</w:t>
      </w:r>
      <w:r>
        <w:t>区域环境质量现状</w:t>
      </w:r>
      <w:bookmarkEnd w:id="501"/>
      <w:bookmarkEnd w:id="502"/>
    </w:p>
    <w:p w14:paraId="45BE3568" w14:textId="77777777" w:rsidR="00E579B9" w:rsidRDefault="006A1398">
      <w:r>
        <w:rPr>
          <w:rFonts w:hint="eastAsia"/>
        </w:rPr>
        <w:t>1</w:t>
      </w:r>
      <w:r>
        <w:rPr>
          <w:rFonts w:hint="eastAsia"/>
        </w:rPr>
        <w:t>、</w:t>
      </w:r>
      <w:r>
        <w:t>环境空气质量现状</w:t>
      </w:r>
    </w:p>
    <w:p w14:paraId="2D13AFB9" w14:textId="77777777" w:rsidR="00E579B9" w:rsidRDefault="006A1398">
      <w:r>
        <w:rPr>
          <w:rFonts w:hint="eastAsia"/>
        </w:rPr>
        <w:t>本次评价采用驻马店市生态环境局公布的《</w:t>
      </w:r>
      <w:r>
        <w:rPr>
          <w:rFonts w:hint="eastAsia"/>
        </w:rPr>
        <w:t>2018</w:t>
      </w:r>
      <w:r>
        <w:rPr>
          <w:rFonts w:hint="eastAsia"/>
        </w:rPr>
        <w:t>年度河南省驻马店市环境质量报告概要》，根据该概要，</w:t>
      </w:r>
      <w:r>
        <w:t>201</w:t>
      </w:r>
      <w:r>
        <w:rPr>
          <w:rFonts w:hint="eastAsia"/>
        </w:rPr>
        <w:t>8</w:t>
      </w:r>
      <w:r>
        <w:t>年</w:t>
      </w:r>
      <w:r>
        <w:rPr>
          <w:rFonts w:hint="eastAsia"/>
        </w:rPr>
        <w:t>驻马店市大气环境质量中</w:t>
      </w:r>
      <w:r>
        <w:t>SO</w:t>
      </w:r>
      <w:r>
        <w:rPr>
          <w:vertAlign w:val="subscript"/>
        </w:rPr>
        <w:t>2</w:t>
      </w:r>
      <w:r>
        <w:t>、</w:t>
      </w:r>
      <w:r>
        <w:t>NO</w:t>
      </w:r>
      <w:r>
        <w:rPr>
          <w:vertAlign w:val="subscript"/>
        </w:rPr>
        <w:t>2</w:t>
      </w:r>
      <w:r>
        <w:t>、</w:t>
      </w:r>
      <w:r>
        <w:t>CO</w:t>
      </w:r>
      <w:r>
        <w:t>满足《环境空气质量标准》（</w:t>
      </w:r>
      <w:r>
        <w:t>GB3095-2012</w:t>
      </w:r>
      <w:r>
        <w:t>）二级标准</w:t>
      </w:r>
      <w:r>
        <w:rPr>
          <w:rFonts w:hint="eastAsia"/>
        </w:rPr>
        <w:t>限值要求</w:t>
      </w:r>
      <w:r>
        <w:t>，</w:t>
      </w:r>
      <w:r>
        <w:t>PM</w:t>
      </w:r>
      <w:r>
        <w:rPr>
          <w:vertAlign w:val="subscript"/>
        </w:rPr>
        <w:t>2.5</w:t>
      </w:r>
      <w:r>
        <w:t>、</w:t>
      </w:r>
      <w:r>
        <w:t>PM</w:t>
      </w:r>
      <w:r>
        <w:rPr>
          <w:vertAlign w:val="subscript"/>
        </w:rPr>
        <w:t>10</w:t>
      </w:r>
      <w:r>
        <w:t>、</w:t>
      </w:r>
      <w:r>
        <w:t>O</w:t>
      </w:r>
      <w:r>
        <w:rPr>
          <w:vertAlign w:val="subscript"/>
        </w:rPr>
        <w:t>3</w:t>
      </w:r>
      <w:r>
        <w:rPr>
          <w:rFonts w:hint="eastAsia"/>
        </w:rPr>
        <w:t>不满足标准要求</w:t>
      </w:r>
      <w:r>
        <w:t>。</w:t>
      </w:r>
      <w:r>
        <w:rPr>
          <w:rFonts w:hint="eastAsia"/>
        </w:rPr>
        <w:t>因此，判断项目所在区域属于不达标区。</w:t>
      </w:r>
    </w:p>
    <w:p w14:paraId="674916FC" w14:textId="77777777" w:rsidR="00E579B9" w:rsidRDefault="006A1398">
      <w:pPr>
        <w:widowControl w:val="0"/>
        <w:spacing w:line="520" w:lineRule="exact"/>
        <w:jc w:val="both"/>
        <w:rPr>
          <w:rFonts w:cs="Times New Roman"/>
          <w:szCs w:val="24"/>
        </w:rPr>
      </w:pPr>
      <w:bookmarkStart w:id="503" w:name="_Toc180680659"/>
      <w:bookmarkStart w:id="504" w:name="_Toc181089389"/>
      <w:bookmarkStart w:id="505" w:name="_Toc181088983"/>
      <w:bookmarkStart w:id="506" w:name="_Toc181090668"/>
      <w:bookmarkStart w:id="507" w:name="_Toc183091617"/>
      <w:bookmarkStart w:id="508" w:name="_Toc187038868"/>
      <w:bookmarkEnd w:id="503"/>
      <w:bookmarkEnd w:id="504"/>
      <w:bookmarkEnd w:id="505"/>
      <w:bookmarkEnd w:id="506"/>
      <w:bookmarkEnd w:id="507"/>
      <w:r>
        <w:rPr>
          <w:rFonts w:cs="Times New Roman"/>
          <w:szCs w:val="24"/>
        </w:rPr>
        <w:t>2</w:t>
      </w:r>
      <w:r>
        <w:rPr>
          <w:rFonts w:ascii="宋体" w:hAnsi="宋体" w:cs="Times New Roman"/>
          <w:szCs w:val="24"/>
        </w:rPr>
        <w:t>、地表水环境质量现状</w:t>
      </w:r>
      <w:bookmarkEnd w:id="508"/>
    </w:p>
    <w:p w14:paraId="7A03A606" w14:textId="77777777" w:rsidR="00E579B9" w:rsidRDefault="006A1398">
      <w:r>
        <w:t>本次地表水环境质量现状评价监测数据引用驻马店市环境保护局</w:t>
      </w:r>
      <w:r>
        <w:t>2018</w:t>
      </w:r>
      <w:r>
        <w:t>年</w:t>
      </w:r>
      <w:r>
        <w:rPr>
          <w:rFonts w:hint="eastAsia"/>
        </w:rPr>
        <w:t>十</w:t>
      </w:r>
      <w:r>
        <w:t>月份至</w:t>
      </w:r>
      <w:r>
        <w:t>2019</w:t>
      </w:r>
      <w:r>
        <w:t>年</w:t>
      </w:r>
      <w:r>
        <w:rPr>
          <w:rFonts w:hint="eastAsia"/>
        </w:rPr>
        <w:t>十</w:t>
      </w:r>
      <w:r>
        <w:t>月份全市地表水责任目标断面及饮用水源水质状况公示表中</w:t>
      </w:r>
      <w:r>
        <w:rPr>
          <w:rFonts w:hint="eastAsia"/>
        </w:rPr>
        <w:t>汝河</w:t>
      </w:r>
      <w:r>
        <w:t>板桥水库监测值</w:t>
      </w:r>
      <w:r>
        <w:rPr>
          <w:rFonts w:hint="eastAsia"/>
        </w:rPr>
        <w:t>，</w:t>
      </w:r>
      <w:r>
        <w:rPr>
          <w:rFonts w:ascii="宋体" w:hAnsi="宋体" w:cs="Times New Roman"/>
          <w:szCs w:val="24"/>
        </w:rPr>
        <w:t>地表水水质可满足《地表水环境质量标准》（</w:t>
      </w:r>
      <w:r>
        <w:rPr>
          <w:rFonts w:cs="Times New Roman"/>
          <w:szCs w:val="24"/>
        </w:rPr>
        <w:t>GB3838-2002</w:t>
      </w:r>
      <w:r>
        <w:rPr>
          <w:rFonts w:ascii="宋体" w:hAnsi="宋体" w:cs="Times New Roman"/>
          <w:szCs w:val="24"/>
        </w:rPr>
        <w:t>）中</w:t>
      </w:r>
      <w:r>
        <w:rPr>
          <w:rFonts w:cs="Times New Roman"/>
          <w:szCs w:val="24"/>
        </w:rPr>
        <w:t>III</w:t>
      </w:r>
      <w:r>
        <w:rPr>
          <w:rFonts w:ascii="宋体" w:hAnsi="宋体" w:cs="Times New Roman"/>
          <w:szCs w:val="24"/>
        </w:rPr>
        <w:t>类标准要求。表明区域地表水水质良好。</w:t>
      </w:r>
    </w:p>
    <w:p w14:paraId="79052445" w14:textId="77777777" w:rsidR="00E579B9" w:rsidRDefault="006A1398">
      <w:pPr>
        <w:widowControl w:val="0"/>
        <w:spacing w:line="520" w:lineRule="exact"/>
        <w:jc w:val="both"/>
        <w:rPr>
          <w:rFonts w:cs="Times New Roman"/>
          <w:szCs w:val="24"/>
        </w:rPr>
      </w:pPr>
      <w:r>
        <w:rPr>
          <w:rFonts w:cs="Times New Roman"/>
          <w:szCs w:val="24"/>
        </w:rPr>
        <w:t>3</w:t>
      </w:r>
      <w:r>
        <w:rPr>
          <w:rFonts w:ascii="宋体" w:hAnsi="宋体" w:cs="Times New Roman"/>
          <w:szCs w:val="24"/>
        </w:rPr>
        <w:t>、地下水环境质量现状</w:t>
      </w:r>
    </w:p>
    <w:p w14:paraId="554D6114" w14:textId="77777777" w:rsidR="00E579B9" w:rsidRDefault="006A1398">
      <w:pPr>
        <w:widowControl w:val="0"/>
        <w:spacing w:line="520" w:lineRule="exact"/>
        <w:jc w:val="both"/>
        <w:rPr>
          <w:rFonts w:ascii="宋体" w:hAnsi="宋体" w:cs="Times New Roman"/>
          <w:szCs w:val="24"/>
        </w:rPr>
      </w:pPr>
      <w:r>
        <w:rPr>
          <w:rFonts w:ascii="宋体" w:hAnsi="宋体" w:cs="Times New Roman" w:hint="eastAsia"/>
          <w:szCs w:val="24"/>
        </w:rPr>
        <w:t>本次评价对傅</w:t>
      </w:r>
      <w:r>
        <w:rPr>
          <w:rFonts w:ascii="宋体" w:hAnsi="宋体" w:cs="Times New Roman"/>
          <w:szCs w:val="24"/>
        </w:rPr>
        <w:t>埂</w:t>
      </w:r>
      <w:r>
        <w:rPr>
          <w:rFonts w:ascii="宋体" w:hAnsi="宋体" w:cs="Times New Roman" w:hint="eastAsia"/>
          <w:szCs w:val="24"/>
        </w:rPr>
        <w:t>、西下庄</w:t>
      </w:r>
      <w:r>
        <w:rPr>
          <w:rFonts w:ascii="宋体" w:hAnsi="宋体" w:cs="Times New Roman"/>
          <w:szCs w:val="24"/>
        </w:rPr>
        <w:t>、平上</w:t>
      </w:r>
      <w:r>
        <w:rPr>
          <w:rFonts w:ascii="宋体" w:hAnsi="宋体" w:cs="Times New Roman" w:hint="eastAsia"/>
          <w:szCs w:val="24"/>
        </w:rPr>
        <w:t>水井地下水进行监测，</w:t>
      </w:r>
      <w:r>
        <w:rPr>
          <w:rFonts w:ascii="宋体" w:hAnsi="宋体" w:cs="Times New Roman"/>
          <w:szCs w:val="24"/>
        </w:rPr>
        <w:t>监测数据显示区域地下水能满足《地下水质量标准》（</w:t>
      </w:r>
      <w:r>
        <w:rPr>
          <w:rFonts w:cs="Times New Roman"/>
          <w:szCs w:val="24"/>
        </w:rPr>
        <w:t>GB/T14848-93</w:t>
      </w:r>
      <w:r>
        <w:rPr>
          <w:rFonts w:ascii="宋体" w:hAnsi="宋体" w:cs="Times New Roman"/>
          <w:szCs w:val="24"/>
        </w:rPr>
        <w:t>）</w:t>
      </w:r>
      <w:r>
        <w:rPr>
          <w:rFonts w:cs="Times New Roman"/>
          <w:szCs w:val="24"/>
        </w:rPr>
        <w:t>III</w:t>
      </w:r>
      <w:r>
        <w:rPr>
          <w:rFonts w:ascii="宋体" w:hAnsi="宋体" w:cs="Times New Roman"/>
          <w:szCs w:val="24"/>
        </w:rPr>
        <w:t>类标准的要求，表明区域地下水水质良好。</w:t>
      </w:r>
    </w:p>
    <w:p w14:paraId="14921968" w14:textId="77777777" w:rsidR="00E579B9" w:rsidRDefault="006A1398">
      <w:pPr>
        <w:spacing w:line="520" w:lineRule="exact"/>
        <w:rPr>
          <w:rFonts w:cs="Times New Roman"/>
          <w:szCs w:val="24"/>
        </w:rPr>
      </w:pPr>
      <w:r>
        <w:rPr>
          <w:rFonts w:cs="Times New Roman"/>
          <w:szCs w:val="24"/>
        </w:rPr>
        <w:t>4</w:t>
      </w:r>
      <w:r>
        <w:rPr>
          <w:rFonts w:ascii="宋体" w:hAnsi="宋体" w:cs="Times New Roman"/>
          <w:szCs w:val="24"/>
        </w:rPr>
        <w:t>、声环境质量现状</w:t>
      </w:r>
    </w:p>
    <w:p w14:paraId="43E555CA" w14:textId="77777777" w:rsidR="00E579B9" w:rsidRDefault="006A1398">
      <w:pPr>
        <w:widowControl w:val="0"/>
        <w:spacing w:line="520" w:lineRule="exact"/>
        <w:jc w:val="both"/>
        <w:rPr>
          <w:rFonts w:cs="Times New Roman"/>
          <w:szCs w:val="24"/>
        </w:rPr>
      </w:pPr>
      <w:r>
        <w:rPr>
          <w:rFonts w:ascii="宋体" w:hAnsi="宋体" w:cs="Times New Roman"/>
          <w:szCs w:val="24"/>
        </w:rPr>
        <w:t>该评价区域内所监测的</w:t>
      </w:r>
      <w:r>
        <w:rPr>
          <w:rFonts w:cs="Times New Roman"/>
          <w:szCs w:val="24"/>
        </w:rPr>
        <w:t>8</w:t>
      </w:r>
      <w:r>
        <w:rPr>
          <w:rFonts w:ascii="宋体" w:hAnsi="宋体" w:cs="Times New Roman"/>
          <w:szCs w:val="24"/>
        </w:rPr>
        <w:t>个点位均可达到《声环境质量标准》</w:t>
      </w:r>
      <w:r>
        <w:rPr>
          <w:rFonts w:cs="Times New Roman"/>
          <w:szCs w:val="24"/>
        </w:rPr>
        <w:t>(GB3096-2008)</w:t>
      </w:r>
      <w:r>
        <w:rPr>
          <w:rFonts w:ascii="宋体" w:hAnsi="宋体" w:cs="Times New Roman"/>
          <w:szCs w:val="24"/>
        </w:rPr>
        <w:t>中</w:t>
      </w:r>
      <w:r>
        <w:rPr>
          <w:rFonts w:cs="Times New Roman"/>
          <w:szCs w:val="24"/>
        </w:rPr>
        <w:t>2</w:t>
      </w:r>
      <w:r>
        <w:rPr>
          <w:rFonts w:ascii="宋体" w:hAnsi="宋体" w:cs="Times New Roman"/>
          <w:szCs w:val="24"/>
        </w:rPr>
        <w:t>类标准</w:t>
      </w:r>
      <w:r>
        <w:rPr>
          <w:rFonts w:cs="Times New Roman"/>
          <w:szCs w:val="24"/>
        </w:rPr>
        <w:t>(</w:t>
      </w:r>
      <w:r>
        <w:rPr>
          <w:rFonts w:ascii="宋体" w:hAnsi="宋体" w:cs="Times New Roman"/>
          <w:szCs w:val="24"/>
        </w:rPr>
        <w:t>昼间</w:t>
      </w:r>
      <w:r>
        <w:rPr>
          <w:rFonts w:cs="Times New Roman"/>
          <w:szCs w:val="24"/>
        </w:rPr>
        <w:t>60dB(A)</w:t>
      </w:r>
      <w:r>
        <w:rPr>
          <w:rFonts w:ascii="宋体" w:hAnsi="宋体" w:cs="Times New Roman"/>
          <w:szCs w:val="24"/>
        </w:rPr>
        <w:t>和夜间</w:t>
      </w:r>
      <w:r>
        <w:rPr>
          <w:rFonts w:cs="Times New Roman"/>
          <w:szCs w:val="24"/>
        </w:rPr>
        <w:t>50dB(A))</w:t>
      </w:r>
      <w:r>
        <w:rPr>
          <w:rFonts w:ascii="宋体" w:hAnsi="宋体" w:cs="Times New Roman"/>
          <w:szCs w:val="24"/>
        </w:rPr>
        <w:t>，项目周围地区的声环境质量较好。</w:t>
      </w:r>
    </w:p>
    <w:p w14:paraId="50190A43" w14:textId="77777777" w:rsidR="00E579B9" w:rsidRDefault="006A1398">
      <w:pPr>
        <w:widowControl w:val="0"/>
        <w:spacing w:line="520" w:lineRule="exact"/>
        <w:jc w:val="both"/>
        <w:rPr>
          <w:rFonts w:cs="Times New Roman"/>
          <w:szCs w:val="24"/>
        </w:rPr>
      </w:pPr>
      <w:r>
        <w:rPr>
          <w:rFonts w:cs="Times New Roman"/>
          <w:szCs w:val="24"/>
        </w:rPr>
        <w:t>5</w:t>
      </w:r>
      <w:r>
        <w:rPr>
          <w:rFonts w:ascii="宋体" w:hAnsi="宋体" w:cs="Times New Roman"/>
          <w:szCs w:val="24"/>
        </w:rPr>
        <w:t>、生态环境现状</w:t>
      </w:r>
    </w:p>
    <w:p w14:paraId="6BAB8B0C" w14:textId="77777777" w:rsidR="00E579B9" w:rsidRDefault="006A1398">
      <w:pPr>
        <w:widowControl w:val="0"/>
        <w:spacing w:line="520" w:lineRule="exact"/>
        <w:jc w:val="both"/>
        <w:rPr>
          <w:rFonts w:cs="Times New Roman"/>
          <w:szCs w:val="24"/>
        </w:rPr>
      </w:pPr>
      <w:r>
        <w:rPr>
          <w:rFonts w:ascii="宋体" w:hAnsi="宋体" w:cs="Times New Roman"/>
          <w:szCs w:val="24"/>
        </w:rPr>
        <w:t>评价区域</w:t>
      </w:r>
      <w:r>
        <w:rPr>
          <w:rFonts w:ascii="宋体" w:hAnsi="宋体" w:cs="Times New Roman" w:hint="eastAsia"/>
          <w:szCs w:val="24"/>
        </w:rPr>
        <w:t>内有林地、草地、旱地、裸荒地等</w:t>
      </w:r>
      <w:r>
        <w:rPr>
          <w:rFonts w:ascii="宋体" w:hAnsi="宋体" w:cs="Times New Roman"/>
          <w:szCs w:val="24"/>
        </w:rPr>
        <w:t>，</w:t>
      </w:r>
      <w:r>
        <w:rPr>
          <w:rFonts w:ascii="宋体" w:hAnsi="宋体" w:cs="Times New Roman" w:hint="eastAsia"/>
          <w:szCs w:val="24"/>
        </w:rPr>
        <w:t>无</w:t>
      </w:r>
      <w:r>
        <w:rPr>
          <w:rFonts w:ascii="宋体" w:hAnsi="宋体" w:cs="Times New Roman"/>
          <w:szCs w:val="24"/>
        </w:rPr>
        <w:t>特别的生态系统或生态环境敏感保护目标。</w:t>
      </w:r>
    </w:p>
    <w:p w14:paraId="2F023BFA" w14:textId="77777777" w:rsidR="00E579B9" w:rsidRDefault="006A1398">
      <w:pPr>
        <w:widowControl w:val="0"/>
        <w:spacing w:line="520" w:lineRule="exact"/>
        <w:jc w:val="both"/>
        <w:rPr>
          <w:rFonts w:cs="Times New Roman"/>
          <w:szCs w:val="24"/>
        </w:rPr>
      </w:pPr>
      <w:r>
        <w:rPr>
          <w:rFonts w:cs="Times New Roman"/>
          <w:szCs w:val="24"/>
        </w:rPr>
        <w:t>6</w:t>
      </w:r>
      <w:r>
        <w:rPr>
          <w:rFonts w:ascii="宋体" w:hAnsi="宋体" w:cs="Times New Roman"/>
          <w:szCs w:val="24"/>
        </w:rPr>
        <w:t>、土壤环境现状</w:t>
      </w:r>
    </w:p>
    <w:p w14:paraId="03C3BFF7" w14:textId="77777777" w:rsidR="00E579B9" w:rsidRDefault="006A1398">
      <w:pPr>
        <w:widowControl w:val="0"/>
        <w:spacing w:line="520" w:lineRule="exact"/>
        <w:jc w:val="both"/>
        <w:rPr>
          <w:rFonts w:cs="Times New Roman"/>
          <w:szCs w:val="24"/>
        </w:rPr>
      </w:pPr>
      <w:r>
        <w:rPr>
          <w:rFonts w:ascii="宋体" w:hAnsi="宋体" w:cs="Times New Roman" w:hint="eastAsia"/>
          <w:szCs w:val="24"/>
        </w:rPr>
        <w:t>项目二采区内表土的各项检测因子均</w:t>
      </w:r>
      <w:r>
        <w:rPr>
          <w:rFonts w:ascii="宋体" w:hAnsi="宋体" w:cs="Times New Roman"/>
          <w:szCs w:val="24"/>
        </w:rPr>
        <w:t>能满足《土壤环境质量</w:t>
      </w:r>
      <w:r>
        <w:rPr>
          <w:rFonts w:cs="Times New Roman"/>
          <w:szCs w:val="24"/>
        </w:rPr>
        <w:t>-</w:t>
      </w:r>
      <w:r>
        <w:rPr>
          <w:rFonts w:ascii="宋体" w:hAnsi="宋体" w:cs="Times New Roman"/>
          <w:szCs w:val="24"/>
        </w:rPr>
        <w:t>建设用地土壤污染风险管控标准（试行）》（</w:t>
      </w:r>
      <w:r>
        <w:rPr>
          <w:rFonts w:cs="Times New Roman"/>
          <w:szCs w:val="24"/>
        </w:rPr>
        <w:t>GB36600-2018</w:t>
      </w:r>
      <w:r>
        <w:rPr>
          <w:rFonts w:ascii="宋体" w:hAnsi="宋体" w:cs="Times New Roman"/>
          <w:szCs w:val="24"/>
        </w:rPr>
        <w:t>）</w:t>
      </w:r>
      <w:r>
        <w:rPr>
          <w:rFonts w:ascii="宋体" w:hAnsi="宋体" w:cs="Times New Roman" w:hint="eastAsia"/>
          <w:szCs w:val="24"/>
        </w:rPr>
        <w:t>中第一类用地、第二类用地筛选值的</w:t>
      </w:r>
      <w:r>
        <w:rPr>
          <w:rFonts w:ascii="宋体" w:hAnsi="宋体" w:cs="Times New Roman"/>
          <w:szCs w:val="24"/>
        </w:rPr>
        <w:t>要求，因此</w:t>
      </w:r>
      <w:r>
        <w:rPr>
          <w:rFonts w:ascii="宋体" w:hAnsi="宋体" w:cs="Times New Roman" w:hint="eastAsia"/>
          <w:szCs w:val="24"/>
        </w:rPr>
        <w:t>，矿</w:t>
      </w:r>
      <w:r>
        <w:rPr>
          <w:rFonts w:ascii="宋体" w:hAnsi="宋体" w:cs="Times New Roman"/>
          <w:szCs w:val="24"/>
        </w:rPr>
        <w:t>内土壤未受到污染影响</w:t>
      </w:r>
      <w:r>
        <w:rPr>
          <w:rFonts w:ascii="宋体" w:hAnsi="宋体" w:cs="Times New Roman" w:hint="eastAsia"/>
          <w:szCs w:val="24"/>
        </w:rPr>
        <w:t>，</w:t>
      </w:r>
      <w:r>
        <w:rPr>
          <w:rFonts w:ascii="宋体" w:hAnsi="宋体" w:cs="Times New Roman"/>
          <w:szCs w:val="24"/>
        </w:rPr>
        <w:t>土壤环境现状总体良好。</w:t>
      </w:r>
    </w:p>
    <w:p w14:paraId="07A8078E" w14:textId="77777777" w:rsidR="00E579B9" w:rsidRDefault="006A1398">
      <w:pPr>
        <w:pStyle w:val="3"/>
        <w:ind w:firstLine="560"/>
      </w:pPr>
      <w:bookmarkStart w:id="509" w:name="_Toc1178"/>
      <w:bookmarkStart w:id="510" w:name="_Toc531939434"/>
      <w:r>
        <w:rPr>
          <w:rFonts w:hint="eastAsia"/>
        </w:rPr>
        <w:t>11.</w:t>
      </w:r>
      <w:r>
        <w:t>1.4</w:t>
      </w:r>
      <w:bookmarkEnd w:id="509"/>
      <w:r>
        <w:t>建设期</w:t>
      </w:r>
      <w:r>
        <w:rPr>
          <w:rFonts w:hint="eastAsia"/>
        </w:rPr>
        <w:t>环境影响评价</w:t>
      </w:r>
      <w:bookmarkEnd w:id="510"/>
    </w:p>
    <w:p w14:paraId="54367521" w14:textId="77777777" w:rsidR="00E579B9" w:rsidRDefault="006A1398">
      <w:r>
        <w:lastRenderedPageBreak/>
        <w:t>建设期大气污染源主要为剥离表土后裸露地表的风蚀扬尘，建筑材料运输、装卸、堆放中的扬尘，土方运输车辆行驶产生的扬尘等，污染物为无组织排放。施工过程中采取</w:t>
      </w:r>
      <w:r>
        <w:rPr>
          <w:rFonts w:hint="eastAsia"/>
          <w:bCs/>
        </w:rPr>
        <w:t>所有施工现场必须做到“八个百分百”，</w:t>
      </w:r>
      <w:r>
        <w:t>对施工场地及道路进行洒水、物料储存在库房内、运输车辆限速、限载、遮盖等措施后，能有效降低施工扬尘的污染程度，对周边环境空气影响很小。</w:t>
      </w:r>
    </w:p>
    <w:p w14:paraId="483842B6" w14:textId="77777777" w:rsidR="00E579B9" w:rsidRDefault="006A1398">
      <w:pPr>
        <w:rPr>
          <w:szCs w:val="28"/>
        </w:rPr>
      </w:pPr>
      <w:r>
        <w:t>建设期水污染源主要为施工人员的</w:t>
      </w:r>
      <w:r>
        <w:rPr>
          <w:rFonts w:hint="eastAsia"/>
        </w:rPr>
        <w:t>生活废水。其中</w:t>
      </w:r>
      <w:r>
        <w:t>洗漱废水，废水量较小，主要污染物为</w:t>
      </w:r>
      <w:r>
        <w:t>COD</w:t>
      </w:r>
      <w:r>
        <w:t>和</w:t>
      </w:r>
      <w:r>
        <w:t>NH</w:t>
      </w:r>
      <w:r>
        <w:rPr>
          <w:vertAlign w:val="subscript"/>
        </w:rPr>
        <w:t>3</w:t>
      </w:r>
      <w:r>
        <w:t>-N</w:t>
      </w:r>
      <w:r>
        <w:t>等，直接泼洒降尘用于绿化，</w:t>
      </w:r>
      <w:r>
        <w:rPr>
          <w:rFonts w:hint="eastAsia"/>
        </w:rPr>
        <w:t>对于如厕废水，采区</w:t>
      </w:r>
      <w:r>
        <w:t>内设旱厕</w:t>
      </w:r>
      <w:r>
        <w:rPr>
          <w:rFonts w:hint="eastAsia"/>
        </w:rPr>
        <w:t>，由周围村民拉走</w:t>
      </w:r>
      <w:r>
        <w:t>用于农田灌溉</w:t>
      </w:r>
      <w:r>
        <w:rPr>
          <w:rFonts w:hint="eastAsia"/>
        </w:rPr>
        <w:t>。</w:t>
      </w:r>
    </w:p>
    <w:p w14:paraId="31642426" w14:textId="77777777" w:rsidR="00E579B9" w:rsidRDefault="006A1398">
      <w:pPr>
        <w:rPr>
          <w:lang w:val="zh-CN"/>
        </w:rPr>
      </w:pPr>
      <w:r>
        <w:t>建设期的主要噪声源来自施工现场的各种机械设备运行噪声、物料运输的交通噪声以及施工人员的活动噪声，在采取选择性能良好且低噪声的施工机械，并对设备经常维护，保持良好的运行状态；夜间禁止施工，物料运输车辆安排在白天进出，禁止夜间运输等措施情况下，</w:t>
      </w:r>
      <w:r>
        <w:rPr>
          <w:lang w:val="zh-CN"/>
        </w:rPr>
        <w:t>施工噪声对周围环境的影响不大。</w:t>
      </w:r>
    </w:p>
    <w:p w14:paraId="69CB8C16" w14:textId="77777777" w:rsidR="00E579B9" w:rsidRDefault="006A1398">
      <w:r>
        <w:t>建设期产生的固废主要为露采基建、场地平整和运矿道路的修建产生的废土石以及少量的生活垃圾。表土暂存至</w:t>
      </w:r>
      <w:r>
        <w:rPr>
          <w:rFonts w:hint="eastAsia"/>
          <w:kern w:val="0"/>
        </w:rPr>
        <w:t>表土场</w:t>
      </w:r>
      <w:r>
        <w:t>，用于</w:t>
      </w:r>
      <w:r>
        <w:rPr>
          <w:rFonts w:hint="eastAsia"/>
        </w:rPr>
        <w:t>闭矿期</w:t>
      </w:r>
      <w:r>
        <w:t>露采区生态恢复；</w:t>
      </w:r>
      <w:r>
        <w:rPr>
          <w:rFonts w:hint="eastAsia"/>
        </w:rPr>
        <w:t>设置若干垃圾桶，由环卫部门定期清运</w:t>
      </w:r>
      <w:r>
        <w:t>；建设期固体废物对环境影响较小。</w:t>
      </w:r>
    </w:p>
    <w:p w14:paraId="40CA105E" w14:textId="77777777" w:rsidR="00E579B9" w:rsidRDefault="006A1398">
      <w:pPr>
        <w:pStyle w:val="3"/>
        <w:ind w:firstLine="560"/>
      </w:pPr>
      <w:bookmarkStart w:id="511" w:name="_Toc531939435"/>
      <w:r>
        <w:rPr>
          <w:rFonts w:hint="eastAsia"/>
        </w:rPr>
        <w:t>11.</w:t>
      </w:r>
      <w:r>
        <w:t>1.5</w:t>
      </w:r>
      <w:r>
        <w:rPr>
          <w:rFonts w:hint="eastAsia"/>
        </w:rPr>
        <w:t>营运</w:t>
      </w:r>
      <w:r>
        <w:t>期</w:t>
      </w:r>
      <w:r>
        <w:rPr>
          <w:rFonts w:hint="eastAsia"/>
        </w:rPr>
        <w:t>环境影响评价</w:t>
      </w:r>
      <w:bookmarkEnd w:id="511"/>
    </w:p>
    <w:p w14:paraId="22E2C0F7" w14:textId="77777777" w:rsidR="00E579B9" w:rsidRDefault="006A1398">
      <w:pPr>
        <w:widowControl w:val="0"/>
        <w:spacing w:line="520" w:lineRule="exact"/>
        <w:jc w:val="both"/>
        <w:rPr>
          <w:rFonts w:cs="Times New Roman"/>
          <w:szCs w:val="24"/>
        </w:rPr>
      </w:pPr>
      <w:r>
        <w:rPr>
          <w:rFonts w:cs="Times New Roman"/>
          <w:szCs w:val="24"/>
        </w:rPr>
        <w:t>1</w:t>
      </w:r>
      <w:r>
        <w:rPr>
          <w:rFonts w:ascii="宋体" w:hAnsi="宋体" w:cs="Times New Roman"/>
          <w:szCs w:val="24"/>
        </w:rPr>
        <w:t>、运营期环境空气影响及污染防治措施</w:t>
      </w:r>
    </w:p>
    <w:p w14:paraId="70117CE6" w14:textId="77777777" w:rsidR="00E579B9" w:rsidRDefault="006A1398">
      <w:pPr>
        <w:widowControl w:val="0"/>
        <w:spacing w:line="520" w:lineRule="exact"/>
        <w:jc w:val="both"/>
        <w:rPr>
          <w:rFonts w:cs="Times New Roman"/>
          <w:szCs w:val="24"/>
        </w:rPr>
      </w:pPr>
      <w:r>
        <w:rPr>
          <w:rFonts w:ascii="宋体" w:hAnsi="宋体" w:cs="Times New Roman" w:hint="eastAsia"/>
          <w:szCs w:val="24"/>
        </w:rPr>
        <w:t>①露天开采粉尘</w:t>
      </w:r>
    </w:p>
    <w:p w14:paraId="69F17418" w14:textId="77777777" w:rsidR="00E579B9" w:rsidRDefault="006A1398">
      <w:pPr>
        <w:widowControl w:val="0"/>
        <w:spacing w:line="520" w:lineRule="exact"/>
        <w:jc w:val="both"/>
        <w:rPr>
          <w:rFonts w:cs="Times New Roman"/>
          <w:szCs w:val="24"/>
        </w:rPr>
      </w:pPr>
      <w:r>
        <w:rPr>
          <w:rFonts w:ascii="宋体" w:hAnsi="宋体" w:cs="Times New Roman" w:hint="eastAsia"/>
          <w:szCs w:val="24"/>
        </w:rPr>
        <w:t>项目采用的凿岩机自带有除尘器收集粉尘，且采取</w:t>
      </w:r>
      <w:r>
        <w:rPr>
          <w:rFonts w:ascii="宋体" w:hAnsi="宋体" w:cs="Times New Roman"/>
          <w:szCs w:val="24"/>
        </w:rPr>
        <w:t>湿式凿岩</w:t>
      </w:r>
      <w:r>
        <w:rPr>
          <w:rFonts w:ascii="宋体" w:hAnsi="宋体" w:cs="Times New Roman" w:hint="eastAsia"/>
          <w:szCs w:val="24"/>
        </w:rPr>
        <w:t>法，可有效减少粉尘的产生，从而降低对周围环境的影响；爆破阶段产生粉尘浓度较大，但由于其持续时间极短，在操作中</w:t>
      </w:r>
      <w:r>
        <w:rPr>
          <w:rFonts w:ascii="宋体" w:hAnsi="宋体" w:cs="Times New Roman"/>
          <w:szCs w:val="24"/>
        </w:rPr>
        <w:t>采用水封爆破法</w:t>
      </w:r>
      <w:r>
        <w:rPr>
          <w:rFonts w:ascii="宋体" w:hAnsi="宋体" w:cs="Times New Roman" w:hint="eastAsia"/>
          <w:szCs w:val="24"/>
        </w:rPr>
        <w:t>，评价建议爆破分批次分阶段进行，避免一次性大规模爆破，以进一步降低单位时间粉尘的产生量，采取均匀布孔，控制单耗、单孔药量和一次起爆药量，提高炸药能量利用率；同时，爆前喷雾洒水，可有效减少粉尘的产生量，从而降低对周围环境的影响；大块矿石二次破碎时，采取喷雾洒水措施，可有效减少粉尘的产生和排放，粉尘对周边环境的影响较小。</w:t>
      </w:r>
    </w:p>
    <w:p w14:paraId="6EFFB653" w14:textId="77777777" w:rsidR="00E579B9" w:rsidRDefault="006A1398">
      <w:pPr>
        <w:widowControl w:val="0"/>
        <w:spacing w:line="520" w:lineRule="exact"/>
        <w:jc w:val="both"/>
        <w:rPr>
          <w:rFonts w:cs="Times New Roman"/>
          <w:szCs w:val="24"/>
        </w:rPr>
      </w:pPr>
      <w:r>
        <w:rPr>
          <w:rFonts w:cs="Times New Roman" w:hint="eastAsia"/>
          <w:szCs w:val="24"/>
        </w:rPr>
        <w:t>②破碎场地粉尘</w:t>
      </w:r>
    </w:p>
    <w:p w14:paraId="630286C9" w14:textId="77777777" w:rsidR="00E579B9" w:rsidRDefault="006A1398">
      <w:pPr>
        <w:widowControl w:val="0"/>
        <w:spacing w:line="520" w:lineRule="exact"/>
        <w:jc w:val="both"/>
        <w:rPr>
          <w:rFonts w:cs="Times New Roman"/>
          <w:szCs w:val="24"/>
        </w:rPr>
      </w:pPr>
      <w:r>
        <w:rPr>
          <w:rFonts w:ascii="宋体" w:hAnsi="宋体" w:cs="Times New Roman" w:hint="eastAsia"/>
          <w:szCs w:val="24"/>
        </w:rPr>
        <w:lastRenderedPageBreak/>
        <w:t>石灰石矿在破碎和筛分过程中，将产生破碎和筛分粉尘，项目在颚式破碎机进料口处设置喷雾洒水装置，对各产尘设备（破碎机、筛分机、皮带运输机）均采取了密闭措施，原料设置密闭原料库并设置喷淋洒水装置，大大减少了粉尘的产生；同时设置了</w:t>
      </w:r>
      <w:r>
        <w:rPr>
          <w:rFonts w:cs="Times New Roman" w:hint="eastAsia"/>
          <w:szCs w:val="24"/>
        </w:rPr>
        <w:t>2</w:t>
      </w:r>
      <w:r>
        <w:rPr>
          <w:rFonts w:ascii="宋体" w:hAnsi="宋体" w:cs="Times New Roman" w:hint="eastAsia"/>
          <w:szCs w:val="24"/>
        </w:rPr>
        <w:t>套密闭罩</w:t>
      </w:r>
      <w:r>
        <w:rPr>
          <w:rFonts w:cs="Times New Roman" w:hint="eastAsia"/>
          <w:szCs w:val="24"/>
        </w:rPr>
        <w:t>+</w:t>
      </w:r>
      <w:r>
        <w:rPr>
          <w:rFonts w:ascii="宋体" w:hAnsi="宋体" w:cs="Times New Roman" w:hint="eastAsia"/>
          <w:szCs w:val="24"/>
        </w:rPr>
        <w:t>袋式除尘器</w:t>
      </w:r>
      <w:r>
        <w:rPr>
          <w:rFonts w:cs="Times New Roman" w:hint="eastAsia"/>
          <w:szCs w:val="24"/>
        </w:rPr>
        <w:t>+15m</w:t>
      </w:r>
      <w:r>
        <w:rPr>
          <w:rFonts w:ascii="宋体" w:hAnsi="宋体" w:cs="Times New Roman" w:hint="eastAsia"/>
          <w:szCs w:val="24"/>
        </w:rPr>
        <w:t>高的排气筒环保措施处理破碎、筛分过程产生的粉尘，处理后能达到《水泥工业大气污染物排放标准》（</w:t>
      </w:r>
      <w:r>
        <w:rPr>
          <w:rFonts w:cs="Times New Roman" w:hint="eastAsia"/>
          <w:szCs w:val="24"/>
        </w:rPr>
        <w:t>GB4915-2013</w:t>
      </w:r>
      <w:r>
        <w:rPr>
          <w:rFonts w:ascii="宋体" w:hAnsi="宋体" w:cs="Times New Roman" w:hint="eastAsia"/>
          <w:szCs w:val="24"/>
        </w:rPr>
        <w:t>）表</w:t>
      </w:r>
      <w:r>
        <w:rPr>
          <w:rFonts w:cs="Times New Roman" w:hint="eastAsia"/>
          <w:szCs w:val="24"/>
        </w:rPr>
        <w:t>2</w:t>
      </w:r>
      <w:r>
        <w:rPr>
          <w:rFonts w:ascii="宋体" w:hAnsi="宋体" w:cs="Times New Roman" w:hint="eastAsia"/>
          <w:szCs w:val="24"/>
        </w:rPr>
        <w:t>中特别排放限值要求。</w:t>
      </w:r>
    </w:p>
    <w:p w14:paraId="72F9B7F0" w14:textId="77777777" w:rsidR="00E579B9" w:rsidRDefault="006A1398">
      <w:pPr>
        <w:widowControl w:val="0"/>
        <w:spacing w:line="520" w:lineRule="exact"/>
        <w:jc w:val="both"/>
        <w:rPr>
          <w:rFonts w:cs="Times New Roman"/>
          <w:szCs w:val="24"/>
        </w:rPr>
      </w:pPr>
      <w:r>
        <w:rPr>
          <w:rFonts w:cs="Times New Roman" w:hint="eastAsia"/>
          <w:szCs w:val="24"/>
        </w:rPr>
        <w:t>③装卸粉尘</w:t>
      </w:r>
    </w:p>
    <w:p w14:paraId="71127A1B" w14:textId="77777777" w:rsidR="00E579B9" w:rsidRDefault="006A1398">
      <w:pPr>
        <w:widowControl w:val="0"/>
        <w:spacing w:line="520" w:lineRule="exact"/>
        <w:jc w:val="both"/>
        <w:rPr>
          <w:rFonts w:cs="Times New Roman"/>
          <w:szCs w:val="24"/>
        </w:rPr>
      </w:pPr>
      <w:r>
        <w:rPr>
          <w:rFonts w:ascii="宋体" w:hAnsi="宋体" w:cs="Times New Roman"/>
          <w:szCs w:val="24"/>
        </w:rPr>
        <w:t>评价建议装矿时尽量降低物料落差，矿石不高于车厢，装载完毕后及时用篷布覆盖，矿石装车时利用雾炮车喷雾洒水抑尘，可使粉尘排放量降低</w:t>
      </w:r>
      <w:r>
        <w:rPr>
          <w:rFonts w:cs="Times New Roman"/>
          <w:szCs w:val="24"/>
        </w:rPr>
        <w:t>80%</w:t>
      </w:r>
      <w:r>
        <w:rPr>
          <w:rFonts w:ascii="宋体" w:hAnsi="宋体" w:cs="Times New Roman"/>
          <w:szCs w:val="24"/>
        </w:rPr>
        <w:t>，从而减少装卸扬尘的影响。</w:t>
      </w:r>
    </w:p>
    <w:p w14:paraId="6CE34AD4" w14:textId="77777777" w:rsidR="00E579B9" w:rsidRDefault="006A1398">
      <w:pPr>
        <w:widowControl w:val="0"/>
        <w:spacing w:line="520" w:lineRule="exact"/>
        <w:jc w:val="both"/>
        <w:rPr>
          <w:rFonts w:cs="Times New Roman"/>
          <w:szCs w:val="24"/>
        </w:rPr>
      </w:pPr>
      <w:r>
        <w:rPr>
          <w:rFonts w:cs="Times New Roman" w:hint="eastAsia"/>
          <w:szCs w:val="24"/>
        </w:rPr>
        <w:t>④</w:t>
      </w:r>
      <w:r>
        <w:rPr>
          <w:rFonts w:ascii="宋体" w:hAnsi="宋体" w:cs="Times New Roman"/>
          <w:szCs w:val="24"/>
        </w:rPr>
        <w:t>运输扬尘</w:t>
      </w:r>
    </w:p>
    <w:p w14:paraId="66BA8BF1" w14:textId="77777777" w:rsidR="00E579B9" w:rsidRDefault="006A1398">
      <w:pPr>
        <w:widowControl w:val="0"/>
        <w:spacing w:line="520" w:lineRule="exact"/>
        <w:jc w:val="both"/>
        <w:rPr>
          <w:rFonts w:cs="Times New Roman"/>
          <w:szCs w:val="24"/>
        </w:rPr>
      </w:pPr>
      <w:r>
        <w:rPr>
          <w:rFonts w:ascii="宋体" w:hAnsi="宋体" w:cs="Times New Roman"/>
          <w:szCs w:val="24"/>
        </w:rPr>
        <w:t>原矿在运输过程中不可避免会产生少量扬尘。</w:t>
      </w:r>
      <w:r>
        <w:rPr>
          <w:rFonts w:ascii="宋体" w:hAnsi="宋体" w:cs="Times New Roman" w:hint="eastAsia"/>
          <w:szCs w:val="24"/>
        </w:rPr>
        <w:t>评价要求对运矿道路定期清扫、洒水，并对运输的矿石进行遮盖，装卸作业面洒水降尘，尽量降低物料落差。粉状物料外运采用密闭罐车运输或加湿后运输；其他成品外运车辆采用箱式并加盖篷布以防止物料洒落，严禁石料超出箱板。厂区出入口附近应修建车辆自动清洗装置，对进出厂车辆轮胎进行清，以有效减轻运输扬尘污染。采取上述措施后运输扬尘产生量较小，对周边环境的影响较小。</w:t>
      </w:r>
    </w:p>
    <w:p w14:paraId="1D97902B" w14:textId="77777777" w:rsidR="00E579B9" w:rsidRDefault="006A1398">
      <w:pPr>
        <w:widowControl w:val="0"/>
        <w:spacing w:line="520" w:lineRule="exact"/>
        <w:jc w:val="both"/>
        <w:rPr>
          <w:rFonts w:cs="Times New Roman"/>
          <w:szCs w:val="24"/>
        </w:rPr>
      </w:pPr>
      <w:r>
        <w:rPr>
          <w:rFonts w:ascii="宋体" w:hAnsi="宋体" w:cs="Times New Roman" w:hint="eastAsia"/>
          <w:szCs w:val="24"/>
        </w:rPr>
        <w:t>综上可知，本项目无组织粉尘及有组织粉尘采取相应的环保措施后，污染物排放均能达标，且各敏感目标处质量数据可</w:t>
      </w:r>
      <w:r>
        <w:rPr>
          <w:rFonts w:ascii="宋体" w:hAnsi="宋体" w:cs="Times New Roman"/>
          <w:szCs w:val="24"/>
        </w:rPr>
        <w:t>满足《环境空气质量标准》</w:t>
      </w:r>
      <w:r>
        <w:rPr>
          <w:rFonts w:cs="Times New Roman"/>
          <w:szCs w:val="24"/>
        </w:rPr>
        <w:t>(GB3095-2012)</w:t>
      </w:r>
      <w:r>
        <w:rPr>
          <w:rFonts w:ascii="宋体" w:hAnsi="宋体" w:cs="Times New Roman" w:hint="eastAsia"/>
          <w:szCs w:val="24"/>
        </w:rPr>
        <w:t>二级标准的要求。</w:t>
      </w:r>
    </w:p>
    <w:p w14:paraId="5A827F83" w14:textId="77777777" w:rsidR="00E579B9" w:rsidRDefault="006A1398">
      <w:pPr>
        <w:widowControl w:val="0"/>
        <w:spacing w:line="520" w:lineRule="exact"/>
        <w:jc w:val="both"/>
        <w:rPr>
          <w:rFonts w:cs="Times New Roman"/>
          <w:szCs w:val="24"/>
        </w:rPr>
      </w:pPr>
      <w:r>
        <w:rPr>
          <w:rFonts w:cs="Times New Roman"/>
          <w:szCs w:val="24"/>
        </w:rPr>
        <w:t>2</w:t>
      </w:r>
      <w:r>
        <w:rPr>
          <w:rFonts w:ascii="宋体" w:hAnsi="宋体" w:cs="Times New Roman"/>
          <w:szCs w:val="24"/>
        </w:rPr>
        <w:t>、运营期地表水环境影响及污染防治措施</w:t>
      </w:r>
    </w:p>
    <w:p w14:paraId="5B629FC7" w14:textId="77777777" w:rsidR="00E579B9" w:rsidRDefault="006A1398">
      <w:pPr>
        <w:widowControl w:val="0"/>
        <w:spacing w:line="520" w:lineRule="exact"/>
        <w:jc w:val="both"/>
        <w:rPr>
          <w:rFonts w:cs="Times New Roman"/>
          <w:szCs w:val="24"/>
        </w:rPr>
      </w:pPr>
      <w:r>
        <w:rPr>
          <w:rFonts w:ascii="宋体" w:hAnsi="宋体" w:cs="Times New Roman" w:hint="eastAsia"/>
          <w:szCs w:val="24"/>
        </w:rPr>
        <w:t>①</w:t>
      </w:r>
      <w:r>
        <w:rPr>
          <w:rFonts w:ascii="宋体" w:hAnsi="宋体" w:cs="Times New Roman"/>
          <w:szCs w:val="24"/>
        </w:rPr>
        <w:t>生产废水</w:t>
      </w:r>
    </w:p>
    <w:p w14:paraId="7198714D" w14:textId="77777777" w:rsidR="00E579B9" w:rsidRDefault="006A1398">
      <w:pPr>
        <w:widowControl w:val="0"/>
        <w:spacing w:line="520" w:lineRule="exact"/>
        <w:jc w:val="both"/>
        <w:rPr>
          <w:rFonts w:cs="Times New Roman"/>
          <w:szCs w:val="24"/>
        </w:rPr>
      </w:pPr>
      <w:r>
        <w:rPr>
          <w:rFonts w:ascii="宋体" w:hAnsi="宋体" w:cs="Times New Roman"/>
          <w:szCs w:val="24"/>
        </w:rPr>
        <w:t>本工程营运过程采区、破碎场地</w:t>
      </w:r>
      <w:r>
        <w:rPr>
          <w:rFonts w:ascii="宋体" w:hAnsi="宋体" w:cs="Times New Roman" w:hint="eastAsia"/>
          <w:szCs w:val="24"/>
        </w:rPr>
        <w:t>、</w:t>
      </w:r>
      <w:r>
        <w:rPr>
          <w:rFonts w:ascii="宋体" w:hAnsi="宋体" w:cs="Times New Roman"/>
          <w:szCs w:val="24"/>
        </w:rPr>
        <w:t>运矿道路降尘洒水随空气蒸发，无生产废水外排。车辆冲洗装置废水经自带的</w:t>
      </w:r>
      <w:r>
        <w:rPr>
          <w:rFonts w:cs="Times New Roman" w:hint="eastAsia"/>
          <w:szCs w:val="24"/>
        </w:rPr>
        <w:t>5</w:t>
      </w:r>
      <w:r>
        <w:rPr>
          <w:rFonts w:cs="Times New Roman"/>
          <w:szCs w:val="24"/>
        </w:rPr>
        <w:t>m</w:t>
      </w:r>
      <w:r>
        <w:rPr>
          <w:rFonts w:cs="Times New Roman"/>
          <w:szCs w:val="24"/>
          <w:vertAlign w:val="superscript"/>
        </w:rPr>
        <w:t>3</w:t>
      </w:r>
      <w:r>
        <w:rPr>
          <w:rFonts w:ascii="宋体" w:hAnsi="宋体" w:cs="Times New Roman" w:hint="eastAsia"/>
          <w:szCs w:val="24"/>
        </w:rPr>
        <w:t>的沉淀池沉淀后循环利用，不排放。</w:t>
      </w:r>
    </w:p>
    <w:p w14:paraId="003F9947" w14:textId="77777777" w:rsidR="00E579B9" w:rsidRDefault="006A1398">
      <w:pPr>
        <w:widowControl w:val="0"/>
        <w:spacing w:line="520" w:lineRule="exact"/>
        <w:jc w:val="both"/>
        <w:rPr>
          <w:rFonts w:cs="Times New Roman"/>
          <w:szCs w:val="24"/>
        </w:rPr>
      </w:pPr>
      <w:r>
        <w:rPr>
          <w:rFonts w:ascii="宋体" w:hAnsi="宋体" w:cs="Times New Roman" w:hint="eastAsia"/>
          <w:szCs w:val="24"/>
        </w:rPr>
        <w:t>②</w:t>
      </w:r>
      <w:r>
        <w:rPr>
          <w:rFonts w:ascii="宋体" w:hAnsi="宋体" w:cs="Times New Roman"/>
          <w:szCs w:val="24"/>
        </w:rPr>
        <w:t>生活污水</w:t>
      </w:r>
    </w:p>
    <w:p w14:paraId="22E7E77A" w14:textId="77777777" w:rsidR="00E579B9" w:rsidRDefault="006A1398">
      <w:pPr>
        <w:widowControl w:val="0"/>
        <w:spacing w:line="520" w:lineRule="exact"/>
        <w:jc w:val="both"/>
        <w:rPr>
          <w:rFonts w:cs="Times New Roman"/>
          <w:szCs w:val="24"/>
        </w:rPr>
      </w:pPr>
      <w:r>
        <w:rPr>
          <w:rFonts w:ascii="宋体" w:hAnsi="宋体" w:cs="Times New Roman" w:hint="eastAsia"/>
          <w:szCs w:val="24"/>
        </w:rPr>
        <w:lastRenderedPageBreak/>
        <w:t>生活污水经地埋式一体化污水处理系统处理后用于矿区防尘洒水，不排放。</w:t>
      </w:r>
    </w:p>
    <w:p w14:paraId="35A7ED04" w14:textId="77777777" w:rsidR="00E579B9" w:rsidRDefault="006A1398">
      <w:pPr>
        <w:widowControl w:val="0"/>
        <w:spacing w:line="520" w:lineRule="exact"/>
        <w:jc w:val="both"/>
        <w:rPr>
          <w:rFonts w:cs="Times New Roman"/>
          <w:szCs w:val="24"/>
        </w:rPr>
      </w:pPr>
      <w:r>
        <w:rPr>
          <w:rFonts w:ascii="宋体" w:hAnsi="宋体" w:cs="Times New Roman"/>
          <w:szCs w:val="24"/>
        </w:rPr>
        <w:t>本项目营运期没有废污水外排，不会对地表水产生不利影响。</w:t>
      </w:r>
    </w:p>
    <w:p w14:paraId="063C9570" w14:textId="77777777" w:rsidR="00E579B9" w:rsidRDefault="006A1398">
      <w:pPr>
        <w:widowControl w:val="0"/>
        <w:spacing w:line="520" w:lineRule="exact"/>
        <w:jc w:val="both"/>
        <w:rPr>
          <w:rFonts w:cs="Times New Roman"/>
          <w:szCs w:val="24"/>
        </w:rPr>
      </w:pPr>
      <w:r>
        <w:rPr>
          <w:rFonts w:cs="Times New Roman" w:hint="eastAsia"/>
          <w:szCs w:val="24"/>
        </w:rPr>
        <w:t>3</w:t>
      </w:r>
      <w:r>
        <w:rPr>
          <w:rFonts w:ascii="宋体" w:hAnsi="宋体" w:cs="Times New Roman"/>
          <w:szCs w:val="24"/>
        </w:rPr>
        <w:t>、运营期声环境影响及污染防治措施</w:t>
      </w:r>
    </w:p>
    <w:p w14:paraId="5D3D9B24" w14:textId="77777777" w:rsidR="00E579B9" w:rsidRDefault="006A1398">
      <w:pPr>
        <w:widowControl w:val="0"/>
        <w:spacing w:line="520" w:lineRule="exact"/>
        <w:jc w:val="both"/>
        <w:rPr>
          <w:rFonts w:cs="Times New Roman"/>
          <w:szCs w:val="24"/>
        </w:rPr>
      </w:pPr>
      <w:r>
        <w:rPr>
          <w:rFonts w:ascii="宋体" w:hAnsi="宋体" w:cs="Times New Roman"/>
          <w:szCs w:val="24"/>
        </w:rPr>
        <w:t>项目运营期噪声主要来源于采区爆破、生产设备噪声以及车辆运输噪声等。</w:t>
      </w:r>
    </w:p>
    <w:p w14:paraId="1F75896C" w14:textId="77777777" w:rsidR="00E579B9" w:rsidRDefault="006A1398">
      <w:pPr>
        <w:widowControl w:val="0"/>
        <w:spacing w:line="520" w:lineRule="exact"/>
        <w:jc w:val="both"/>
        <w:rPr>
          <w:rFonts w:cs="Times New Roman"/>
          <w:szCs w:val="24"/>
        </w:rPr>
      </w:pPr>
      <w:r>
        <w:rPr>
          <w:rFonts w:ascii="宋体" w:hAnsi="宋体" w:cs="Times New Roman"/>
          <w:szCs w:val="24"/>
        </w:rPr>
        <w:t>爆破噪声为瞬时性噪声，项目开采区周围</w:t>
      </w:r>
      <w:r>
        <w:rPr>
          <w:rFonts w:cs="Times New Roman"/>
          <w:szCs w:val="24"/>
        </w:rPr>
        <w:t>200m</w:t>
      </w:r>
      <w:r>
        <w:rPr>
          <w:rFonts w:ascii="宋体" w:hAnsi="宋体" w:cs="Times New Roman"/>
          <w:szCs w:val="24"/>
        </w:rPr>
        <w:t>范围内没有村庄等环境敏感点，经距离衰减或山体阻隔衰减后，爆破的噪声对周围声环境的影响是可以接受的，评价建议企业与周围居民协调好爆破时间并提前通知，尽量避开居民休息时间。</w:t>
      </w:r>
    </w:p>
    <w:p w14:paraId="7B25C9CD" w14:textId="77777777" w:rsidR="00E579B9" w:rsidRDefault="006A1398">
      <w:pPr>
        <w:widowControl w:val="0"/>
        <w:spacing w:line="520" w:lineRule="exact"/>
        <w:jc w:val="both"/>
        <w:rPr>
          <w:rFonts w:cs="Times New Roman"/>
          <w:szCs w:val="24"/>
        </w:rPr>
      </w:pPr>
      <w:r>
        <w:rPr>
          <w:rFonts w:ascii="宋体" w:hAnsi="宋体" w:cs="Times New Roman"/>
          <w:szCs w:val="24"/>
        </w:rPr>
        <w:t>本项目运营期噪声主要来源于钻孔、矿石铲装</w:t>
      </w:r>
      <w:r>
        <w:rPr>
          <w:rFonts w:ascii="宋体" w:hAnsi="宋体" w:cs="Times New Roman" w:hint="eastAsia"/>
          <w:szCs w:val="24"/>
        </w:rPr>
        <w:t>、</w:t>
      </w:r>
      <w:r>
        <w:rPr>
          <w:rFonts w:ascii="宋体" w:hAnsi="宋体" w:cs="Times New Roman"/>
          <w:szCs w:val="24"/>
        </w:rPr>
        <w:t>破碎筛分及车辆运输等过程，设计中选用低噪声设备，并采取空压机、风机安装消声器、夜间不生产、车辆限速禁鸣等降噪措施和环境管理措施，并做好日常运营维护，可有效降低噪声影响。</w:t>
      </w:r>
    </w:p>
    <w:p w14:paraId="73BBA7F1" w14:textId="77777777" w:rsidR="00E579B9" w:rsidRDefault="006A1398">
      <w:pPr>
        <w:widowControl w:val="0"/>
        <w:spacing w:line="520" w:lineRule="exact"/>
        <w:jc w:val="both"/>
        <w:rPr>
          <w:rFonts w:cs="Times New Roman"/>
          <w:szCs w:val="24"/>
        </w:rPr>
      </w:pPr>
      <w:r>
        <w:rPr>
          <w:rFonts w:ascii="宋体" w:hAnsi="宋体" w:cs="Times New Roman"/>
          <w:szCs w:val="24"/>
        </w:rPr>
        <w:t>评价认为，经采取以上措施后，项目噪声对周围声环境的影响是可以接受的。</w:t>
      </w:r>
    </w:p>
    <w:p w14:paraId="0126CD1A" w14:textId="77777777" w:rsidR="00E579B9" w:rsidRDefault="006A1398">
      <w:pPr>
        <w:widowControl w:val="0"/>
        <w:spacing w:line="520" w:lineRule="exact"/>
        <w:jc w:val="both"/>
        <w:rPr>
          <w:rFonts w:cs="Times New Roman"/>
          <w:szCs w:val="24"/>
        </w:rPr>
      </w:pPr>
      <w:r>
        <w:rPr>
          <w:rFonts w:cs="Times New Roman"/>
          <w:szCs w:val="24"/>
        </w:rPr>
        <w:t>4</w:t>
      </w:r>
      <w:r>
        <w:rPr>
          <w:rFonts w:ascii="宋体" w:hAnsi="宋体" w:cs="Times New Roman"/>
          <w:szCs w:val="24"/>
        </w:rPr>
        <w:t>、运营期固体废物环境影响及污染防治措施</w:t>
      </w:r>
    </w:p>
    <w:p w14:paraId="48971E5C" w14:textId="77777777" w:rsidR="00E579B9" w:rsidRDefault="006A1398">
      <w:pPr>
        <w:rPr>
          <w:rFonts w:ascii="Calibri" w:hAnsi="Calibri" w:cs="Times New Roman"/>
          <w:kern w:val="0"/>
          <w:sz w:val="22"/>
        </w:rPr>
      </w:pPr>
      <w:r>
        <w:rPr>
          <w:rFonts w:ascii="宋体" w:hAnsi="宋体" w:cs="Times New Roman" w:hint="eastAsia"/>
          <w:kern w:val="0"/>
          <w:szCs w:val="24"/>
        </w:rPr>
        <w:t>生活垃圾经收集后，</w:t>
      </w:r>
      <w:r>
        <w:rPr>
          <w:rFonts w:ascii="宋体" w:hAnsi="宋体" w:cs="Times New Roman" w:hint="eastAsia"/>
          <w:szCs w:val="24"/>
        </w:rPr>
        <w:t>定期运往当地垃圾中转站集中处理</w:t>
      </w:r>
      <w:r>
        <w:rPr>
          <w:rFonts w:ascii="宋体" w:hAnsi="宋体" w:cs="Times New Roman"/>
          <w:szCs w:val="24"/>
        </w:rPr>
        <w:t>，不会对周边环境产生影响</w:t>
      </w:r>
      <w:r>
        <w:rPr>
          <w:rFonts w:ascii="宋体" w:hAnsi="宋体" w:cs="Times New Roman" w:hint="eastAsia"/>
          <w:szCs w:val="24"/>
        </w:rPr>
        <w:t>；项目破碎场地袋式除尘器收集粉尘掺入石粉中作为产品外售；</w:t>
      </w:r>
      <w:r>
        <w:t>项目废弃土石堆放在表土临时堆场，并修建挡土墙、排水沟、表土覆盖、植被绿化，减少水土流失，采取以上措施后对环境影响较小。</w:t>
      </w:r>
    </w:p>
    <w:p w14:paraId="687486F0" w14:textId="77777777" w:rsidR="00E579B9" w:rsidRDefault="006A1398">
      <w:pPr>
        <w:pStyle w:val="3"/>
        <w:ind w:firstLine="560"/>
      </w:pPr>
      <w:bookmarkStart w:id="512" w:name="_Toc24751"/>
      <w:bookmarkStart w:id="513" w:name="_Toc531939436"/>
      <w:r>
        <w:rPr>
          <w:rFonts w:hint="eastAsia"/>
        </w:rPr>
        <w:t>11.</w:t>
      </w:r>
      <w:r>
        <w:t>1.6</w:t>
      </w:r>
      <w:bookmarkEnd w:id="512"/>
      <w:r>
        <w:t>生态环境现状调查及评价</w:t>
      </w:r>
      <w:bookmarkEnd w:id="513"/>
    </w:p>
    <w:p w14:paraId="5969907C" w14:textId="77777777" w:rsidR="00E579B9" w:rsidRDefault="006A1398">
      <w:r>
        <w:t>本项目建设给生态环境造成的影响主要包括以下几方面：植被破坏、</w:t>
      </w:r>
      <w:r>
        <w:rPr>
          <w:rFonts w:hint="eastAsia"/>
        </w:rPr>
        <w:t>景观</w:t>
      </w:r>
      <w:r>
        <w:t>破坏、水土流失、生物量减少及土地利用方式改变等。</w:t>
      </w:r>
    </w:p>
    <w:p w14:paraId="41D8C315" w14:textId="77777777" w:rsidR="00E579B9" w:rsidRDefault="006A1398">
      <w:pPr>
        <w:rPr>
          <w:szCs w:val="28"/>
        </w:rPr>
      </w:pPr>
      <w:r>
        <w:rPr>
          <w:rFonts w:hint="eastAsia"/>
        </w:rPr>
        <w:t>本项目矿区</w:t>
      </w:r>
      <w:r>
        <w:t>面</w:t>
      </w:r>
      <w:r>
        <w:rPr>
          <w:color w:val="000000" w:themeColor="text1"/>
        </w:rPr>
        <w:t>积</w:t>
      </w:r>
      <w:r>
        <w:rPr>
          <w:rFonts w:hint="eastAsia"/>
        </w:rPr>
        <w:t>为</w:t>
      </w:r>
      <w:r>
        <w:rPr>
          <w:rFonts w:cs="Times New Roman"/>
          <w:spacing w:val="6"/>
          <w:szCs w:val="24"/>
        </w:rPr>
        <w:t>0.2965</w:t>
      </w:r>
      <w:r>
        <w:rPr>
          <w:rFonts w:cs="Times New Roman" w:hint="eastAsia"/>
          <w:spacing w:val="6"/>
          <w:szCs w:val="24"/>
        </w:rPr>
        <w:t>km</w:t>
      </w:r>
      <w:r>
        <w:rPr>
          <w:rFonts w:cs="Times New Roman" w:hint="eastAsia"/>
          <w:spacing w:val="6"/>
          <w:szCs w:val="24"/>
          <w:vertAlign w:val="superscript"/>
        </w:rPr>
        <w:t>2</w:t>
      </w:r>
      <w:r>
        <w:t>，主要</w:t>
      </w:r>
      <w:r>
        <w:rPr>
          <w:rFonts w:hint="eastAsia"/>
        </w:rPr>
        <w:t>为</w:t>
      </w:r>
      <w:r>
        <w:t>林地</w:t>
      </w:r>
      <w:r>
        <w:rPr>
          <w:rFonts w:hint="eastAsia"/>
        </w:rPr>
        <w:t>、灌草地、</w:t>
      </w:r>
      <w:r>
        <w:t>采矿用地。</w:t>
      </w:r>
      <w:r>
        <w:rPr>
          <w:rFonts w:hint="eastAsia"/>
        </w:rPr>
        <w:t>矿山的开采</w:t>
      </w:r>
      <w:r>
        <w:t>将使区域</w:t>
      </w:r>
      <w:r>
        <w:rPr>
          <w:rFonts w:hint="eastAsia"/>
        </w:rPr>
        <w:t>林</w:t>
      </w:r>
      <w:r>
        <w:t>地面积有所减少，但减少量不大，对土地利用格局影响不大，对区域内动植物及生物多样性的影响很小</w:t>
      </w:r>
      <w:r>
        <w:rPr>
          <w:rFonts w:hint="eastAsia"/>
        </w:rPr>
        <w:t>，</w:t>
      </w:r>
      <w:r>
        <w:rPr>
          <w:szCs w:val="28"/>
        </w:rPr>
        <w:t>通过采取生态恢复措施和水保措施后，区域生态环境会得到一定的补偿，对区域生物量的影响将会逐渐得到恢复。</w:t>
      </w:r>
    </w:p>
    <w:p w14:paraId="33C0D4E5" w14:textId="77777777" w:rsidR="00E579B9" w:rsidRDefault="006A1398">
      <w:pPr>
        <w:pStyle w:val="3"/>
        <w:ind w:firstLine="560"/>
      </w:pPr>
      <w:r>
        <w:t>11.1.7</w:t>
      </w:r>
      <w:r>
        <w:t>生态保护措施</w:t>
      </w:r>
    </w:p>
    <w:p w14:paraId="07B42DFC" w14:textId="77777777" w:rsidR="00E579B9" w:rsidRDefault="006A1398">
      <w:pPr>
        <w:pStyle w:val="0852"/>
        <w:spacing w:line="520" w:lineRule="exact"/>
        <w:ind w:firstLine="48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、建设期生态保护措施：加强管理，将临时占地面积控制在最低限度，以免造成土壤与植被的大面积破坏</w:t>
      </w:r>
      <w:r>
        <w:rPr>
          <w:rFonts w:ascii="Times New Roman" w:eastAsia="宋体" w:hAnsi="Times New Roman" w:cs="Times New Roman" w:hint="eastAsia"/>
        </w:rPr>
        <w:t>；</w:t>
      </w:r>
      <w:r>
        <w:rPr>
          <w:rFonts w:ascii="Times New Roman" w:eastAsia="宋体" w:hAnsi="Times New Roman" w:cs="Times New Roman"/>
        </w:rPr>
        <w:t>临时占地和新开辟破坏区竣工后要进行土地复垦</w:t>
      </w:r>
      <w:r>
        <w:rPr>
          <w:rFonts w:ascii="Times New Roman" w:eastAsia="宋体" w:hAnsi="Times New Roman" w:cs="Times New Roman"/>
        </w:rPr>
        <w:lastRenderedPageBreak/>
        <w:t>和植被重建工作，要进行土地平整、植树、种草工作</w:t>
      </w:r>
      <w:r>
        <w:rPr>
          <w:rFonts w:ascii="Times New Roman" w:eastAsia="宋体" w:hAnsi="Times New Roman" w:cs="Times New Roman" w:hint="eastAsia"/>
        </w:rPr>
        <w:t>；</w:t>
      </w:r>
      <w:r>
        <w:rPr>
          <w:rFonts w:ascii="Times New Roman" w:eastAsia="宋体" w:hAnsi="Times New Roman" w:cs="Times New Roman"/>
        </w:rPr>
        <w:t>避免在春季大风季节以及夏季暴雨时节进行作业；对于施工破坏区，施工完毕，要及时平整土地，并种植适宜的植物，以防止发生新的土壤侵蚀。</w:t>
      </w:r>
    </w:p>
    <w:p w14:paraId="2654D964" w14:textId="77777777" w:rsidR="00E579B9" w:rsidRDefault="006A1398">
      <w:pPr>
        <w:pStyle w:val="0852"/>
        <w:spacing w:line="520" w:lineRule="exact"/>
        <w:ind w:firstLine="48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、运营期生态环境综合保护措施：厂区</w:t>
      </w:r>
      <w:r>
        <w:rPr>
          <w:rFonts w:ascii="Times New Roman" w:eastAsia="宋体" w:hAnsi="Times New Roman" w:cs="Times New Roman" w:hint="eastAsia"/>
        </w:rPr>
        <w:t>及矿山道路两侧</w:t>
      </w:r>
      <w:r>
        <w:rPr>
          <w:rFonts w:ascii="Times New Roman" w:eastAsia="宋体" w:hAnsi="Times New Roman" w:cs="Times New Roman"/>
        </w:rPr>
        <w:t>补充绿化。</w:t>
      </w:r>
    </w:p>
    <w:p w14:paraId="202497B0" w14:textId="77777777" w:rsidR="00E579B9" w:rsidRDefault="006A1398">
      <w:pPr>
        <w:pStyle w:val="0852"/>
        <w:spacing w:line="520" w:lineRule="exact"/>
        <w:ind w:firstLine="480"/>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hint="eastAsia"/>
        </w:rPr>
        <w:t>边生产边恢复的</w:t>
      </w:r>
      <w:r>
        <w:rPr>
          <w:rFonts w:ascii="Times New Roman" w:eastAsia="宋体" w:hAnsi="Times New Roman" w:cs="Times New Roman"/>
        </w:rPr>
        <w:t>生态恢复措施：建设单位应根据实际情况制定生态恢复的工作计划，明确责任部门和责任人，明确恢复要求，落实相应资金等，拆除场地内不可利用的建筑，场地平整，种植乔木灌木、播洒草种生态恢复。</w:t>
      </w:r>
    </w:p>
    <w:p w14:paraId="36DC03EB" w14:textId="77777777" w:rsidR="00E579B9" w:rsidRDefault="006A1398">
      <w:pPr>
        <w:pStyle w:val="3"/>
        <w:ind w:firstLine="560"/>
      </w:pPr>
      <w:bookmarkStart w:id="514" w:name="_Toc7229"/>
      <w:bookmarkStart w:id="515" w:name="_Toc531939437"/>
      <w:r>
        <w:rPr>
          <w:rFonts w:hint="eastAsia"/>
        </w:rPr>
        <w:t>11.</w:t>
      </w:r>
      <w:r>
        <w:t>1.</w:t>
      </w:r>
      <w:r>
        <w:rPr>
          <w:rFonts w:hint="eastAsia"/>
        </w:rPr>
        <w:t>8</w:t>
      </w:r>
      <w:r>
        <w:rPr>
          <w:rFonts w:hint="eastAsia"/>
        </w:rPr>
        <w:t>选址可行性分析</w:t>
      </w:r>
      <w:bookmarkEnd w:id="514"/>
      <w:bookmarkEnd w:id="515"/>
    </w:p>
    <w:p w14:paraId="318F2510" w14:textId="77777777" w:rsidR="00E579B9" w:rsidRDefault="006A1398">
      <w:r>
        <w:t>从环境保护角度分析，项目工业场地和</w:t>
      </w:r>
      <w:r>
        <w:rPr>
          <w:rFonts w:hint="eastAsia"/>
        </w:rPr>
        <w:t>表土场</w:t>
      </w:r>
      <w:r>
        <w:t>选择可行</w:t>
      </w:r>
      <w:r>
        <w:rPr>
          <w:rFonts w:hint="eastAsia"/>
        </w:rPr>
        <w:t>。评价区</w:t>
      </w:r>
      <w:r>
        <w:t>距离敏感点较远，占地为自然保留地和建设用地，不占用基本农田，项目选址</w:t>
      </w:r>
      <w:r>
        <w:rPr>
          <w:rFonts w:hint="eastAsia"/>
        </w:rPr>
        <w:t>符合</w:t>
      </w:r>
      <w:r>
        <w:t>土地利用总体规划；根据环评分析，各场地建设营运周围环境影响不大；堆存表土用于项目运营期满后生态恢复；项目选址可行。</w:t>
      </w:r>
    </w:p>
    <w:p w14:paraId="5B8DB6B8" w14:textId="77777777" w:rsidR="00E579B9" w:rsidRDefault="006A1398">
      <w:pPr>
        <w:pStyle w:val="3"/>
        <w:ind w:firstLine="560"/>
      </w:pPr>
      <w:bookmarkStart w:id="516" w:name="_Toc7889"/>
      <w:bookmarkStart w:id="517" w:name="_Toc531939438"/>
      <w:r>
        <w:rPr>
          <w:rFonts w:hint="eastAsia"/>
        </w:rPr>
        <w:t>11.</w:t>
      </w:r>
      <w:r>
        <w:t>1.</w:t>
      </w:r>
      <w:r>
        <w:rPr>
          <w:rFonts w:hint="eastAsia"/>
        </w:rPr>
        <w:t>9</w:t>
      </w:r>
      <w:r>
        <w:t>公众</w:t>
      </w:r>
      <w:bookmarkEnd w:id="516"/>
      <w:r>
        <w:t>参与</w:t>
      </w:r>
      <w:bookmarkEnd w:id="517"/>
    </w:p>
    <w:p w14:paraId="66A79DDD" w14:textId="630D5416" w:rsidR="00E579B9" w:rsidRDefault="006A1398">
      <w:bookmarkStart w:id="518" w:name="_Toc32689"/>
      <w:bookmarkStart w:id="519" w:name="_Toc531939439"/>
      <w:r>
        <w:rPr>
          <w:rFonts w:hint="eastAsia"/>
        </w:rPr>
        <w:t>根据建设单位提供的公众参与情况说明，本项目于</w:t>
      </w:r>
      <w:r>
        <w:rPr>
          <w:rFonts w:hint="eastAsia"/>
        </w:rPr>
        <w:t>20</w:t>
      </w:r>
      <w:r>
        <w:t>20</w:t>
      </w:r>
      <w:r>
        <w:rPr>
          <w:rFonts w:hint="eastAsia"/>
        </w:rPr>
        <w:t>年</w:t>
      </w:r>
      <w:r>
        <w:t>1</w:t>
      </w:r>
      <w:r>
        <w:rPr>
          <w:rFonts w:hint="eastAsia"/>
        </w:rPr>
        <w:t>月</w:t>
      </w:r>
      <w:r>
        <w:t>15</w:t>
      </w:r>
      <w:r>
        <w:rPr>
          <w:rFonts w:hint="eastAsia"/>
        </w:rPr>
        <w:t>日委托环评单位编制环境影响报告，于</w:t>
      </w:r>
      <w:r>
        <w:t>2020</w:t>
      </w:r>
      <w:r>
        <w:rPr>
          <w:rFonts w:hint="eastAsia"/>
        </w:rPr>
        <w:t>年</w:t>
      </w:r>
      <w:r>
        <w:t>1</w:t>
      </w:r>
      <w:r>
        <w:rPr>
          <w:rFonts w:hint="eastAsia"/>
        </w:rPr>
        <w:t>月</w:t>
      </w:r>
      <w:r>
        <w:rPr>
          <w:rFonts w:hint="eastAsia"/>
        </w:rPr>
        <w:t>6</w:t>
      </w:r>
      <w:r>
        <w:rPr>
          <w:rFonts w:hint="eastAsia"/>
        </w:rPr>
        <w:t>日在天中网（</w:t>
      </w:r>
      <w:r>
        <w:t>http://www.tianzhong.net/tzw2014/News_View.asp?NewsID=1919</w:t>
      </w:r>
      <w:r>
        <w:rPr>
          <w:rFonts w:hint="eastAsia"/>
        </w:rPr>
        <w:t>）进行了第一次网上公示。项目环境影响报告书征求意见稿编制完成后，建设单位于</w:t>
      </w:r>
      <w:r>
        <w:rPr>
          <w:rFonts w:hint="eastAsia"/>
        </w:rPr>
        <w:t>20</w:t>
      </w:r>
      <w:r>
        <w:t>20</w:t>
      </w:r>
      <w:r>
        <w:rPr>
          <w:rFonts w:hint="eastAsia"/>
        </w:rPr>
        <w:t>年</w:t>
      </w:r>
      <w:r>
        <w:rPr>
          <w:rFonts w:hint="eastAsia"/>
        </w:rPr>
        <w:t>2</w:t>
      </w:r>
      <w:r>
        <w:rPr>
          <w:rFonts w:hint="eastAsia"/>
        </w:rPr>
        <w:t>月</w:t>
      </w:r>
      <w:r>
        <w:rPr>
          <w:rFonts w:hint="eastAsia"/>
        </w:rPr>
        <w:t>5</w:t>
      </w:r>
      <w:r>
        <w:rPr>
          <w:rFonts w:hint="eastAsia"/>
        </w:rPr>
        <w:t>日在天中网（</w:t>
      </w:r>
      <w:r>
        <w:t>www.tianzhong.net</w:t>
      </w:r>
      <w:r>
        <w:rPr>
          <w:rFonts w:hint="eastAsia"/>
        </w:rPr>
        <w:t>）进行了第二次网上公示，并于</w:t>
      </w:r>
      <w:r>
        <w:rPr>
          <w:rFonts w:hint="eastAsia"/>
        </w:rPr>
        <w:t>2020</w:t>
      </w:r>
      <w:r>
        <w:rPr>
          <w:rFonts w:hint="eastAsia"/>
        </w:rPr>
        <w:t>年</w:t>
      </w:r>
      <w:r>
        <w:t>2</w:t>
      </w:r>
      <w:r>
        <w:rPr>
          <w:rFonts w:hint="eastAsia"/>
        </w:rPr>
        <w:t>月</w:t>
      </w:r>
      <w:r>
        <w:rPr>
          <w:rFonts w:hint="eastAsia"/>
        </w:rPr>
        <w:t>10</w:t>
      </w:r>
      <w:r>
        <w:rPr>
          <w:rFonts w:hint="eastAsia"/>
        </w:rPr>
        <w:t>日和</w:t>
      </w:r>
      <w:r>
        <w:rPr>
          <w:rFonts w:hint="eastAsia"/>
        </w:rPr>
        <w:t>2</w:t>
      </w:r>
      <w:r>
        <w:rPr>
          <w:rFonts w:hint="eastAsia"/>
        </w:rPr>
        <w:t>月</w:t>
      </w:r>
      <w:r w:rsidR="006D0FC2">
        <w:rPr>
          <w:rFonts w:hint="eastAsia"/>
        </w:rPr>
        <w:t>21</w:t>
      </w:r>
      <w:r>
        <w:rPr>
          <w:rFonts w:hint="eastAsia"/>
        </w:rPr>
        <w:t>日在《</w:t>
      </w:r>
      <w:r w:rsidR="006D0FC2">
        <w:rPr>
          <w:rFonts w:hint="eastAsia"/>
        </w:rPr>
        <w:t>中国消费者报</w:t>
      </w:r>
      <w:r>
        <w:rPr>
          <w:rFonts w:hint="eastAsia"/>
        </w:rPr>
        <w:t>》进行了媒体公示，并于</w:t>
      </w:r>
      <w:r w:rsidRPr="005D058A">
        <w:rPr>
          <w:rFonts w:hint="eastAsia"/>
          <w:color w:val="FF0000"/>
        </w:rPr>
        <w:t>20</w:t>
      </w:r>
      <w:r w:rsidR="005D058A" w:rsidRPr="005D058A">
        <w:rPr>
          <w:rFonts w:hint="eastAsia"/>
          <w:color w:val="FF0000"/>
        </w:rPr>
        <w:t>20</w:t>
      </w:r>
      <w:r w:rsidRPr="005D058A">
        <w:rPr>
          <w:rFonts w:hint="eastAsia"/>
          <w:color w:val="FF0000"/>
        </w:rPr>
        <w:t>年</w:t>
      </w:r>
      <w:r w:rsidRPr="005D058A">
        <w:rPr>
          <w:color w:val="FF0000"/>
        </w:rPr>
        <w:t>2</w:t>
      </w:r>
      <w:r w:rsidRPr="005D058A">
        <w:rPr>
          <w:rFonts w:hint="eastAsia"/>
          <w:color w:val="FF0000"/>
        </w:rPr>
        <w:t>月</w:t>
      </w:r>
      <w:r w:rsidRPr="005D058A">
        <w:rPr>
          <w:color w:val="FF0000"/>
        </w:rPr>
        <w:t>8</w:t>
      </w:r>
      <w:r w:rsidRPr="005D058A">
        <w:rPr>
          <w:rFonts w:hint="eastAsia"/>
          <w:color w:val="FF0000"/>
        </w:rPr>
        <w:t>日</w:t>
      </w:r>
      <w:r>
        <w:rPr>
          <w:rFonts w:hint="eastAsia"/>
        </w:rPr>
        <w:t>在沙河店镇</w:t>
      </w:r>
      <w:r>
        <w:t>傅</w:t>
      </w:r>
      <w:proofErr w:type="gramStart"/>
      <w:r>
        <w:t>埂</w:t>
      </w:r>
      <w:proofErr w:type="gramEnd"/>
      <w:r>
        <w:t>村</w:t>
      </w:r>
      <w:r>
        <w:rPr>
          <w:rFonts w:hint="eastAsia"/>
        </w:rPr>
        <w:t>进行了现场张贴公示，广泛征求项目周边公众群体意见。</w:t>
      </w:r>
    </w:p>
    <w:p w14:paraId="4ABE8749" w14:textId="77777777" w:rsidR="00E579B9" w:rsidRDefault="006A1398">
      <w:r>
        <w:rPr>
          <w:rFonts w:hint="eastAsia"/>
        </w:rPr>
        <w:t>征求公众意见期间，未收到有关公众反馈反对意见。</w:t>
      </w:r>
    </w:p>
    <w:p w14:paraId="0A58DCEE" w14:textId="77777777" w:rsidR="00E579B9" w:rsidRDefault="006A1398">
      <w:pPr>
        <w:pStyle w:val="3"/>
        <w:ind w:firstLine="560"/>
        <w:rPr>
          <w:highlight w:val="yellow"/>
        </w:rPr>
      </w:pPr>
      <w:r>
        <w:rPr>
          <w:rFonts w:hint="eastAsia"/>
        </w:rPr>
        <w:t>11.</w:t>
      </w:r>
      <w:r>
        <w:t>1.</w:t>
      </w:r>
      <w:r>
        <w:rPr>
          <w:rFonts w:hint="eastAsia"/>
        </w:rPr>
        <w:t>10</w:t>
      </w:r>
      <w:r>
        <w:t>环保投资</w:t>
      </w:r>
      <w:bookmarkStart w:id="520" w:name="_GoBack"/>
      <w:bookmarkEnd w:id="518"/>
      <w:bookmarkEnd w:id="519"/>
      <w:bookmarkEnd w:id="520"/>
    </w:p>
    <w:p w14:paraId="0E204F09" w14:textId="77777777" w:rsidR="00E579B9" w:rsidRDefault="006A1398">
      <w:r>
        <w:t>该项目的环保投资为</w:t>
      </w:r>
      <w:r>
        <w:rPr>
          <w:rFonts w:hint="eastAsia"/>
        </w:rPr>
        <w:t>509</w:t>
      </w:r>
      <w:r>
        <w:t>万元，占总投资的</w:t>
      </w:r>
      <w:r>
        <w:t>10.18</w:t>
      </w:r>
      <w:r>
        <w:t>％。主要用于</w:t>
      </w:r>
      <w:r>
        <w:rPr>
          <w:rFonts w:hint="eastAsia"/>
        </w:rPr>
        <w:t>项目</w:t>
      </w:r>
      <w:r>
        <w:t>废气、废水</w:t>
      </w:r>
      <w:r>
        <w:rPr>
          <w:rFonts w:hint="eastAsia"/>
        </w:rPr>
        <w:t>以及采区服务期满后生态恢复</w:t>
      </w:r>
      <w:r>
        <w:t>。从环境经济分析角度该项目的建设是可行的。</w:t>
      </w:r>
    </w:p>
    <w:p w14:paraId="0884C512" w14:textId="77777777" w:rsidR="00E579B9" w:rsidRDefault="006A1398">
      <w:pPr>
        <w:pStyle w:val="2"/>
        <w:ind w:firstLine="560"/>
      </w:pPr>
      <w:bookmarkStart w:id="521" w:name="_Toc33021838"/>
      <w:r>
        <w:rPr>
          <w:rFonts w:hint="eastAsia"/>
        </w:rPr>
        <w:lastRenderedPageBreak/>
        <w:t>11.2</w:t>
      </w:r>
      <w:r>
        <w:rPr>
          <w:rFonts w:hint="eastAsia"/>
        </w:rPr>
        <w:t>评价总结论</w:t>
      </w:r>
      <w:bookmarkEnd w:id="521"/>
    </w:p>
    <w:p w14:paraId="6888EAE0" w14:textId="77777777" w:rsidR="00E579B9" w:rsidRDefault="006A1398">
      <w:r>
        <w:rPr>
          <w:rFonts w:hint="eastAsia"/>
        </w:rPr>
        <w:t>驻马店市驿城区李尧建筑用大理岩矿开采项目属于非金属矿山开采项目，符合相关规划及政策要求，矿山开采及配套生产设备不在鼓励、限制、淘汰类名录中，属允许建设项目；本项目生产废水主要为洒水抑尘，生活污水综合利用，实现了废污水不排放，对地表水没有影响；弃土废石可得到合理处置；废气、噪声经采取措施治理后，均可做到达标排放，对附近敏感点影响不大；公众普遍支持本项目建设，无人反对；项目所产生的经济与社会效益显著。从环保角度出发，在落实设计和环评提出的各项环保措施的前提下，该项目建设可行。</w:t>
      </w:r>
    </w:p>
    <w:p w14:paraId="67A77B13" w14:textId="77777777" w:rsidR="00E579B9" w:rsidRDefault="006A1398">
      <w:pPr>
        <w:pStyle w:val="2"/>
        <w:ind w:firstLine="560"/>
      </w:pPr>
      <w:bookmarkStart w:id="522" w:name="_Toc19098"/>
      <w:bookmarkStart w:id="523" w:name="_Toc335031003"/>
      <w:bookmarkStart w:id="524" w:name="_Toc531939441"/>
      <w:bookmarkStart w:id="525" w:name="_Toc33021839"/>
      <w:r>
        <w:rPr>
          <w:rFonts w:hint="eastAsia"/>
        </w:rPr>
        <w:t>11.3</w:t>
      </w:r>
      <w:r>
        <w:t>评价建议</w:t>
      </w:r>
      <w:bookmarkEnd w:id="522"/>
      <w:bookmarkEnd w:id="523"/>
      <w:bookmarkEnd w:id="524"/>
      <w:bookmarkEnd w:id="525"/>
    </w:p>
    <w:p w14:paraId="1F2970BB" w14:textId="77777777" w:rsidR="00E579B9" w:rsidRDefault="006A1398">
      <w:r>
        <w:rPr>
          <w:rFonts w:hint="eastAsia"/>
        </w:rPr>
        <w:t>（</w:t>
      </w:r>
      <w:r>
        <w:rPr>
          <w:rFonts w:hint="eastAsia"/>
        </w:rPr>
        <w:t>1</w:t>
      </w:r>
      <w:r>
        <w:rPr>
          <w:rFonts w:hint="eastAsia"/>
        </w:rPr>
        <w:t>）</w:t>
      </w:r>
      <w:r>
        <w:t>委托设计单位对项目露天开采编制施工方案，严格按方案开采，不得越界开采；根据开采计划，提前对开采涉及到的敏感目标实施搬迁；建设单位在项目实施过程中，务必认真落实设计和环评提出的各项污染治理措施，确保全厂各项污染物能够得到有效治理；</w:t>
      </w:r>
    </w:p>
    <w:p w14:paraId="13D66DD5" w14:textId="77777777" w:rsidR="00E579B9" w:rsidRDefault="006A1398">
      <w:r>
        <w:t>（</w:t>
      </w:r>
      <w:r>
        <w:rPr>
          <w:rFonts w:hint="eastAsia"/>
        </w:rPr>
        <w:t>2</w:t>
      </w:r>
      <w:r>
        <w:t>）</w:t>
      </w:r>
      <w:r>
        <w:rPr>
          <w:rFonts w:hint="eastAsia"/>
        </w:rPr>
        <w:t>采取边开采、边恢复</w:t>
      </w:r>
      <w:r>
        <w:t>及时进行生态恢复与重建，在进行生态恢复与重建过程中，应结合当地自然生态环境特征进行矿区景观、美学设计，合理利用矿区地形、地貌和景观资源，进行预防性保护和开发，消除矿山建设所形成的不良景观，大力进行矿区绿化，将绿化和美化结合，形成生态环境的协调统一</w:t>
      </w:r>
      <w:r>
        <w:rPr>
          <w:rFonts w:hint="eastAsia"/>
        </w:rPr>
        <w:t>。</w:t>
      </w:r>
    </w:p>
    <w:p w14:paraId="24404B30" w14:textId="77777777" w:rsidR="00E579B9" w:rsidRDefault="006A1398">
      <w:r>
        <w:rPr>
          <w:rFonts w:hint="eastAsia"/>
          <w:szCs w:val="28"/>
        </w:rPr>
        <w:t>（</w:t>
      </w:r>
      <w:r>
        <w:rPr>
          <w:rFonts w:hint="eastAsia"/>
          <w:szCs w:val="28"/>
        </w:rPr>
        <w:t>3</w:t>
      </w:r>
      <w:r>
        <w:rPr>
          <w:rFonts w:hint="eastAsia"/>
          <w:szCs w:val="28"/>
        </w:rPr>
        <w:t>）</w:t>
      </w:r>
      <w:r>
        <w:rPr>
          <w:rFonts w:hint="eastAsia"/>
        </w:rPr>
        <w:t>建议建设单位严格按照绿色矿山的标准和要求进行设计和建设，将绿色矿山的理念融入项目整个设计、建设和运行的全过程中。</w:t>
      </w:r>
    </w:p>
    <w:p w14:paraId="51913CDD" w14:textId="77777777" w:rsidR="00E579B9" w:rsidRDefault="00E579B9"/>
    <w:sectPr w:rsidR="00E579B9">
      <w:pgSz w:w="11906" w:h="16838"/>
      <w:pgMar w:top="1701" w:right="1588" w:bottom="1985" w:left="1588" w:header="1077" w:footer="850" w:gutter="227"/>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BFC5C" w14:textId="77777777" w:rsidR="00F4467B" w:rsidRDefault="00F4467B">
      <w:pPr>
        <w:spacing w:line="240" w:lineRule="auto"/>
      </w:pPr>
      <w:r>
        <w:separator/>
      </w:r>
    </w:p>
  </w:endnote>
  <w:endnote w:type="continuationSeparator" w:id="0">
    <w:p w14:paraId="0DC09E34" w14:textId="77777777" w:rsidR="00F4467B" w:rsidRDefault="00F446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楷体_GB2312">
    <w:altName w:val="楷体"/>
    <w:charset w:val="86"/>
    <w:family w:val="modern"/>
    <w:pitch w:val="fixed"/>
    <w:sig w:usb0="00000001" w:usb1="080E0000" w:usb2="00000010" w:usb3="00000000" w:csb0="00040000" w:csb1="00000000"/>
  </w:font>
  <w:font w:name="微软雅黑">
    <w:altName w:val="微软雅黑"/>
    <w:panose1 w:val="020B0503020204020204"/>
    <w:charset w:val="86"/>
    <w:family w:val="swiss"/>
    <w:pitch w:val="variable"/>
    <w:sig w:usb0="80000287" w:usb1="2ACF3C50" w:usb2="00000016" w:usb3="00000000" w:csb0="0004001F" w:csb1="00000000"/>
  </w:font>
  <w:font w:name="宋体-PUA">
    <w:altName w:val="宋体"/>
    <w:charset w:val="86"/>
    <w:family w:val="auto"/>
    <w:pitch w:val="variable"/>
    <w:sig w:usb0="00000001" w:usb1="1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NewRomanPSMT">
    <w:altName w:val="等线"/>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52FA2" w14:textId="77777777" w:rsidR="00BD1C8B" w:rsidRDefault="00BD1C8B">
    <w:pPr>
      <w:pStyle w:val="ae"/>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85AFD" w14:textId="77777777" w:rsidR="00BD1C8B" w:rsidRDefault="00BD1C8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98AB1" w14:textId="77777777" w:rsidR="00BD1C8B" w:rsidRDefault="00BD1C8B">
    <w:r>
      <w:rPr>
        <w:rFonts w:hint="eastAsia"/>
      </w:rPr>
      <w:t>7</w:t>
    </w:r>
    <w:r>
      <w:t>-</w:t>
    </w:r>
    <w:r>
      <w:fldChar w:fldCharType="begin"/>
    </w:r>
    <w:r>
      <w:instrText xml:space="preserve">PAGE  </w:instrText>
    </w:r>
    <w:r>
      <w:fldChar w:fldCharType="separate"/>
    </w:r>
    <w:r>
      <w:t>18</w:t>
    </w:r>
    <w:r>
      <w:fldChar w:fldCharType="end"/>
    </w:r>
  </w:p>
  <w:p w14:paraId="545A87C2" w14:textId="77777777" w:rsidR="00BD1C8B" w:rsidRDefault="00BD1C8B"/>
  <w:p w14:paraId="3017070D" w14:textId="77777777" w:rsidR="00BD1C8B" w:rsidRDefault="00BD1C8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19544"/>
    </w:sdtPr>
    <w:sdtEndPr/>
    <w:sdtContent>
      <w:p w14:paraId="2C526D54" w14:textId="77777777" w:rsidR="00BD1C8B" w:rsidRDefault="00BD1C8B">
        <w:pPr>
          <w:jc w:val="center"/>
        </w:pPr>
        <w:r>
          <w:fldChar w:fldCharType="begin"/>
        </w:r>
        <w:r>
          <w:instrText>PAGE   \* MERGEFORMAT</w:instrText>
        </w:r>
        <w:r>
          <w:fldChar w:fldCharType="separate"/>
        </w:r>
        <w:r>
          <w:rPr>
            <w:lang w:val="zh-CN"/>
          </w:rPr>
          <w:t>146</w:t>
        </w:r>
        <w:r>
          <w:fldChar w:fldCharType="end"/>
        </w:r>
      </w:p>
    </w:sdtContent>
  </w:sdt>
  <w:p w14:paraId="7139065B" w14:textId="77777777" w:rsidR="00BD1C8B" w:rsidRDefault="00BD1C8B"/>
  <w:p w14:paraId="33B5BEE8" w14:textId="77777777" w:rsidR="00BD1C8B" w:rsidRDefault="00BD1C8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8DAFC" w14:textId="77777777" w:rsidR="00BD1C8B" w:rsidRDefault="00BD1C8B"/>
  <w:p w14:paraId="0CC5CC3E" w14:textId="77777777" w:rsidR="00BD1C8B" w:rsidRDefault="00BD1C8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EBD24" w14:textId="77777777" w:rsidR="00BD1C8B" w:rsidRDefault="00BD1C8B">
    <w:r>
      <w:rPr>
        <w:rFonts w:hint="eastAsia"/>
      </w:rPr>
      <w:t>7</w:t>
    </w:r>
    <w:r>
      <w:t>-</w:t>
    </w:r>
    <w:r>
      <w:fldChar w:fldCharType="begin"/>
    </w:r>
    <w:r>
      <w:instrText xml:space="preserve">PAGE  </w:instrText>
    </w:r>
    <w:r>
      <w:fldChar w:fldCharType="separate"/>
    </w:r>
    <w:r>
      <w:t>18</w:t>
    </w:r>
    <w:r>
      <w:fldChar w:fldCharType="end"/>
    </w:r>
  </w:p>
  <w:p w14:paraId="4FDAE48B" w14:textId="77777777" w:rsidR="00BD1C8B" w:rsidRDefault="00BD1C8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446701"/>
    </w:sdtPr>
    <w:sdtEndPr/>
    <w:sdtContent>
      <w:p w14:paraId="4CE6F391" w14:textId="77777777" w:rsidR="00BD1C8B" w:rsidRDefault="00BD1C8B">
        <w:pPr>
          <w:jc w:val="center"/>
        </w:pPr>
        <w:r>
          <w:fldChar w:fldCharType="begin"/>
        </w:r>
        <w:r>
          <w:instrText>PAGE   \* MERGEFORMAT</w:instrText>
        </w:r>
        <w:r>
          <w:fldChar w:fldCharType="separate"/>
        </w:r>
        <w:r>
          <w:rPr>
            <w:lang w:val="zh-CN"/>
          </w:rPr>
          <w:t>152</w:t>
        </w:r>
        <w:r>
          <w:fldChar w:fldCharType="end"/>
        </w:r>
      </w:p>
    </w:sdtContent>
  </w:sdt>
  <w:p w14:paraId="531ACCD4" w14:textId="77777777" w:rsidR="00BD1C8B" w:rsidRDefault="00BD1C8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03A40" w14:textId="77777777" w:rsidR="00BD1C8B" w:rsidRDefault="00BD1C8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168961"/>
    </w:sdtPr>
    <w:sdtEndPr/>
    <w:sdtContent>
      <w:p w14:paraId="0C53FCE2" w14:textId="77777777" w:rsidR="00BD1C8B" w:rsidRDefault="00BD1C8B">
        <w:pPr>
          <w:jc w:val="center"/>
        </w:pPr>
        <w:r>
          <w:fldChar w:fldCharType="begin"/>
        </w:r>
        <w:r>
          <w:instrText>PAGE   \* MERGEFORMAT</w:instrText>
        </w:r>
        <w:r>
          <w:fldChar w:fldCharType="separate"/>
        </w:r>
        <w:r>
          <w:rPr>
            <w:lang w:val="zh-CN"/>
          </w:rPr>
          <w:t>194</w:t>
        </w:r>
        <w:r>
          <w:fldChar w:fldCharType="end"/>
        </w:r>
      </w:p>
    </w:sdtContent>
  </w:sdt>
  <w:p w14:paraId="0D191544" w14:textId="77777777" w:rsidR="00BD1C8B" w:rsidRDefault="00BD1C8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6DED5" w14:textId="77777777" w:rsidR="00BD1C8B" w:rsidRDefault="00BD1C8B">
    <w:r>
      <w:rPr>
        <w:rFonts w:hint="eastAsia"/>
      </w:rPr>
      <w:t>17-</w:t>
    </w:r>
    <w:r>
      <w:fldChar w:fldCharType="begin"/>
    </w:r>
    <w:r>
      <w:instrText xml:space="preserve">PAGE  </w:instrText>
    </w:r>
    <w:r>
      <w:fldChar w:fldCharType="separate"/>
    </w:r>
    <w:r>
      <w:t>2</w:t>
    </w:r>
    <w:r>
      <w:fldChar w:fldCharType="end"/>
    </w:r>
  </w:p>
  <w:p w14:paraId="2D4F4D8C" w14:textId="77777777" w:rsidR="00BD1C8B" w:rsidRDefault="00BD1C8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297127"/>
    </w:sdtPr>
    <w:sdtEndPr/>
    <w:sdtContent>
      <w:p w14:paraId="1B77A649" w14:textId="77777777" w:rsidR="00BD1C8B" w:rsidRDefault="00BD1C8B">
        <w:pPr>
          <w:jc w:val="center"/>
        </w:pPr>
        <w:r>
          <w:fldChar w:fldCharType="begin"/>
        </w:r>
        <w:r>
          <w:instrText>PAGE   \* MERGEFORMAT</w:instrText>
        </w:r>
        <w:r>
          <w:fldChar w:fldCharType="separate"/>
        </w:r>
        <w:r>
          <w:rPr>
            <w:lang w:val="zh-CN"/>
          </w:rPr>
          <w:t>209</w:t>
        </w:r>
        <w:r>
          <w:fldChar w:fldCharType="end"/>
        </w:r>
      </w:p>
    </w:sdtContent>
  </w:sdt>
  <w:p w14:paraId="5832F8E3" w14:textId="77777777" w:rsidR="00BD1C8B" w:rsidRDefault="00BD1C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891113"/>
    </w:sdtPr>
    <w:sdtEndPr/>
    <w:sdtContent>
      <w:p w14:paraId="674B1026" w14:textId="77777777" w:rsidR="00BD1C8B" w:rsidRDefault="00BD1C8B">
        <w:pPr>
          <w:jc w:val="center"/>
        </w:pPr>
        <w:r>
          <w:fldChar w:fldCharType="begin"/>
        </w:r>
        <w:r>
          <w:instrText>PAGE   \* MERGEFORMAT</w:instrText>
        </w:r>
        <w:r>
          <w:fldChar w:fldCharType="separate"/>
        </w:r>
        <w:r>
          <w:rPr>
            <w:lang w:val="zh-CN"/>
          </w:rPr>
          <w:t>43</w:t>
        </w:r>
        <w:r>
          <w:fldChar w:fldCharType="end"/>
        </w:r>
      </w:p>
    </w:sdtContent>
  </w:sdt>
  <w:p w14:paraId="45B7798A" w14:textId="77777777" w:rsidR="00BD1C8B" w:rsidRDefault="00BD1C8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533F2" w14:textId="77777777" w:rsidR="00BD1C8B" w:rsidRDefault="00BD1C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1329E" w14:textId="77777777" w:rsidR="00BD1C8B" w:rsidRDefault="00BD1C8B">
    <w:pPr>
      <w:pStyle w:val="ae"/>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9D1A1" w14:textId="77777777" w:rsidR="00BD1C8B" w:rsidRDefault="00BD1C8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03179"/>
    </w:sdtPr>
    <w:sdtEndPr/>
    <w:sdtContent>
      <w:p w14:paraId="6251FB13" w14:textId="77777777" w:rsidR="00BD1C8B" w:rsidRDefault="00BD1C8B">
        <w:pPr>
          <w:jc w:val="center"/>
        </w:pPr>
        <w:r>
          <w:fldChar w:fldCharType="begin"/>
        </w:r>
        <w:r>
          <w:instrText>PAGE   \* MERGEFORMAT</w:instrText>
        </w:r>
        <w:r>
          <w:fldChar w:fldCharType="separate"/>
        </w:r>
        <w:r>
          <w:rPr>
            <w:lang w:val="zh-CN"/>
          </w:rPr>
          <w:t>67</w:t>
        </w:r>
        <w:r>
          <w:fldChar w:fldCharType="end"/>
        </w:r>
      </w:p>
    </w:sdtContent>
  </w:sdt>
  <w:p w14:paraId="7E19FA50" w14:textId="77777777" w:rsidR="00BD1C8B" w:rsidRDefault="00BD1C8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BAF91" w14:textId="77777777" w:rsidR="00BD1C8B" w:rsidRDefault="00BD1C8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A34E9" w14:textId="35AB37A6" w:rsidR="00BD1C8B" w:rsidRDefault="00BD1C8B">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604CF4E3" wp14:editId="7B8197D8">
              <wp:simplePos x="0" y="0"/>
              <wp:positionH relativeFrom="page">
                <wp:posOffset>3781425</wp:posOffset>
              </wp:positionH>
              <wp:positionV relativeFrom="page">
                <wp:posOffset>9792970</wp:posOffset>
              </wp:positionV>
              <wp:extent cx="570865" cy="394970"/>
              <wp:effectExtent l="0" t="1270" r="635" b="381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A536" w14:textId="77777777" w:rsidR="00BD1C8B" w:rsidRPr="007F239B" w:rsidRDefault="00BD1C8B">
                          <w:pPr>
                            <w:spacing w:line="203" w:lineRule="exact"/>
                            <w:ind w:left="40"/>
                            <w:rPr>
                              <w:rFonts w:eastAsia="Calibri" w:cs="Times New Roman"/>
                              <w:szCs w:val="24"/>
                            </w:rPr>
                          </w:pPr>
                          <w:r w:rsidRPr="007F239B">
                            <w:rPr>
                              <w:rFonts w:cs="Times New Roman"/>
                              <w:szCs w:val="24"/>
                            </w:rPr>
                            <w:fldChar w:fldCharType="begin"/>
                          </w:r>
                          <w:r w:rsidRPr="007F239B">
                            <w:rPr>
                              <w:rFonts w:cs="Times New Roman"/>
                              <w:w w:val="99"/>
                              <w:szCs w:val="24"/>
                            </w:rPr>
                            <w:instrText xml:space="preserve"> PAGE </w:instrText>
                          </w:r>
                          <w:r w:rsidRPr="007F239B">
                            <w:rPr>
                              <w:rFonts w:cs="Times New Roman"/>
                              <w:szCs w:val="24"/>
                            </w:rPr>
                            <w:fldChar w:fldCharType="separate"/>
                          </w:r>
                          <w:r w:rsidRPr="007F239B">
                            <w:rPr>
                              <w:rFonts w:cs="Times New Roman"/>
                              <w:w w:val="99"/>
                              <w:szCs w:val="24"/>
                            </w:rPr>
                            <w:t>98</w:t>
                          </w:r>
                          <w:r w:rsidRPr="007F239B">
                            <w:rPr>
                              <w:rFonts w:cs="Times New Roman"/>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CF4E3" id="_x0000_t202" coordsize="21600,21600" o:spt="202" path="m,l,21600r21600,l21600,xe">
              <v:stroke joinstyle="miter"/>
              <v:path gradientshapeok="t" o:connecttype="rect"/>
            </v:shapetype>
            <v:shape id="文本框 1" o:spid="_x0000_s1039" type="#_x0000_t202" style="position:absolute;left:0;text-align:left;margin-left:297.75pt;margin-top:771.1pt;width:44.95pt;height:3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" filled="f" stroked="f">
              <v:textbox inset="0,0,0,0">
                <w:txbxContent>
                  <w:p w14:paraId="5A96A536" w14:textId="77777777" w:rsidR="00BD1C8B" w:rsidRPr="007F239B" w:rsidRDefault="00BD1C8B">
                    <w:pPr>
                      <w:spacing w:line="203" w:lineRule="exact"/>
                      <w:ind w:left="40"/>
                      <w:rPr>
                        <w:rFonts w:eastAsia="Calibri" w:cs="Times New Roman"/>
                        <w:szCs w:val="24"/>
                      </w:rPr>
                    </w:pPr>
                    <w:r w:rsidRPr="007F239B">
                      <w:rPr>
                        <w:rFonts w:cs="Times New Roman"/>
                        <w:szCs w:val="24"/>
                      </w:rPr>
                      <w:fldChar w:fldCharType="begin"/>
                    </w:r>
                    <w:r w:rsidRPr="007F239B">
                      <w:rPr>
                        <w:rFonts w:cs="Times New Roman"/>
                        <w:w w:val="99"/>
                        <w:szCs w:val="24"/>
                      </w:rPr>
                      <w:instrText xml:space="preserve"> PAGE </w:instrText>
                    </w:r>
                    <w:r w:rsidRPr="007F239B">
                      <w:rPr>
                        <w:rFonts w:cs="Times New Roman"/>
                        <w:szCs w:val="24"/>
                      </w:rPr>
                      <w:fldChar w:fldCharType="separate"/>
                    </w:r>
                    <w:r w:rsidRPr="007F239B">
                      <w:rPr>
                        <w:rFonts w:cs="Times New Roman"/>
                        <w:w w:val="99"/>
                        <w:szCs w:val="24"/>
                      </w:rPr>
                      <w:t>98</w:t>
                    </w:r>
                    <w:r w:rsidRPr="007F239B">
                      <w:rPr>
                        <w:rFonts w:cs="Times New Roman"/>
                        <w:szCs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CF2C6" w14:textId="77777777" w:rsidR="00BD1C8B" w:rsidRDefault="00BD1C8B">
    <w:r>
      <w:rPr>
        <w:rFonts w:hint="eastAsia"/>
      </w:rPr>
      <w:t>7</w:t>
    </w:r>
    <w:r>
      <w:t>-</w:t>
    </w:r>
    <w:r>
      <w:fldChar w:fldCharType="begin"/>
    </w:r>
    <w:r>
      <w:instrText xml:space="preserve">PAGE  </w:instrText>
    </w:r>
    <w:r>
      <w:fldChar w:fldCharType="separate"/>
    </w:r>
    <w:r>
      <w:t>18</w:t>
    </w:r>
    <w:r>
      <w:fldChar w:fldCharType="end"/>
    </w:r>
  </w:p>
  <w:p w14:paraId="3C8A8E6A" w14:textId="77777777" w:rsidR="00BD1C8B" w:rsidRDefault="00BD1C8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328491"/>
    </w:sdtPr>
    <w:sdtEndPr/>
    <w:sdtContent>
      <w:p w14:paraId="2F7E4D46" w14:textId="77777777" w:rsidR="00BD1C8B" w:rsidRDefault="00BD1C8B">
        <w:r>
          <w:fldChar w:fldCharType="begin"/>
        </w:r>
        <w:r>
          <w:instrText>PAGE   \* MERGEFORMAT</w:instrText>
        </w:r>
        <w:r>
          <w:fldChar w:fldCharType="separate"/>
        </w:r>
        <w:r>
          <w:rPr>
            <w:lang w:val="zh-CN"/>
          </w:rPr>
          <w:t>126</w:t>
        </w:r>
        <w:r>
          <w:fldChar w:fldCharType="end"/>
        </w:r>
      </w:p>
    </w:sdtContent>
  </w:sdt>
  <w:p w14:paraId="1B6743D5" w14:textId="77777777" w:rsidR="00BD1C8B" w:rsidRDefault="00BD1C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540CD" w14:textId="77777777" w:rsidR="00F4467B" w:rsidRDefault="00F4467B">
      <w:pPr>
        <w:spacing w:line="240" w:lineRule="auto"/>
      </w:pPr>
      <w:r>
        <w:separator/>
      </w:r>
    </w:p>
  </w:footnote>
  <w:footnote w:type="continuationSeparator" w:id="0">
    <w:p w14:paraId="24467E3E" w14:textId="77777777" w:rsidR="00F4467B" w:rsidRDefault="00F446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E5CCC" w14:textId="77777777" w:rsidR="00BD1C8B" w:rsidRDefault="00BD1C8B">
    <w:pPr>
      <w:pStyle w:val="af0"/>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B56AC" w14:textId="77777777" w:rsidR="00BD1C8B" w:rsidRDefault="00BD1C8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707D8" w14:textId="77777777" w:rsidR="00BD1C8B" w:rsidRDefault="00BD1C8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3BA03" w14:textId="77777777" w:rsidR="00BD1C8B" w:rsidRDefault="00BD1C8B">
    <w:r>
      <w:rPr>
        <w:rFonts w:hint="eastAsia"/>
      </w:rPr>
      <w:t>第八</w:t>
    </w:r>
    <w:proofErr w:type="gramStart"/>
    <w:r>
      <w:rPr>
        <w:rFonts w:hint="eastAsia"/>
      </w:rPr>
      <w:t>章污染</w:t>
    </w:r>
    <w:proofErr w:type="gramEnd"/>
    <w:r>
      <w:rPr>
        <w:rFonts w:hint="eastAsia"/>
      </w:rPr>
      <w:t>防治及生态恢复措施分析</w:t>
    </w:r>
  </w:p>
  <w:p w14:paraId="36F3BC03" w14:textId="77777777" w:rsidR="00BD1C8B" w:rsidRDefault="00BD1C8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01931" w14:textId="77777777" w:rsidR="00BD1C8B" w:rsidRDefault="00BD1C8B"/>
  <w:p w14:paraId="28237805" w14:textId="77777777" w:rsidR="00BD1C8B" w:rsidRDefault="00BD1C8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4BC3F" w14:textId="77777777" w:rsidR="00BD1C8B" w:rsidRDefault="00BD1C8B"/>
  <w:p w14:paraId="6BF6AE07" w14:textId="77777777" w:rsidR="00BD1C8B" w:rsidRDefault="00BD1C8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E48F2" w14:textId="77777777" w:rsidR="00BD1C8B" w:rsidRDefault="00BD1C8B">
    <w:r>
      <w:rPr>
        <w:rFonts w:hint="eastAsia"/>
      </w:rPr>
      <w:t>第八</w:t>
    </w:r>
    <w:proofErr w:type="gramStart"/>
    <w:r>
      <w:rPr>
        <w:rFonts w:hint="eastAsia"/>
      </w:rPr>
      <w:t>章污染</w:t>
    </w:r>
    <w:proofErr w:type="gramEnd"/>
    <w:r>
      <w:rPr>
        <w:rFonts w:hint="eastAsia"/>
      </w:rPr>
      <w:t>防治及生态恢复措施分析</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60DB9" w14:textId="77777777" w:rsidR="00BD1C8B" w:rsidRDefault="00BD1C8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7BEA" w14:textId="77777777" w:rsidR="00BD1C8B" w:rsidRDefault="00BD1C8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93BDC" w14:textId="77777777" w:rsidR="00BD1C8B" w:rsidRDefault="00BD1C8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CDF07" w14:textId="77777777" w:rsidR="00BD1C8B" w:rsidRDefault="00BD1C8B">
    <w:r>
      <w:rPr>
        <w:rFonts w:hint="eastAsia"/>
      </w:rPr>
      <w:t>第十七章评价结论与建议</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4B5F6" w14:textId="77777777" w:rsidR="00BD1C8B" w:rsidRDefault="00BD1C8B">
    <w:pPr>
      <w:pStyle w:val="af0"/>
      <w:ind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05F3C" w14:textId="77777777" w:rsidR="00BD1C8B" w:rsidRDefault="00BD1C8B"/>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CBE0F" w14:textId="77777777" w:rsidR="00BD1C8B" w:rsidRDefault="00BD1C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8E4A8" w14:textId="77777777" w:rsidR="00BD1C8B" w:rsidRDefault="00BD1C8B">
    <w:pPr>
      <w:pStyle w:val="af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09C0B" w14:textId="77777777" w:rsidR="00BD1C8B" w:rsidRDefault="00BD1C8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56FF" w14:textId="77777777" w:rsidR="00BD1C8B" w:rsidRDefault="00BD1C8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9BD57" w14:textId="77777777" w:rsidR="00BD1C8B" w:rsidRDefault="00BD1C8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E72B9" w14:textId="77777777" w:rsidR="00BD1C8B" w:rsidRDefault="00BD1C8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0BF8" w14:textId="77777777" w:rsidR="00BD1C8B" w:rsidRDefault="00BD1C8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DA33" w14:textId="77777777" w:rsidR="00BD1C8B" w:rsidRDefault="00BD1C8B">
    <w:r>
      <w:rPr>
        <w:rFonts w:hint="eastAsia"/>
      </w:rPr>
      <w:t>第八</w:t>
    </w:r>
    <w:proofErr w:type="gramStart"/>
    <w:r>
      <w:rPr>
        <w:rFonts w:hint="eastAsia"/>
      </w:rPr>
      <w:t>章污染</w:t>
    </w:r>
    <w:proofErr w:type="gramEnd"/>
    <w:r>
      <w:rPr>
        <w:rFonts w:hint="eastAsia"/>
      </w:rPr>
      <w:t>防治及生态恢复措施分析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A5719"/>
    <w:multiLevelType w:val="multilevel"/>
    <w:tmpl w:val="0B3A5719"/>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1277131B"/>
    <w:multiLevelType w:val="multilevel"/>
    <w:tmpl w:val="1277131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36D7534"/>
    <w:multiLevelType w:val="multilevel"/>
    <w:tmpl w:val="136D7534"/>
    <w:lvl w:ilvl="0">
      <w:start w:val="1"/>
      <w:numFmt w:val="decimal"/>
      <w:lvlText w:val="（%1）"/>
      <w:lvlJc w:val="left"/>
      <w:pPr>
        <w:tabs>
          <w:tab w:val="left" w:pos="420"/>
        </w:tabs>
        <w:ind w:left="420" w:hanging="420"/>
      </w:pPr>
      <w:rPr>
        <w:rFonts w:hint="eastAsia"/>
      </w:rPr>
    </w:lvl>
    <w:lvl w:ilvl="1">
      <w:start w:val="1"/>
      <w:numFmt w:val="decimalEnclosedCircle"/>
      <w:pStyle w:val="22Char12CharChar2Char11h2l22nd3"/>
      <w:lvlText w:val="%2"/>
      <w:lvlJc w:val="left"/>
      <w:pPr>
        <w:tabs>
          <w:tab w:val="left" w:pos="780"/>
        </w:tabs>
        <w:ind w:left="780" w:hanging="360"/>
      </w:pPr>
      <w:rPr>
        <w:rFonts w:ascii="Verdana" w:hAnsi="Verdana" w:cs="Times New Roman" w:hint="default"/>
        <w:color w:val="000000"/>
      </w:rPr>
    </w:lvl>
    <w:lvl w:ilvl="2">
      <w:start w:val="1"/>
      <w:numFmt w:val="lowerRoman"/>
      <w:pStyle w:val="3Char3Char1511134151"/>
      <w:lvlText w:val="%3."/>
      <w:lvlJc w:val="right"/>
      <w:pPr>
        <w:tabs>
          <w:tab w:val="left" w:pos="1260"/>
        </w:tabs>
        <w:ind w:left="1260" w:hanging="420"/>
      </w:pPr>
    </w:lvl>
    <w:lvl w:ilvl="3">
      <w:start w:val="1"/>
      <w:numFmt w:val="decimal"/>
      <w:pStyle w:val="44Char11111Char41111Char4CharChar"/>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84C5C34"/>
    <w:multiLevelType w:val="hybridMultilevel"/>
    <w:tmpl w:val="E77C2E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7B50A85"/>
    <w:multiLevelType w:val="multilevel"/>
    <w:tmpl w:val="27B50A85"/>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2BD24767"/>
    <w:multiLevelType w:val="multilevel"/>
    <w:tmpl w:val="2BD2476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C9767E7"/>
    <w:multiLevelType w:val="multilevel"/>
    <w:tmpl w:val="2C9767E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AF75EE7"/>
    <w:multiLevelType w:val="multilevel"/>
    <w:tmpl w:val="3AF75EE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40071D2"/>
    <w:multiLevelType w:val="multilevel"/>
    <w:tmpl w:val="440071D2"/>
    <w:lvl w:ilvl="0">
      <w:start w:val="1"/>
      <w:numFmt w:val="decimal"/>
      <w:lvlText w:val="%1、"/>
      <w:lvlJc w:val="left"/>
      <w:pPr>
        <w:ind w:left="840" w:hanging="360"/>
      </w:pPr>
      <w:rPr>
        <w:rFonts w:eastAsia="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46C83535"/>
    <w:multiLevelType w:val="multilevel"/>
    <w:tmpl w:val="46C8353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19F7D11"/>
    <w:multiLevelType w:val="multilevel"/>
    <w:tmpl w:val="519F7D11"/>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5E691C30"/>
    <w:multiLevelType w:val="hybridMultilevel"/>
    <w:tmpl w:val="1876DA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F865790"/>
    <w:multiLevelType w:val="multilevel"/>
    <w:tmpl w:val="5F86579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2791A20"/>
    <w:multiLevelType w:val="multilevel"/>
    <w:tmpl w:val="62791A20"/>
    <w:lvl w:ilvl="0">
      <w:start w:val="1"/>
      <w:numFmt w:val="decimal"/>
      <w:lvlText w:val="%1"/>
      <w:lvlJc w:val="left"/>
      <w:pPr>
        <w:tabs>
          <w:tab w:val="left" w:pos="425"/>
        </w:tabs>
        <w:ind w:left="425" w:hanging="425"/>
      </w:pPr>
      <w:rPr>
        <w:rFonts w:hint="eastAsia"/>
        <w:b/>
        <w:i w:val="0"/>
        <w:sz w:val="44"/>
        <w:szCs w:val="44"/>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4" w15:restartNumberingAfterBreak="0">
    <w:nsid w:val="66CA16BC"/>
    <w:multiLevelType w:val="multilevel"/>
    <w:tmpl w:val="66CA16BC"/>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67B85B6F"/>
    <w:multiLevelType w:val="multilevel"/>
    <w:tmpl w:val="67B85B6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DAF2647"/>
    <w:multiLevelType w:val="multilevel"/>
    <w:tmpl w:val="6DAF2647"/>
    <w:lvl w:ilvl="0">
      <w:start w:val="1"/>
      <w:numFmt w:val="decimal"/>
      <w:lvlText w:val="（%1）"/>
      <w:lvlJc w:val="left"/>
      <w:pPr>
        <w:ind w:left="1428"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794109A3"/>
    <w:multiLevelType w:val="multilevel"/>
    <w:tmpl w:val="794109A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1"/>
  </w:num>
  <w:num w:numId="2">
    <w:abstractNumId w:val="15"/>
  </w:num>
  <w:num w:numId="3">
    <w:abstractNumId w:val="16"/>
  </w:num>
  <w:num w:numId="4">
    <w:abstractNumId w:val="5"/>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9"/>
  </w:num>
  <w:num w:numId="9">
    <w:abstractNumId w:val="13"/>
  </w:num>
  <w:num w:numId="10">
    <w:abstractNumId w:val="4"/>
  </w:num>
  <w:num w:numId="11">
    <w:abstractNumId w:val="14"/>
  </w:num>
  <w:num w:numId="12">
    <w:abstractNumId w:val="6"/>
  </w:num>
  <w:num w:numId="13">
    <w:abstractNumId w:val="7"/>
  </w:num>
  <w:num w:numId="14">
    <w:abstractNumId w:val="10"/>
  </w:num>
  <w:num w:numId="15">
    <w:abstractNumId w:val="8"/>
  </w:num>
  <w:num w:numId="16">
    <w:abstractNumId w:val="2"/>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8B"/>
    <w:rsid w:val="00000144"/>
    <w:rsid w:val="0000294B"/>
    <w:rsid w:val="00003728"/>
    <w:rsid w:val="00006A8E"/>
    <w:rsid w:val="000070CF"/>
    <w:rsid w:val="000100FC"/>
    <w:rsid w:val="00010663"/>
    <w:rsid w:val="000111D8"/>
    <w:rsid w:val="000113C1"/>
    <w:rsid w:val="00013AC9"/>
    <w:rsid w:val="00014855"/>
    <w:rsid w:val="00015104"/>
    <w:rsid w:val="0001610A"/>
    <w:rsid w:val="000172C9"/>
    <w:rsid w:val="00017C5A"/>
    <w:rsid w:val="00017CD2"/>
    <w:rsid w:val="00020306"/>
    <w:rsid w:val="0002075C"/>
    <w:rsid w:val="00020AE9"/>
    <w:rsid w:val="00021D02"/>
    <w:rsid w:val="00022C4D"/>
    <w:rsid w:val="0002312A"/>
    <w:rsid w:val="000233FA"/>
    <w:rsid w:val="000234DB"/>
    <w:rsid w:val="00023A3D"/>
    <w:rsid w:val="00024222"/>
    <w:rsid w:val="00024928"/>
    <w:rsid w:val="0002492D"/>
    <w:rsid w:val="00025566"/>
    <w:rsid w:val="00025C2E"/>
    <w:rsid w:val="00026411"/>
    <w:rsid w:val="00026ED0"/>
    <w:rsid w:val="00027C2F"/>
    <w:rsid w:val="000306C0"/>
    <w:rsid w:val="00031981"/>
    <w:rsid w:val="00031D99"/>
    <w:rsid w:val="00032C17"/>
    <w:rsid w:val="000330CC"/>
    <w:rsid w:val="00033A18"/>
    <w:rsid w:val="0003710F"/>
    <w:rsid w:val="0004090F"/>
    <w:rsid w:val="00040C9B"/>
    <w:rsid w:val="000422D8"/>
    <w:rsid w:val="000425A9"/>
    <w:rsid w:val="00042E22"/>
    <w:rsid w:val="000446F2"/>
    <w:rsid w:val="00044B4C"/>
    <w:rsid w:val="00044CA2"/>
    <w:rsid w:val="00044F13"/>
    <w:rsid w:val="00046AD8"/>
    <w:rsid w:val="00047716"/>
    <w:rsid w:val="00047B7C"/>
    <w:rsid w:val="00047BFD"/>
    <w:rsid w:val="000525BB"/>
    <w:rsid w:val="000532B1"/>
    <w:rsid w:val="000540AC"/>
    <w:rsid w:val="00054C6B"/>
    <w:rsid w:val="00055710"/>
    <w:rsid w:val="00055AF3"/>
    <w:rsid w:val="000607AC"/>
    <w:rsid w:val="000612DE"/>
    <w:rsid w:val="000613BF"/>
    <w:rsid w:val="00061D70"/>
    <w:rsid w:val="000629DE"/>
    <w:rsid w:val="00062B01"/>
    <w:rsid w:val="00062CE7"/>
    <w:rsid w:val="00062FA7"/>
    <w:rsid w:val="00063E91"/>
    <w:rsid w:val="00063E99"/>
    <w:rsid w:val="000643F2"/>
    <w:rsid w:val="00065D05"/>
    <w:rsid w:val="000661DE"/>
    <w:rsid w:val="000663F8"/>
    <w:rsid w:val="000664C7"/>
    <w:rsid w:val="00066840"/>
    <w:rsid w:val="00067241"/>
    <w:rsid w:val="000717C5"/>
    <w:rsid w:val="000718FC"/>
    <w:rsid w:val="000741AC"/>
    <w:rsid w:val="000746A1"/>
    <w:rsid w:val="0007525E"/>
    <w:rsid w:val="00075924"/>
    <w:rsid w:val="0007734C"/>
    <w:rsid w:val="00077EDB"/>
    <w:rsid w:val="0008015C"/>
    <w:rsid w:val="00080484"/>
    <w:rsid w:val="00080FF9"/>
    <w:rsid w:val="0008156E"/>
    <w:rsid w:val="00081B2A"/>
    <w:rsid w:val="00081DA3"/>
    <w:rsid w:val="000820A1"/>
    <w:rsid w:val="000855D8"/>
    <w:rsid w:val="00085971"/>
    <w:rsid w:val="00085E4C"/>
    <w:rsid w:val="00085F08"/>
    <w:rsid w:val="000861CE"/>
    <w:rsid w:val="00086227"/>
    <w:rsid w:val="000905C6"/>
    <w:rsid w:val="000909E3"/>
    <w:rsid w:val="0009170F"/>
    <w:rsid w:val="00091A2E"/>
    <w:rsid w:val="00092305"/>
    <w:rsid w:val="000929B7"/>
    <w:rsid w:val="00092C37"/>
    <w:rsid w:val="00093EB0"/>
    <w:rsid w:val="00095A55"/>
    <w:rsid w:val="00095CE7"/>
    <w:rsid w:val="00095D8A"/>
    <w:rsid w:val="000962A3"/>
    <w:rsid w:val="000962EB"/>
    <w:rsid w:val="00097D0B"/>
    <w:rsid w:val="000A04F1"/>
    <w:rsid w:val="000A067C"/>
    <w:rsid w:val="000A1ED0"/>
    <w:rsid w:val="000A3164"/>
    <w:rsid w:val="000A327D"/>
    <w:rsid w:val="000A327E"/>
    <w:rsid w:val="000A34D2"/>
    <w:rsid w:val="000A46E4"/>
    <w:rsid w:val="000A47DE"/>
    <w:rsid w:val="000A4FE3"/>
    <w:rsid w:val="000A5872"/>
    <w:rsid w:val="000A6878"/>
    <w:rsid w:val="000A73BD"/>
    <w:rsid w:val="000A7616"/>
    <w:rsid w:val="000B016F"/>
    <w:rsid w:val="000B0257"/>
    <w:rsid w:val="000B0BCB"/>
    <w:rsid w:val="000B0E13"/>
    <w:rsid w:val="000B1497"/>
    <w:rsid w:val="000B15F5"/>
    <w:rsid w:val="000B19CB"/>
    <w:rsid w:val="000B1AF0"/>
    <w:rsid w:val="000B26AC"/>
    <w:rsid w:val="000B2AAF"/>
    <w:rsid w:val="000B2C4D"/>
    <w:rsid w:val="000B3627"/>
    <w:rsid w:val="000B4497"/>
    <w:rsid w:val="000B4626"/>
    <w:rsid w:val="000B4CE6"/>
    <w:rsid w:val="000B5784"/>
    <w:rsid w:val="000B5848"/>
    <w:rsid w:val="000B757C"/>
    <w:rsid w:val="000B7C63"/>
    <w:rsid w:val="000C29E6"/>
    <w:rsid w:val="000C3352"/>
    <w:rsid w:val="000C3636"/>
    <w:rsid w:val="000C39D1"/>
    <w:rsid w:val="000C6488"/>
    <w:rsid w:val="000C650F"/>
    <w:rsid w:val="000C673F"/>
    <w:rsid w:val="000C7170"/>
    <w:rsid w:val="000C72DD"/>
    <w:rsid w:val="000D086C"/>
    <w:rsid w:val="000D0BAA"/>
    <w:rsid w:val="000D3C1E"/>
    <w:rsid w:val="000D4478"/>
    <w:rsid w:val="000D4BE7"/>
    <w:rsid w:val="000D4C49"/>
    <w:rsid w:val="000D5213"/>
    <w:rsid w:val="000D53E1"/>
    <w:rsid w:val="000D5549"/>
    <w:rsid w:val="000D56B0"/>
    <w:rsid w:val="000D5DEC"/>
    <w:rsid w:val="000D5F6C"/>
    <w:rsid w:val="000D679B"/>
    <w:rsid w:val="000D6851"/>
    <w:rsid w:val="000E053B"/>
    <w:rsid w:val="000E06E3"/>
    <w:rsid w:val="000E0C0F"/>
    <w:rsid w:val="000E0E0C"/>
    <w:rsid w:val="000E101C"/>
    <w:rsid w:val="000E1788"/>
    <w:rsid w:val="000E1F4D"/>
    <w:rsid w:val="000E2181"/>
    <w:rsid w:val="000E2F00"/>
    <w:rsid w:val="000E37EF"/>
    <w:rsid w:val="000E40B7"/>
    <w:rsid w:val="000E420F"/>
    <w:rsid w:val="000E4D92"/>
    <w:rsid w:val="000E50EC"/>
    <w:rsid w:val="000E522C"/>
    <w:rsid w:val="000E578D"/>
    <w:rsid w:val="000E6254"/>
    <w:rsid w:val="000E666C"/>
    <w:rsid w:val="000E702F"/>
    <w:rsid w:val="000E7582"/>
    <w:rsid w:val="000E7FFE"/>
    <w:rsid w:val="000F1670"/>
    <w:rsid w:val="000F2A35"/>
    <w:rsid w:val="000F2D9A"/>
    <w:rsid w:val="000F481A"/>
    <w:rsid w:val="000F4F3B"/>
    <w:rsid w:val="000F5B93"/>
    <w:rsid w:val="000F5F14"/>
    <w:rsid w:val="000F6112"/>
    <w:rsid w:val="000F659C"/>
    <w:rsid w:val="000F6B02"/>
    <w:rsid w:val="000F7456"/>
    <w:rsid w:val="000F7AFE"/>
    <w:rsid w:val="0010083E"/>
    <w:rsid w:val="00100A3D"/>
    <w:rsid w:val="00101EF7"/>
    <w:rsid w:val="001021B4"/>
    <w:rsid w:val="00102572"/>
    <w:rsid w:val="00102A03"/>
    <w:rsid w:val="0010544B"/>
    <w:rsid w:val="001073EF"/>
    <w:rsid w:val="001079BE"/>
    <w:rsid w:val="00107FA1"/>
    <w:rsid w:val="00107FC5"/>
    <w:rsid w:val="00110157"/>
    <w:rsid w:val="0011032B"/>
    <w:rsid w:val="001113F6"/>
    <w:rsid w:val="00111522"/>
    <w:rsid w:val="00111956"/>
    <w:rsid w:val="001120BE"/>
    <w:rsid w:val="001174EC"/>
    <w:rsid w:val="00117987"/>
    <w:rsid w:val="001179E7"/>
    <w:rsid w:val="0012013F"/>
    <w:rsid w:val="00120B01"/>
    <w:rsid w:val="00121015"/>
    <w:rsid w:val="00122268"/>
    <w:rsid w:val="0012298A"/>
    <w:rsid w:val="001236EA"/>
    <w:rsid w:val="00124497"/>
    <w:rsid w:val="00124D40"/>
    <w:rsid w:val="001274E5"/>
    <w:rsid w:val="0012756B"/>
    <w:rsid w:val="001277ED"/>
    <w:rsid w:val="001313F1"/>
    <w:rsid w:val="00131DC4"/>
    <w:rsid w:val="00131E31"/>
    <w:rsid w:val="00132443"/>
    <w:rsid w:val="00132BFD"/>
    <w:rsid w:val="00132D6B"/>
    <w:rsid w:val="00133337"/>
    <w:rsid w:val="001334FE"/>
    <w:rsid w:val="00134370"/>
    <w:rsid w:val="00134D99"/>
    <w:rsid w:val="00135A34"/>
    <w:rsid w:val="00136A15"/>
    <w:rsid w:val="00137900"/>
    <w:rsid w:val="00140F5C"/>
    <w:rsid w:val="0014108A"/>
    <w:rsid w:val="00141408"/>
    <w:rsid w:val="00142A8A"/>
    <w:rsid w:val="00143451"/>
    <w:rsid w:val="00144105"/>
    <w:rsid w:val="00144632"/>
    <w:rsid w:val="00145E49"/>
    <w:rsid w:val="00146A8A"/>
    <w:rsid w:val="00147040"/>
    <w:rsid w:val="00147100"/>
    <w:rsid w:val="0014731C"/>
    <w:rsid w:val="00147E8F"/>
    <w:rsid w:val="00147FD9"/>
    <w:rsid w:val="00150D27"/>
    <w:rsid w:val="00151384"/>
    <w:rsid w:val="001514F0"/>
    <w:rsid w:val="00151B0A"/>
    <w:rsid w:val="00151CFC"/>
    <w:rsid w:val="00152E8D"/>
    <w:rsid w:val="0015419E"/>
    <w:rsid w:val="00154A2F"/>
    <w:rsid w:val="00155140"/>
    <w:rsid w:val="00156214"/>
    <w:rsid w:val="00156B00"/>
    <w:rsid w:val="00157F04"/>
    <w:rsid w:val="00160917"/>
    <w:rsid w:val="00161A31"/>
    <w:rsid w:val="00161AA1"/>
    <w:rsid w:val="00162AB7"/>
    <w:rsid w:val="00162DFA"/>
    <w:rsid w:val="00162EBE"/>
    <w:rsid w:val="001636A9"/>
    <w:rsid w:val="00164037"/>
    <w:rsid w:val="00164225"/>
    <w:rsid w:val="0016525A"/>
    <w:rsid w:val="0016727C"/>
    <w:rsid w:val="00167C2D"/>
    <w:rsid w:val="001702CE"/>
    <w:rsid w:val="00170341"/>
    <w:rsid w:val="001721C6"/>
    <w:rsid w:val="001729F3"/>
    <w:rsid w:val="00172A27"/>
    <w:rsid w:val="00172F39"/>
    <w:rsid w:val="00172FA9"/>
    <w:rsid w:val="0017309D"/>
    <w:rsid w:val="001737C7"/>
    <w:rsid w:val="0017599A"/>
    <w:rsid w:val="0017645E"/>
    <w:rsid w:val="00176658"/>
    <w:rsid w:val="00176687"/>
    <w:rsid w:val="00176B8B"/>
    <w:rsid w:val="0017796A"/>
    <w:rsid w:val="00182207"/>
    <w:rsid w:val="001836F9"/>
    <w:rsid w:val="00185226"/>
    <w:rsid w:val="00185304"/>
    <w:rsid w:val="00185492"/>
    <w:rsid w:val="001860C3"/>
    <w:rsid w:val="001873C1"/>
    <w:rsid w:val="00187AA6"/>
    <w:rsid w:val="00187AAA"/>
    <w:rsid w:val="00187CCE"/>
    <w:rsid w:val="00190282"/>
    <w:rsid w:val="001911F0"/>
    <w:rsid w:val="00191930"/>
    <w:rsid w:val="00191F04"/>
    <w:rsid w:val="001925EE"/>
    <w:rsid w:val="001933A3"/>
    <w:rsid w:val="00193521"/>
    <w:rsid w:val="00193AF6"/>
    <w:rsid w:val="00193B7D"/>
    <w:rsid w:val="0019466F"/>
    <w:rsid w:val="001950AB"/>
    <w:rsid w:val="00195BB9"/>
    <w:rsid w:val="00196B3F"/>
    <w:rsid w:val="00197F19"/>
    <w:rsid w:val="001A0EB1"/>
    <w:rsid w:val="001A1215"/>
    <w:rsid w:val="001A1298"/>
    <w:rsid w:val="001A1836"/>
    <w:rsid w:val="001A2DAF"/>
    <w:rsid w:val="001A323E"/>
    <w:rsid w:val="001A34EA"/>
    <w:rsid w:val="001A3894"/>
    <w:rsid w:val="001A3994"/>
    <w:rsid w:val="001A47C0"/>
    <w:rsid w:val="001A4A70"/>
    <w:rsid w:val="001A53D6"/>
    <w:rsid w:val="001A54BC"/>
    <w:rsid w:val="001A581B"/>
    <w:rsid w:val="001A5F66"/>
    <w:rsid w:val="001A5FBE"/>
    <w:rsid w:val="001A6558"/>
    <w:rsid w:val="001A7745"/>
    <w:rsid w:val="001A7B11"/>
    <w:rsid w:val="001B1E5A"/>
    <w:rsid w:val="001B2270"/>
    <w:rsid w:val="001B28AE"/>
    <w:rsid w:val="001B33E9"/>
    <w:rsid w:val="001B4410"/>
    <w:rsid w:val="001B4D0A"/>
    <w:rsid w:val="001B4D9E"/>
    <w:rsid w:val="001B619D"/>
    <w:rsid w:val="001B7800"/>
    <w:rsid w:val="001C11ED"/>
    <w:rsid w:val="001C1243"/>
    <w:rsid w:val="001C1414"/>
    <w:rsid w:val="001C1C40"/>
    <w:rsid w:val="001C2A66"/>
    <w:rsid w:val="001C2C33"/>
    <w:rsid w:val="001C4249"/>
    <w:rsid w:val="001C50C6"/>
    <w:rsid w:val="001C5357"/>
    <w:rsid w:val="001C5C99"/>
    <w:rsid w:val="001C6029"/>
    <w:rsid w:val="001C6B09"/>
    <w:rsid w:val="001C6DD3"/>
    <w:rsid w:val="001C7CE0"/>
    <w:rsid w:val="001C7DA2"/>
    <w:rsid w:val="001D06D2"/>
    <w:rsid w:val="001D1088"/>
    <w:rsid w:val="001D35D5"/>
    <w:rsid w:val="001D40F5"/>
    <w:rsid w:val="001D48B9"/>
    <w:rsid w:val="001D4DE3"/>
    <w:rsid w:val="001D5509"/>
    <w:rsid w:val="001D5D63"/>
    <w:rsid w:val="001D692F"/>
    <w:rsid w:val="001E19EF"/>
    <w:rsid w:val="001E2DE9"/>
    <w:rsid w:val="001E335B"/>
    <w:rsid w:val="001E348D"/>
    <w:rsid w:val="001E4501"/>
    <w:rsid w:val="001E4BBE"/>
    <w:rsid w:val="001E4C47"/>
    <w:rsid w:val="001E4EE5"/>
    <w:rsid w:val="001E6B9A"/>
    <w:rsid w:val="001E6E32"/>
    <w:rsid w:val="001F1890"/>
    <w:rsid w:val="001F3345"/>
    <w:rsid w:val="001F455D"/>
    <w:rsid w:val="001F4576"/>
    <w:rsid w:val="001F4815"/>
    <w:rsid w:val="001F710F"/>
    <w:rsid w:val="001F73CB"/>
    <w:rsid w:val="001F7500"/>
    <w:rsid w:val="001F7BA4"/>
    <w:rsid w:val="002011A3"/>
    <w:rsid w:val="00201545"/>
    <w:rsid w:val="00201948"/>
    <w:rsid w:val="0020248C"/>
    <w:rsid w:val="0020263C"/>
    <w:rsid w:val="002031D9"/>
    <w:rsid w:val="00203451"/>
    <w:rsid w:val="0020481A"/>
    <w:rsid w:val="00204E70"/>
    <w:rsid w:val="0020533F"/>
    <w:rsid w:val="00205435"/>
    <w:rsid w:val="0020614B"/>
    <w:rsid w:val="002064E6"/>
    <w:rsid w:val="002071E4"/>
    <w:rsid w:val="0020760C"/>
    <w:rsid w:val="002079AB"/>
    <w:rsid w:val="0021025A"/>
    <w:rsid w:val="002109F5"/>
    <w:rsid w:val="00210DEA"/>
    <w:rsid w:val="00211F1D"/>
    <w:rsid w:val="00212694"/>
    <w:rsid w:val="00212AC0"/>
    <w:rsid w:val="002136F5"/>
    <w:rsid w:val="00214275"/>
    <w:rsid w:val="00215117"/>
    <w:rsid w:val="00215A91"/>
    <w:rsid w:val="00216FC3"/>
    <w:rsid w:val="00217330"/>
    <w:rsid w:val="00217377"/>
    <w:rsid w:val="00220862"/>
    <w:rsid w:val="002208D2"/>
    <w:rsid w:val="00220A80"/>
    <w:rsid w:val="00220D0A"/>
    <w:rsid w:val="00220E9C"/>
    <w:rsid w:val="002217E7"/>
    <w:rsid w:val="002219AB"/>
    <w:rsid w:val="0022203F"/>
    <w:rsid w:val="00222C2A"/>
    <w:rsid w:val="00223093"/>
    <w:rsid w:val="002236D6"/>
    <w:rsid w:val="00224AE2"/>
    <w:rsid w:val="0022526E"/>
    <w:rsid w:val="00225B2F"/>
    <w:rsid w:val="00227696"/>
    <w:rsid w:val="00230015"/>
    <w:rsid w:val="0023084A"/>
    <w:rsid w:val="00230ADD"/>
    <w:rsid w:val="0023138C"/>
    <w:rsid w:val="0023157B"/>
    <w:rsid w:val="00231F41"/>
    <w:rsid w:val="00232024"/>
    <w:rsid w:val="002328B8"/>
    <w:rsid w:val="0023499C"/>
    <w:rsid w:val="00234A2F"/>
    <w:rsid w:val="00234C31"/>
    <w:rsid w:val="00235296"/>
    <w:rsid w:val="002354BD"/>
    <w:rsid w:val="00235CD7"/>
    <w:rsid w:val="00236CD7"/>
    <w:rsid w:val="00236E11"/>
    <w:rsid w:val="0024178B"/>
    <w:rsid w:val="002417B9"/>
    <w:rsid w:val="002430C8"/>
    <w:rsid w:val="0024319D"/>
    <w:rsid w:val="002434C1"/>
    <w:rsid w:val="0024360F"/>
    <w:rsid w:val="002446C7"/>
    <w:rsid w:val="00244FD9"/>
    <w:rsid w:val="00245312"/>
    <w:rsid w:val="00246622"/>
    <w:rsid w:val="00247FB5"/>
    <w:rsid w:val="00251059"/>
    <w:rsid w:val="00251147"/>
    <w:rsid w:val="0025243D"/>
    <w:rsid w:val="00252A01"/>
    <w:rsid w:val="0025330B"/>
    <w:rsid w:val="00253D18"/>
    <w:rsid w:val="002540BC"/>
    <w:rsid w:val="002545BC"/>
    <w:rsid w:val="00256C66"/>
    <w:rsid w:val="00256E88"/>
    <w:rsid w:val="002572DE"/>
    <w:rsid w:val="00257CA2"/>
    <w:rsid w:val="00260C65"/>
    <w:rsid w:val="00261D77"/>
    <w:rsid w:val="00261DE0"/>
    <w:rsid w:val="00262C32"/>
    <w:rsid w:val="00263545"/>
    <w:rsid w:val="00263665"/>
    <w:rsid w:val="002639BB"/>
    <w:rsid w:val="00264A3A"/>
    <w:rsid w:val="00266DD4"/>
    <w:rsid w:val="002673A1"/>
    <w:rsid w:val="002674A5"/>
    <w:rsid w:val="00270435"/>
    <w:rsid w:val="002706F1"/>
    <w:rsid w:val="00270737"/>
    <w:rsid w:val="002707CD"/>
    <w:rsid w:val="0027163F"/>
    <w:rsid w:val="0027258E"/>
    <w:rsid w:val="00272779"/>
    <w:rsid w:val="00272CEC"/>
    <w:rsid w:val="00272F00"/>
    <w:rsid w:val="002748E3"/>
    <w:rsid w:val="00275114"/>
    <w:rsid w:val="00275C86"/>
    <w:rsid w:val="00275E1D"/>
    <w:rsid w:val="00276B1F"/>
    <w:rsid w:val="00276E55"/>
    <w:rsid w:val="00277866"/>
    <w:rsid w:val="00277FFB"/>
    <w:rsid w:val="0028036D"/>
    <w:rsid w:val="0028065A"/>
    <w:rsid w:val="00281AA7"/>
    <w:rsid w:val="00281E32"/>
    <w:rsid w:val="0028242A"/>
    <w:rsid w:val="0028266A"/>
    <w:rsid w:val="00283202"/>
    <w:rsid w:val="002835E4"/>
    <w:rsid w:val="00283736"/>
    <w:rsid w:val="00283931"/>
    <w:rsid w:val="002857F3"/>
    <w:rsid w:val="00285EB3"/>
    <w:rsid w:val="00287397"/>
    <w:rsid w:val="00287E97"/>
    <w:rsid w:val="00290F1B"/>
    <w:rsid w:val="00290FF3"/>
    <w:rsid w:val="00294D8F"/>
    <w:rsid w:val="00294F3E"/>
    <w:rsid w:val="002952F0"/>
    <w:rsid w:val="0029697C"/>
    <w:rsid w:val="00296D9C"/>
    <w:rsid w:val="00297379"/>
    <w:rsid w:val="00297DDF"/>
    <w:rsid w:val="002A0FF3"/>
    <w:rsid w:val="002A1D1F"/>
    <w:rsid w:val="002A1D8E"/>
    <w:rsid w:val="002A237F"/>
    <w:rsid w:val="002A2A36"/>
    <w:rsid w:val="002A3A71"/>
    <w:rsid w:val="002A3A8E"/>
    <w:rsid w:val="002A435B"/>
    <w:rsid w:val="002A44C1"/>
    <w:rsid w:val="002A4928"/>
    <w:rsid w:val="002A4DBF"/>
    <w:rsid w:val="002A4DC4"/>
    <w:rsid w:val="002A6152"/>
    <w:rsid w:val="002A6955"/>
    <w:rsid w:val="002A7A75"/>
    <w:rsid w:val="002A7CA9"/>
    <w:rsid w:val="002B012E"/>
    <w:rsid w:val="002B0376"/>
    <w:rsid w:val="002B0ABF"/>
    <w:rsid w:val="002B171C"/>
    <w:rsid w:val="002B17E9"/>
    <w:rsid w:val="002B352C"/>
    <w:rsid w:val="002B4D33"/>
    <w:rsid w:val="002B5221"/>
    <w:rsid w:val="002B57F8"/>
    <w:rsid w:val="002B603A"/>
    <w:rsid w:val="002B6246"/>
    <w:rsid w:val="002B6BC4"/>
    <w:rsid w:val="002B71C6"/>
    <w:rsid w:val="002B768B"/>
    <w:rsid w:val="002B7CF6"/>
    <w:rsid w:val="002C0356"/>
    <w:rsid w:val="002C557F"/>
    <w:rsid w:val="002C6639"/>
    <w:rsid w:val="002D1E93"/>
    <w:rsid w:val="002D2EAB"/>
    <w:rsid w:val="002D2EDA"/>
    <w:rsid w:val="002D3A95"/>
    <w:rsid w:val="002D4AFA"/>
    <w:rsid w:val="002D4C2D"/>
    <w:rsid w:val="002D523A"/>
    <w:rsid w:val="002D56BC"/>
    <w:rsid w:val="002D5A09"/>
    <w:rsid w:val="002D5DAC"/>
    <w:rsid w:val="002D6E0B"/>
    <w:rsid w:val="002D7072"/>
    <w:rsid w:val="002D7474"/>
    <w:rsid w:val="002D79AC"/>
    <w:rsid w:val="002D79D2"/>
    <w:rsid w:val="002E03F0"/>
    <w:rsid w:val="002E1152"/>
    <w:rsid w:val="002E174B"/>
    <w:rsid w:val="002E1DFE"/>
    <w:rsid w:val="002E2B45"/>
    <w:rsid w:val="002E3C66"/>
    <w:rsid w:val="002E5071"/>
    <w:rsid w:val="002E51A7"/>
    <w:rsid w:val="002E5744"/>
    <w:rsid w:val="002E5A6F"/>
    <w:rsid w:val="002E5D67"/>
    <w:rsid w:val="002E6465"/>
    <w:rsid w:val="002E7EF1"/>
    <w:rsid w:val="002F0198"/>
    <w:rsid w:val="002F0DC0"/>
    <w:rsid w:val="002F15E9"/>
    <w:rsid w:val="002F1B9B"/>
    <w:rsid w:val="002F20AA"/>
    <w:rsid w:val="002F2170"/>
    <w:rsid w:val="002F2B5F"/>
    <w:rsid w:val="002F311E"/>
    <w:rsid w:val="002F3638"/>
    <w:rsid w:val="002F3758"/>
    <w:rsid w:val="002F379D"/>
    <w:rsid w:val="002F3974"/>
    <w:rsid w:val="002F3B43"/>
    <w:rsid w:val="002F3B99"/>
    <w:rsid w:val="002F4FFE"/>
    <w:rsid w:val="002F7D98"/>
    <w:rsid w:val="002F7DE8"/>
    <w:rsid w:val="00300A3F"/>
    <w:rsid w:val="00300D24"/>
    <w:rsid w:val="00303474"/>
    <w:rsid w:val="00303DB6"/>
    <w:rsid w:val="0030442A"/>
    <w:rsid w:val="00304931"/>
    <w:rsid w:val="00305629"/>
    <w:rsid w:val="00305FC3"/>
    <w:rsid w:val="0030701F"/>
    <w:rsid w:val="00310188"/>
    <w:rsid w:val="00310AC0"/>
    <w:rsid w:val="00310AD7"/>
    <w:rsid w:val="003110F2"/>
    <w:rsid w:val="0031167B"/>
    <w:rsid w:val="003133A7"/>
    <w:rsid w:val="0031753A"/>
    <w:rsid w:val="00317954"/>
    <w:rsid w:val="00317B58"/>
    <w:rsid w:val="00317DFA"/>
    <w:rsid w:val="00317E60"/>
    <w:rsid w:val="00322646"/>
    <w:rsid w:val="00322A1A"/>
    <w:rsid w:val="00324390"/>
    <w:rsid w:val="00326784"/>
    <w:rsid w:val="003278C1"/>
    <w:rsid w:val="003279F1"/>
    <w:rsid w:val="00327C64"/>
    <w:rsid w:val="00327C9E"/>
    <w:rsid w:val="00327F3D"/>
    <w:rsid w:val="003305D7"/>
    <w:rsid w:val="00330EA1"/>
    <w:rsid w:val="0033231E"/>
    <w:rsid w:val="003330A5"/>
    <w:rsid w:val="00334703"/>
    <w:rsid w:val="0033486A"/>
    <w:rsid w:val="00334F12"/>
    <w:rsid w:val="00335271"/>
    <w:rsid w:val="00336034"/>
    <w:rsid w:val="003361A0"/>
    <w:rsid w:val="0033624B"/>
    <w:rsid w:val="00336B11"/>
    <w:rsid w:val="003370E5"/>
    <w:rsid w:val="003373B5"/>
    <w:rsid w:val="00337B12"/>
    <w:rsid w:val="0034021A"/>
    <w:rsid w:val="00342FB0"/>
    <w:rsid w:val="00343C1A"/>
    <w:rsid w:val="00343DB8"/>
    <w:rsid w:val="00343F05"/>
    <w:rsid w:val="003446AC"/>
    <w:rsid w:val="0034541D"/>
    <w:rsid w:val="00345694"/>
    <w:rsid w:val="00346A8E"/>
    <w:rsid w:val="00347552"/>
    <w:rsid w:val="00347613"/>
    <w:rsid w:val="00351E66"/>
    <w:rsid w:val="0035267E"/>
    <w:rsid w:val="00352E38"/>
    <w:rsid w:val="003548C5"/>
    <w:rsid w:val="00354D30"/>
    <w:rsid w:val="00356F75"/>
    <w:rsid w:val="00357489"/>
    <w:rsid w:val="00357925"/>
    <w:rsid w:val="003620F8"/>
    <w:rsid w:val="00364632"/>
    <w:rsid w:val="00364BD3"/>
    <w:rsid w:val="00364CF7"/>
    <w:rsid w:val="003652F8"/>
    <w:rsid w:val="0036690E"/>
    <w:rsid w:val="00366CA8"/>
    <w:rsid w:val="00366E28"/>
    <w:rsid w:val="0036770D"/>
    <w:rsid w:val="003677F8"/>
    <w:rsid w:val="00367991"/>
    <w:rsid w:val="00367D3A"/>
    <w:rsid w:val="00367F6B"/>
    <w:rsid w:val="00370367"/>
    <w:rsid w:val="00370522"/>
    <w:rsid w:val="00371ACA"/>
    <w:rsid w:val="00373542"/>
    <w:rsid w:val="00373A06"/>
    <w:rsid w:val="00373B5C"/>
    <w:rsid w:val="0037402D"/>
    <w:rsid w:val="00374644"/>
    <w:rsid w:val="003746A5"/>
    <w:rsid w:val="00374BF7"/>
    <w:rsid w:val="00376B82"/>
    <w:rsid w:val="00376E3A"/>
    <w:rsid w:val="0038003A"/>
    <w:rsid w:val="00380851"/>
    <w:rsid w:val="00380DDD"/>
    <w:rsid w:val="00381053"/>
    <w:rsid w:val="003822DF"/>
    <w:rsid w:val="003861E3"/>
    <w:rsid w:val="003875D9"/>
    <w:rsid w:val="00390665"/>
    <w:rsid w:val="00390A4F"/>
    <w:rsid w:val="00391327"/>
    <w:rsid w:val="00391D5C"/>
    <w:rsid w:val="0039268B"/>
    <w:rsid w:val="00392A67"/>
    <w:rsid w:val="00395561"/>
    <w:rsid w:val="0039588B"/>
    <w:rsid w:val="0039609E"/>
    <w:rsid w:val="003962E6"/>
    <w:rsid w:val="00396787"/>
    <w:rsid w:val="00397066"/>
    <w:rsid w:val="00397150"/>
    <w:rsid w:val="00397351"/>
    <w:rsid w:val="003A078A"/>
    <w:rsid w:val="003A0BFC"/>
    <w:rsid w:val="003A1D56"/>
    <w:rsid w:val="003A2624"/>
    <w:rsid w:val="003A2DB1"/>
    <w:rsid w:val="003A2E22"/>
    <w:rsid w:val="003A3349"/>
    <w:rsid w:val="003A36EE"/>
    <w:rsid w:val="003A4265"/>
    <w:rsid w:val="003A5E93"/>
    <w:rsid w:val="003A71CC"/>
    <w:rsid w:val="003A7A4F"/>
    <w:rsid w:val="003A7D5D"/>
    <w:rsid w:val="003B025B"/>
    <w:rsid w:val="003B06CF"/>
    <w:rsid w:val="003B09BE"/>
    <w:rsid w:val="003B0C45"/>
    <w:rsid w:val="003B0C72"/>
    <w:rsid w:val="003B11DF"/>
    <w:rsid w:val="003B162A"/>
    <w:rsid w:val="003B1723"/>
    <w:rsid w:val="003B39C4"/>
    <w:rsid w:val="003B4875"/>
    <w:rsid w:val="003B51DF"/>
    <w:rsid w:val="003B6AF5"/>
    <w:rsid w:val="003B6CD6"/>
    <w:rsid w:val="003B73A1"/>
    <w:rsid w:val="003B7CA3"/>
    <w:rsid w:val="003C072B"/>
    <w:rsid w:val="003C1001"/>
    <w:rsid w:val="003C1AA8"/>
    <w:rsid w:val="003C32D2"/>
    <w:rsid w:val="003C3B34"/>
    <w:rsid w:val="003C4139"/>
    <w:rsid w:val="003C507E"/>
    <w:rsid w:val="003C769F"/>
    <w:rsid w:val="003D0BB8"/>
    <w:rsid w:val="003D16F1"/>
    <w:rsid w:val="003D19DC"/>
    <w:rsid w:val="003D1EE2"/>
    <w:rsid w:val="003D29B5"/>
    <w:rsid w:val="003D4C9E"/>
    <w:rsid w:val="003D4F0C"/>
    <w:rsid w:val="003D56F2"/>
    <w:rsid w:val="003D59BA"/>
    <w:rsid w:val="003D5E59"/>
    <w:rsid w:val="003D60FF"/>
    <w:rsid w:val="003D6784"/>
    <w:rsid w:val="003E0F39"/>
    <w:rsid w:val="003E1063"/>
    <w:rsid w:val="003E269D"/>
    <w:rsid w:val="003E2DD0"/>
    <w:rsid w:val="003E3466"/>
    <w:rsid w:val="003E3B3E"/>
    <w:rsid w:val="003E42A7"/>
    <w:rsid w:val="003E4646"/>
    <w:rsid w:val="003E4E45"/>
    <w:rsid w:val="003E6CA6"/>
    <w:rsid w:val="003E709A"/>
    <w:rsid w:val="003E726F"/>
    <w:rsid w:val="003E7387"/>
    <w:rsid w:val="003E7EF7"/>
    <w:rsid w:val="003F02D2"/>
    <w:rsid w:val="003F2964"/>
    <w:rsid w:val="003F2AB7"/>
    <w:rsid w:val="003F2E26"/>
    <w:rsid w:val="003F35BA"/>
    <w:rsid w:val="003F3F85"/>
    <w:rsid w:val="003F5A10"/>
    <w:rsid w:val="003F631A"/>
    <w:rsid w:val="003F6378"/>
    <w:rsid w:val="003F6A31"/>
    <w:rsid w:val="003F7004"/>
    <w:rsid w:val="00400706"/>
    <w:rsid w:val="004007B1"/>
    <w:rsid w:val="00401A90"/>
    <w:rsid w:val="00401B03"/>
    <w:rsid w:val="0040257B"/>
    <w:rsid w:val="004027AE"/>
    <w:rsid w:val="004027F7"/>
    <w:rsid w:val="00403238"/>
    <w:rsid w:val="00403572"/>
    <w:rsid w:val="0040478A"/>
    <w:rsid w:val="00405714"/>
    <w:rsid w:val="004058B3"/>
    <w:rsid w:val="00406110"/>
    <w:rsid w:val="00406A46"/>
    <w:rsid w:val="00407880"/>
    <w:rsid w:val="004114EF"/>
    <w:rsid w:val="004124A5"/>
    <w:rsid w:val="0041292E"/>
    <w:rsid w:val="00412EA3"/>
    <w:rsid w:val="00413338"/>
    <w:rsid w:val="004135AB"/>
    <w:rsid w:val="00413EFF"/>
    <w:rsid w:val="0041408E"/>
    <w:rsid w:val="00415356"/>
    <w:rsid w:val="00415552"/>
    <w:rsid w:val="00415A42"/>
    <w:rsid w:val="0041707A"/>
    <w:rsid w:val="00417704"/>
    <w:rsid w:val="00420FD8"/>
    <w:rsid w:val="00421B36"/>
    <w:rsid w:val="00421E7C"/>
    <w:rsid w:val="0042226D"/>
    <w:rsid w:val="0042280B"/>
    <w:rsid w:val="00422A33"/>
    <w:rsid w:val="00422A8E"/>
    <w:rsid w:val="00423E68"/>
    <w:rsid w:val="004256BC"/>
    <w:rsid w:val="00426184"/>
    <w:rsid w:val="0042645A"/>
    <w:rsid w:val="004265EC"/>
    <w:rsid w:val="00426684"/>
    <w:rsid w:val="00426894"/>
    <w:rsid w:val="00426912"/>
    <w:rsid w:val="004272B4"/>
    <w:rsid w:val="00430181"/>
    <w:rsid w:val="004303A5"/>
    <w:rsid w:val="00430590"/>
    <w:rsid w:val="00430FA1"/>
    <w:rsid w:val="004333E0"/>
    <w:rsid w:val="004339AF"/>
    <w:rsid w:val="00433EA2"/>
    <w:rsid w:val="004349C2"/>
    <w:rsid w:val="00434B8E"/>
    <w:rsid w:val="00434E94"/>
    <w:rsid w:val="00434EA8"/>
    <w:rsid w:val="00434ECF"/>
    <w:rsid w:val="004350A3"/>
    <w:rsid w:val="00435340"/>
    <w:rsid w:val="004353FA"/>
    <w:rsid w:val="00435BC4"/>
    <w:rsid w:val="00436481"/>
    <w:rsid w:val="00437624"/>
    <w:rsid w:val="00437BC0"/>
    <w:rsid w:val="0044057F"/>
    <w:rsid w:val="00440E21"/>
    <w:rsid w:val="0044196D"/>
    <w:rsid w:val="00443A84"/>
    <w:rsid w:val="00444245"/>
    <w:rsid w:val="00444797"/>
    <w:rsid w:val="004452A8"/>
    <w:rsid w:val="0044610F"/>
    <w:rsid w:val="00450896"/>
    <w:rsid w:val="0045097F"/>
    <w:rsid w:val="004509D7"/>
    <w:rsid w:val="00452F90"/>
    <w:rsid w:val="00453432"/>
    <w:rsid w:val="00453B1A"/>
    <w:rsid w:val="004544F0"/>
    <w:rsid w:val="0045590B"/>
    <w:rsid w:val="004567F0"/>
    <w:rsid w:val="004568C8"/>
    <w:rsid w:val="00456B60"/>
    <w:rsid w:val="004579B9"/>
    <w:rsid w:val="00457E8C"/>
    <w:rsid w:val="00461E74"/>
    <w:rsid w:val="0046285A"/>
    <w:rsid w:val="004632CB"/>
    <w:rsid w:val="00463A07"/>
    <w:rsid w:val="00464483"/>
    <w:rsid w:val="0046605C"/>
    <w:rsid w:val="00466110"/>
    <w:rsid w:val="00466E5E"/>
    <w:rsid w:val="00467925"/>
    <w:rsid w:val="0047004F"/>
    <w:rsid w:val="00470DF8"/>
    <w:rsid w:val="004718C0"/>
    <w:rsid w:val="00471926"/>
    <w:rsid w:val="0047236B"/>
    <w:rsid w:val="00472B4E"/>
    <w:rsid w:val="00473346"/>
    <w:rsid w:val="00475122"/>
    <w:rsid w:val="0047526F"/>
    <w:rsid w:val="004757B6"/>
    <w:rsid w:val="00476F33"/>
    <w:rsid w:val="00476F80"/>
    <w:rsid w:val="00477270"/>
    <w:rsid w:val="00477F4C"/>
    <w:rsid w:val="004802F2"/>
    <w:rsid w:val="00480432"/>
    <w:rsid w:val="0048047E"/>
    <w:rsid w:val="0048110E"/>
    <w:rsid w:val="00481311"/>
    <w:rsid w:val="004829D5"/>
    <w:rsid w:val="00483013"/>
    <w:rsid w:val="00483A5D"/>
    <w:rsid w:val="00484743"/>
    <w:rsid w:val="004848D8"/>
    <w:rsid w:val="004851CB"/>
    <w:rsid w:val="00485509"/>
    <w:rsid w:val="0048617F"/>
    <w:rsid w:val="004862BC"/>
    <w:rsid w:val="004868A0"/>
    <w:rsid w:val="00486C82"/>
    <w:rsid w:val="00486FC1"/>
    <w:rsid w:val="004900E2"/>
    <w:rsid w:val="00491082"/>
    <w:rsid w:val="0049133D"/>
    <w:rsid w:val="00491EDA"/>
    <w:rsid w:val="004922D7"/>
    <w:rsid w:val="00495D25"/>
    <w:rsid w:val="004965D0"/>
    <w:rsid w:val="00496781"/>
    <w:rsid w:val="0049754C"/>
    <w:rsid w:val="00497A2E"/>
    <w:rsid w:val="00497DA2"/>
    <w:rsid w:val="004A0296"/>
    <w:rsid w:val="004A0EB6"/>
    <w:rsid w:val="004A0EBB"/>
    <w:rsid w:val="004A270A"/>
    <w:rsid w:val="004A279B"/>
    <w:rsid w:val="004A2B2E"/>
    <w:rsid w:val="004A30FD"/>
    <w:rsid w:val="004A4AEB"/>
    <w:rsid w:val="004A5373"/>
    <w:rsid w:val="004A5CDF"/>
    <w:rsid w:val="004A620D"/>
    <w:rsid w:val="004A63AF"/>
    <w:rsid w:val="004A6A15"/>
    <w:rsid w:val="004A6CF5"/>
    <w:rsid w:val="004A7732"/>
    <w:rsid w:val="004A794E"/>
    <w:rsid w:val="004B0513"/>
    <w:rsid w:val="004B0FF1"/>
    <w:rsid w:val="004B1F02"/>
    <w:rsid w:val="004B3031"/>
    <w:rsid w:val="004B4BC8"/>
    <w:rsid w:val="004B59F5"/>
    <w:rsid w:val="004B6B10"/>
    <w:rsid w:val="004B7722"/>
    <w:rsid w:val="004B7EDD"/>
    <w:rsid w:val="004C0731"/>
    <w:rsid w:val="004C1115"/>
    <w:rsid w:val="004C11BE"/>
    <w:rsid w:val="004C1404"/>
    <w:rsid w:val="004C2278"/>
    <w:rsid w:val="004C29CA"/>
    <w:rsid w:val="004C2D00"/>
    <w:rsid w:val="004C4909"/>
    <w:rsid w:val="004C4B11"/>
    <w:rsid w:val="004C4F8E"/>
    <w:rsid w:val="004C5F85"/>
    <w:rsid w:val="004C6169"/>
    <w:rsid w:val="004C7BE6"/>
    <w:rsid w:val="004C7C2B"/>
    <w:rsid w:val="004D0BD8"/>
    <w:rsid w:val="004D15F2"/>
    <w:rsid w:val="004D187F"/>
    <w:rsid w:val="004D1943"/>
    <w:rsid w:val="004D1DD7"/>
    <w:rsid w:val="004D3EF2"/>
    <w:rsid w:val="004D57F8"/>
    <w:rsid w:val="004D6F58"/>
    <w:rsid w:val="004D7A79"/>
    <w:rsid w:val="004E0C07"/>
    <w:rsid w:val="004E1298"/>
    <w:rsid w:val="004E1FF2"/>
    <w:rsid w:val="004E3B4B"/>
    <w:rsid w:val="004E3B58"/>
    <w:rsid w:val="004E4DD6"/>
    <w:rsid w:val="004E534E"/>
    <w:rsid w:val="004E5534"/>
    <w:rsid w:val="004E56ED"/>
    <w:rsid w:val="004E5760"/>
    <w:rsid w:val="004E5EB8"/>
    <w:rsid w:val="004E610D"/>
    <w:rsid w:val="004E625A"/>
    <w:rsid w:val="004E6DE2"/>
    <w:rsid w:val="004E6E60"/>
    <w:rsid w:val="004E7B1D"/>
    <w:rsid w:val="004E7B24"/>
    <w:rsid w:val="004F2CF9"/>
    <w:rsid w:val="004F2D45"/>
    <w:rsid w:val="004F38DD"/>
    <w:rsid w:val="004F396C"/>
    <w:rsid w:val="004F3B9D"/>
    <w:rsid w:val="004F4613"/>
    <w:rsid w:val="004F537E"/>
    <w:rsid w:val="004F5968"/>
    <w:rsid w:val="004F5BC2"/>
    <w:rsid w:val="004F621F"/>
    <w:rsid w:val="004F6A51"/>
    <w:rsid w:val="004F6EA9"/>
    <w:rsid w:val="004F77EB"/>
    <w:rsid w:val="00500478"/>
    <w:rsid w:val="0050113E"/>
    <w:rsid w:val="00502361"/>
    <w:rsid w:val="005034AC"/>
    <w:rsid w:val="00504165"/>
    <w:rsid w:val="00504864"/>
    <w:rsid w:val="00504FA7"/>
    <w:rsid w:val="0050722C"/>
    <w:rsid w:val="00507361"/>
    <w:rsid w:val="00510610"/>
    <w:rsid w:val="00510D13"/>
    <w:rsid w:val="005114BD"/>
    <w:rsid w:val="00511C13"/>
    <w:rsid w:val="00511F1C"/>
    <w:rsid w:val="00513083"/>
    <w:rsid w:val="0051359A"/>
    <w:rsid w:val="00517C75"/>
    <w:rsid w:val="00517E53"/>
    <w:rsid w:val="00517F89"/>
    <w:rsid w:val="0052034A"/>
    <w:rsid w:val="0052072A"/>
    <w:rsid w:val="00520A58"/>
    <w:rsid w:val="005212E8"/>
    <w:rsid w:val="00521746"/>
    <w:rsid w:val="00521E43"/>
    <w:rsid w:val="00522761"/>
    <w:rsid w:val="0052342B"/>
    <w:rsid w:val="005245DC"/>
    <w:rsid w:val="0052486D"/>
    <w:rsid w:val="005249BA"/>
    <w:rsid w:val="00524C71"/>
    <w:rsid w:val="00524F38"/>
    <w:rsid w:val="00527703"/>
    <w:rsid w:val="005277B4"/>
    <w:rsid w:val="005305A1"/>
    <w:rsid w:val="0053114B"/>
    <w:rsid w:val="0053169B"/>
    <w:rsid w:val="005319D6"/>
    <w:rsid w:val="00531CFC"/>
    <w:rsid w:val="00532A21"/>
    <w:rsid w:val="005337A3"/>
    <w:rsid w:val="0053383B"/>
    <w:rsid w:val="00533B53"/>
    <w:rsid w:val="00534571"/>
    <w:rsid w:val="0053500D"/>
    <w:rsid w:val="00535D3B"/>
    <w:rsid w:val="0053612B"/>
    <w:rsid w:val="00537158"/>
    <w:rsid w:val="0053741B"/>
    <w:rsid w:val="00537D21"/>
    <w:rsid w:val="00537DEC"/>
    <w:rsid w:val="00537EA5"/>
    <w:rsid w:val="00540127"/>
    <w:rsid w:val="005403C4"/>
    <w:rsid w:val="005412C7"/>
    <w:rsid w:val="00541576"/>
    <w:rsid w:val="005419FD"/>
    <w:rsid w:val="00541EB4"/>
    <w:rsid w:val="00542A61"/>
    <w:rsid w:val="00542CA8"/>
    <w:rsid w:val="00542F44"/>
    <w:rsid w:val="00544540"/>
    <w:rsid w:val="0054477A"/>
    <w:rsid w:val="00545418"/>
    <w:rsid w:val="00545D84"/>
    <w:rsid w:val="0054779B"/>
    <w:rsid w:val="00547FA9"/>
    <w:rsid w:val="0055113F"/>
    <w:rsid w:val="0055240F"/>
    <w:rsid w:val="00552774"/>
    <w:rsid w:val="00552DD6"/>
    <w:rsid w:val="005544A1"/>
    <w:rsid w:val="005551FD"/>
    <w:rsid w:val="00555389"/>
    <w:rsid w:val="0055562D"/>
    <w:rsid w:val="005570B2"/>
    <w:rsid w:val="005571A3"/>
    <w:rsid w:val="0055748A"/>
    <w:rsid w:val="00557E5A"/>
    <w:rsid w:val="00560112"/>
    <w:rsid w:val="00560CFA"/>
    <w:rsid w:val="005619FC"/>
    <w:rsid w:val="00561D6E"/>
    <w:rsid w:val="005629EA"/>
    <w:rsid w:val="00563C8D"/>
    <w:rsid w:val="005649A9"/>
    <w:rsid w:val="00565281"/>
    <w:rsid w:val="00565691"/>
    <w:rsid w:val="005656B4"/>
    <w:rsid w:val="00566CC0"/>
    <w:rsid w:val="00570183"/>
    <w:rsid w:val="00570F51"/>
    <w:rsid w:val="005713E6"/>
    <w:rsid w:val="0057471A"/>
    <w:rsid w:val="00575D16"/>
    <w:rsid w:val="0057760E"/>
    <w:rsid w:val="00580151"/>
    <w:rsid w:val="0058021A"/>
    <w:rsid w:val="005825C1"/>
    <w:rsid w:val="00582FEA"/>
    <w:rsid w:val="005830C3"/>
    <w:rsid w:val="005843E9"/>
    <w:rsid w:val="005846E3"/>
    <w:rsid w:val="00584C2E"/>
    <w:rsid w:val="00585BFF"/>
    <w:rsid w:val="00585F94"/>
    <w:rsid w:val="0058637F"/>
    <w:rsid w:val="005866F4"/>
    <w:rsid w:val="005867F0"/>
    <w:rsid w:val="00590586"/>
    <w:rsid w:val="00590E2B"/>
    <w:rsid w:val="00590F76"/>
    <w:rsid w:val="0059188E"/>
    <w:rsid w:val="0059222A"/>
    <w:rsid w:val="0059222F"/>
    <w:rsid w:val="00592541"/>
    <w:rsid w:val="00594903"/>
    <w:rsid w:val="00595475"/>
    <w:rsid w:val="00596FD5"/>
    <w:rsid w:val="005A07AD"/>
    <w:rsid w:val="005A07AF"/>
    <w:rsid w:val="005A0D07"/>
    <w:rsid w:val="005A1981"/>
    <w:rsid w:val="005A21C8"/>
    <w:rsid w:val="005A2BC2"/>
    <w:rsid w:val="005A3649"/>
    <w:rsid w:val="005A3EE9"/>
    <w:rsid w:val="005A3FC4"/>
    <w:rsid w:val="005A412B"/>
    <w:rsid w:val="005A49AD"/>
    <w:rsid w:val="005A4C49"/>
    <w:rsid w:val="005A5E1C"/>
    <w:rsid w:val="005A636E"/>
    <w:rsid w:val="005A6D56"/>
    <w:rsid w:val="005A7277"/>
    <w:rsid w:val="005A73B5"/>
    <w:rsid w:val="005A7631"/>
    <w:rsid w:val="005B067B"/>
    <w:rsid w:val="005B0789"/>
    <w:rsid w:val="005B3AA4"/>
    <w:rsid w:val="005B3B9E"/>
    <w:rsid w:val="005B59A7"/>
    <w:rsid w:val="005B7E65"/>
    <w:rsid w:val="005C0062"/>
    <w:rsid w:val="005C0279"/>
    <w:rsid w:val="005C1B12"/>
    <w:rsid w:val="005C2050"/>
    <w:rsid w:val="005C2391"/>
    <w:rsid w:val="005C2933"/>
    <w:rsid w:val="005C2E81"/>
    <w:rsid w:val="005C4A87"/>
    <w:rsid w:val="005C57EF"/>
    <w:rsid w:val="005C6685"/>
    <w:rsid w:val="005C67C2"/>
    <w:rsid w:val="005C77E1"/>
    <w:rsid w:val="005C7D52"/>
    <w:rsid w:val="005D0083"/>
    <w:rsid w:val="005D058A"/>
    <w:rsid w:val="005D17BE"/>
    <w:rsid w:val="005D1B1E"/>
    <w:rsid w:val="005D3374"/>
    <w:rsid w:val="005D33C4"/>
    <w:rsid w:val="005D3E62"/>
    <w:rsid w:val="005D408E"/>
    <w:rsid w:val="005D40F0"/>
    <w:rsid w:val="005D4C67"/>
    <w:rsid w:val="005D4F83"/>
    <w:rsid w:val="005D5065"/>
    <w:rsid w:val="005D5A92"/>
    <w:rsid w:val="005D5AC4"/>
    <w:rsid w:val="005D652A"/>
    <w:rsid w:val="005D65DB"/>
    <w:rsid w:val="005D6F53"/>
    <w:rsid w:val="005D71E1"/>
    <w:rsid w:val="005D755E"/>
    <w:rsid w:val="005E010F"/>
    <w:rsid w:val="005E0156"/>
    <w:rsid w:val="005E191B"/>
    <w:rsid w:val="005E2055"/>
    <w:rsid w:val="005E4558"/>
    <w:rsid w:val="005E470E"/>
    <w:rsid w:val="005E5A2C"/>
    <w:rsid w:val="005E5C3C"/>
    <w:rsid w:val="005E5C85"/>
    <w:rsid w:val="005E5EB2"/>
    <w:rsid w:val="005E64B6"/>
    <w:rsid w:val="005E6A65"/>
    <w:rsid w:val="005E6BA1"/>
    <w:rsid w:val="005E771B"/>
    <w:rsid w:val="005E7D29"/>
    <w:rsid w:val="005F0413"/>
    <w:rsid w:val="005F0E94"/>
    <w:rsid w:val="005F107C"/>
    <w:rsid w:val="005F1F41"/>
    <w:rsid w:val="005F2C5B"/>
    <w:rsid w:val="005F346D"/>
    <w:rsid w:val="005F398D"/>
    <w:rsid w:val="005F4222"/>
    <w:rsid w:val="005F45E3"/>
    <w:rsid w:val="005F554C"/>
    <w:rsid w:val="005F5BFC"/>
    <w:rsid w:val="005F65EA"/>
    <w:rsid w:val="005F6C05"/>
    <w:rsid w:val="005F6D79"/>
    <w:rsid w:val="005F76DE"/>
    <w:rsid w:val="005F7B48"/>
    <w:rsid w:val="005F7BF4"/>
    <w:rsid w:val="006005A4"/>
    <w:rsid w:val="006009E0"/>
    <w:rsid w:val="00601361"/>
    <w:rsid w:val="006016B9"/>
    <w:rsid w:val="00601749"/>
    <w:rsid w:val="00602882"/>
    <w:rsid w:val="00603461"/>
    <w:rsid w:val="006034B0"/>
    <w:rsid w:val="00603D78"/>
    <w:rsid w:val="006047BF"/>
    <w:rsid w:val="00604A0A"/>
    <w:rsid w:val="00604B2B"/>
    <w:rsid w:val="00604E53"/>
    <w:rsid w:val="0060561B"/>
    <w:rsid w:val="00607750"/>
    <w:rsid w:val="006103B9"/>
    <w:rsid w:val="006110C8"/>
    <w:rsid w:val="00612009"/>
    <w:rsid w:val="0061288B"/>
    <w:rsid w:val="00612CC7"/>
    <w:rsid w:val="00613C9F"/>
    <w:rsid w:val="006147D1"/>
    <w:rsid w:val="00615E32"/>
    <w:rsid w:val="00616CC0"/>
    <w:rsid w:val="00617109"/>
    <w:rsid w:val="00617C85"/>
    <w:rsid w:val="00620912"/>
    <w:rsid w:val="0062123B"/>
    <w:rsid w:val="006215AF"/>
    <w:rsid w:val="0062189C"/>
    <w:rsid w:val="00621AF1"/>
    <w:rsid w:val="00621C1C"/>
    <w:rsid w:val="006220AD"/>
    <w:rsid w:val="00622A4B"/>
    <w:rsid w:val="00623AC8"/>
    <w:rsid w:val="00623E05"/>
    <w:rsid w:val="0062515A"/>
    <w:rsid w:val="00625E29"/>
    <w:rsid w:val="00625ED0"/>
    <w:rsid w:val="00626F33"/>
    <w:rsid w:val="00627B5A"/>
    <w:rsid w:val="0063004D"/>
    <w:rsid w:val="006300D9"/>
    <w:rsid w:val="00631151"/>
    <w:rsid w:val="00631452"/>
    <w:rsid w:val="00631669"/>
    <w:rsid w:val="00631828"/>
    <w:rsid w:val="00631CD5"/>
    <w:rsid w:val="00635CB7"/>
    <w:rsid w:val="006363C9"/>
    <w:rsid w:val="006405A5"/>
    <w:rsid w:val="00640A70"/>
    <w:rsid w:val="006416D3"/>
    <w:rsid w:val="00641B10"/>
    <w:rsid w:val="00641E5F"/>
    <w:rsid w:val="006420F4"/>
    <w:rsid w:val="00642FDB"/>
    <w:rsid w:val="00643AB9"/>
    <w:rsid w:val="00643ACE"/>
    <w:rsid w:val="00645894"/>
    <w:rsid w:val="00645F95"/>
    <w:rsid w:val="00646181"/>
    <w:rsid w:val="00646526"/>
    <w:rsid w:val="00646C9B"/>
    <w:rsid w:val="00646E0A"/>
    <w:rsid w:val="006501D1"/>
    <w:rsid w:val="006506D3"/>
    <w:rsid w:val="00650C92"/>
    <w:rsid w:val="00650CF4"/>
    <w:rsid w:val="0065123F"/>
    <w:rsid w:val="006519CF"/>
    <w:rsid w:val="00651D25"/>
    <w:rsid w:val="006534F7"/>
    <w:rsid w:val="00653CC7"/>
    <w:rsid w:val="00653E8A"/>
    <w:rsid w:val="006543D0"/>
    <w:rsid w:val="0065452A"/>
    <w:rsid w:val="00655F35"/>
    <w:rsid w:val="00656689"/>
    <w:rsid w:val="00656DDB"/>
    <w:rsid w:val="0065711C"/>
    <w:rsid w:val="00657161"/>
    <w:rsid w:val="00661784"/>
    <w:rsid w:val="006629B5"/>
    <w:rsid w:val="00664E2A"/>
    <w:rsid w:val="00666D64"/>
    <w:rsid w:val="00666D8C"/>
    <w:rsid w:val="00666E7E"/>
    <w:rsid w:val="0066717D"/>
    <w:rsid w:val="00667D04"/>
    <w:rsid w:val="0067055A"/>
    <w:rsid w:val="00670BF0"/>
    <w:rsid w:val="00671CC4"/>
    <w:rsid w:val="006720A4"/>
    <w:rsid w:val="006721A6"/>
    <w:rsid w:val="00672B3E"/>
    <w:rsid w:val="00673307"/>
    <w:rsid w:val="0067372C"/>
    <w:rsid w:val="006738A8"/>
    <w:rsid w:val="00673BBF"/>
    <w:rsid w:val="00673DE0"/>
    <w:rsid w:val="00674D56"/>
    <w:rsid w:val="0067581B"/>
    <w:rsid w:val="00675A78"/>
    <w:rsid w:val="006771EC"/>
    <w:rsid w:val="00677E45"/>
    <w:rsid w:val="00680129"/>
    <w:rsid w:val="00681A9A"/>
    <w:rsid w:val="00681F84"/>
    <w:rsid w:val="00682862"/>
    <w:rsid w:val="00682975"/>
    <w:rsid w:val="00682EAD"/>
    <w:rsid w:val="0068345D"/>
    <w:rsid w:val="00683B99"/>
    <w:rsid w:val="0068497A"/>
    <w:rsid w:val="00685328"/>
    <w:rsid w:val="00685353"/>
    <w:rsid w:val="006860B9"/>
    <w:rsid w:val="006872E3"/>
    <w:rsid w:val="006902B4"/>
    <w:rsid w:val="00690760"/>
    <w:rsid w:val="0069112D"/>
    <w:rsid w:val="00692AA6"/>
    <w:rsid w:val="00692BBF"/>
    <w:rsid w:val="0069413A"/>
    <w:rsid w:val="006945D5"/>
    <w:rsid w:val="006948D2"/>
    <w:rsid w:val="00694C7F"/>
    <w:rsid w:val="0069503F"/>
    <w:rsid w:val="00695780"/>
    <w:rsid w:val="00697DDA"/>
    <w:rsid w:val="006A1398"/>
    <w:rsid w:val="006A15FE"/>
    <w:rsid w:val="006A2914"/>
    <w:rsid w:val="006A2A12"/>
    <w:rsid w:val="006A5233"/>
    <w:rsid w:val="006A596D"/>
    <w:rsid w:val="006A676F"/>
    <w:rsid w:val="006A69FC"/>
    <w:rsid w:val="006A7EAC"/>
    <w:rsid w:val="006B0261"/>
    <w:rsid w:val="006B08BE"/>
    <w:rsid w:val="006B1548"/>
    <w:rsid w:val="006B16C3"/>
    <w:rsid w:val="006B1B31"/>
    <w:rsid w:val="006B1FF5"/>
    <w:rsid w:val="006B2AEF"/>
    <w:rsid w:val="006B2CBA"/>
    <w:rsid w:val="006B2E40"/>
    <w:rsid w:val="006B4561"/>
    <w:rsid w:val="006B48EE"/>
    <w:rsid w:val="006B5365"/>
    <w:rsid w:val="006B55C0"/>
    <w:rsid w:val="006B623D"/>
    <w:rsid w:val="006B6849"/>
    <w:rsid w:val="006C00D0"/>
    <w:rsid w:val="006C071E"/>
    <w:rsid w:val="006C183F"/>
    <w:rsid w:val="006C3DCE"/>
    <w:rsid w:val="006C49D3"/>
    <w:rsid w:val="006C5421"/>
    <w:rsid w:val="006C60E7"/>
    <w:rsid w:val="006C7501"/>
    <w:rsid w:val="006C75EF"/>
    <w:rsid w:val="006C76E7"/>
    <w:rsid w:val="006D0087"/>
    <w:rsid w:val="006D0FC2"/>
    <w:rsid w:val="006D1276"/>
    <w:rsid w:val="006D1718"/>
    <w:rsid w:val="006D1802"/>
    <w:rsid w:val="006D1A0D"/>
    <w:rsid w:val="006D1AB2"/>
    <w:rsid w:val="006D1EA1"/>
    <w:rsid w:val="006D2214"/>
    <w:rsid w:val="006D30BE"/>
    <w:rsid w:val="006D32A6"/>
    <w:rsid w:val="006D378A"/>
    <w:rsid w:val="006D5DA0"/>
    <w:rsid w:val="006D6238"/>
    <w:rsid w:val="006D6927"/>
    <w:rsid w:val="006D69D5"/>
    <w:rsid w:val="006E015A"/>
    <w:rsid w:val="006E1BC4"/>
    <w:rsid w:val="006E29FF"/>
    <w:rsid w:val="006E2CB9"/>
    <w:rsid w:val="006E3250"/>
    <w:rsid w:val="006E38F2"/>
    <w:rsid w:val="006E3ADB"/>
    <w:rsid w:val="006E4211"/>
    <w:rsid w:val="006E4D8E"/>
    <w:rsid w:val="006E5072"/>
    <w:rsid w:val="006E57A1"/>
    <w:rsid w:val="006E57EE"/>
    <w:rsid w:val="006E67BE"/>
    <w:rsid w:val="006E716B"/>
    <w:rsid w:val="006F2724"/>
    <w:rsid w:val="006F45CE"/>
    <w:rsid w:val="006F49AE"/>
    <w:rsid w:val="006F4A0E"/>
    <w:rsid w:val="006F5A90"/>
    <w:rsid w:val="006F6815"/>
    <w:rsid w:val="006F698C"/>
    <w:rsid w:val="00700417"/>
    <w:rsid w:val="007004FE"/>
    <w:rsid w:val="007006F8"/>
    <w:rsid w:val="00701075"/>
    <w:rsid w:val="0070186F"/>
    <w:rsid w:val="00701A12"/>
    <w:rsid w:val="00702552"/>
    <w:rsid w:val="007041B4"/>
    <w:rsid w:val="0070640B"/>
    <w:rsid w:val="007070D3"/>
    <w:rsid w:val="0070718D"/>
    <w:rsid w:val="00707624"/>
    <w:rsid w:val="00710FCE"/>
    <w:rsid w:val="007129BE"/>
    <w:rsid w:val="00712CFC"/>
    <w:rsid w:val="007134B8"/>
    <w:rsid w:val="00714664"/>
    <w:rsid w:val="00714890"/>
    <w:rsid w:val="0071496C"/>
    <w:rsid w:val="00714A21"/>
    <w:rsid w:val="00714A7A"/>
    <w:rsid w:val="00714B30"/>
    <w:rsid w:val="00714B5A"/>
    <w:rsid w:val="00715918"/>
    <w:rsid w:val="00717E6D"/>
    <w:rsid w:val="007200A1"/>
    <w:rsid w:val="0072125B"/>
    <w:rsid w:val="0072137B"/>
    <w:rsid w:val="0072164D"/>
    <w:rsid w:val="0072194F"/>
    <w:rsid w:val="0072202A"/>
    <w:rsid w:val="007242B8"/>
    <w:rsid w:val="0072580C"/>
    <w:rsid w:val="00725D08"/>
    <w:rsid w:val="00726547"/>
    <w:rsid w:val="0072673C"/>
    <w:rsid w:val="00726CEF"/>
    <w:rsid w:val="007272A6"/>
    <w:rsid w:val="007272B8"/>
    <w:rsid w:val="007273EE"/>
    <w:rsid w:val="007278D2"/>
    <w:rsid w:val="00727BC0"/>
    <w:rsid w:val="00730061"/>
    <w:rsid w:val="007306CE"/>
    <w:rsid w:val="00733A8D"/>
    <w:rsid w:val="00733E2C"/>
    <w:rsid w:val="00733FDB"/>
    <w:rsid w:val="00733FFE"/>
    <w:rsid w:val="00735085"/>
    <w:rsid w:val="00735688"/>
    <w:rsid w:val="007358B0"/>
    <w:rsid w:val="007359A9"/>
    <w:rsid w:val="00735D23"/>
    <w:rsid w:val="00735FA9"/>
    <w:rsid w:val="00736020"/>
    <w:rsid w:val="007362CD"/>
    <w:rsid w:val="00736BD2"/>
    <w:rsid w:val="00736D92"/>
    <w:rsid w:val="00737044"/>
    <w:rsid w:val="0073707C"/>
    <w:rsid w:val="0073726F"/>
    <w:rsid w:val="00740345"/>
    <w:rsid w:val="0074048F"/>
    <w:rsid w:val="00740505"/>
    <w:rsid w:val="00740AA5"/>
    <w:rsid w:val="00740F2C"/>
    <w:rsid w:val="007420B8"/>
    <w:rsid w:val="00742F9C"/>
    <w:rsid w:val="00743004"/>
    <w:rsid w:val="00744F98"/>
    <w:rsid w:val="00745A98"/>
    <w:rsid w:val="00745FF3"/>
    <w:rsid w:val="00746AEF"/>
    <w:rsid w:val="007474D1"/>
    <w:rsid w:val="00747500"/>
    <w:rsid w:val="00747EDC"/>
    <w:rsid w:val="0075093B"/>
    <w:rsid w:val="00750FD8"/>
    <w:rsid w:val="00752182"/>
    <w:rsid w:val="00752D47"/>
    <w:rsid w:val="00753B92"/>
    <w:rsid w:val="00753FFC"/>
    <w:rsid w:val="00754292"/>
    <w:rsid w:val="00756289"/>
    <w:rsid w:val="007577A7"/>
    <w:rsid w:val="0076201A"/>
    <w:rsid w:val="00764019"/>
    <w:rsid w:val="00765C3B"/>
    <w:rsid w:val="00765C81"/>
    <w:rsid w:val="00766254"/>
    <w:rsid w:val="00766F3A"/>
    <w:rsid w:val="00770D49"/>
    <w:rsid w:val="0077109E"/>
    <w:rsid w:val="007710D4"/>
    <w:rsid w:val="00773481"/>
    <w:rsid w:val="00773823"/>
    <w:rsid w:val="00773935"/>
    <w:rsid w:val="0077418E"/>
    <w:rsid w:val="00774B3F"/>
    <w:rsid w:val="00774BE7"/>
    <w:rsid w:val="00774C42"/>
    <w:rsid w:val="00775398"/>
    <w:rsid w:val="0077588A"/>
    <w:rsid w:val="00776A9A"/>
    <w:rsid w:val="00776E35"/>
    <w:rsid w:val="00776F87"/>
    <w:rsid w:val="00776F8D"/>
    <w:rsid w:val="007771C4"/>
    <w:rsid w:val="00777DED"/>
    <w:rsid w:val="007804CB"/>
    <w:rsid w:val="00781426"/>
    <w:rsid w:val="00781659"/>
    <w:rsid w:val="0078196A"/>
    <w:rsid w:val="00781B76"/>
    <w:rsid w:val="0078207E"/>
    <w:rsid w:val="00782A4C"/>
    <w:rsid w:val="00783C7E"/>
    <w:rsid w:val="00784197"/>
    <w:rsid w:val="0078420D"/>
    <w:rsid w:val="007849A1"/>
    <w:rsid w:val="00785181"/>
    <w:rsid w:val="00785AFF"/>
    <w:rsid w:val="00785DCA"/>
    <w:rsid w:val="007860F0"/>
    <w:rsid w:val="00786293"/>
    <w:rsid w:val="007869E4"/>
    <w:rsid w:val="0078745B"/>
    <w:rsid w:val="00787B8B"/>
    <w:rsid w:val="007908DF"/>
    <w:rsid w:val="007910F6"/>
    <w:rsid w:val="00791749"/>
    <w:rsid w:val="0079175F"/>
    <w:rsid w:val="00794C23"/>
    <w:rsid w:val="007954A6"/>
    <w:rsid w:val="00796332"/>
    <w:rsid w:val="0079640B"/>
    <w:rsid w:val="00796A21"/>
    <w:rsid w:val="007978A7"/>
    <w:rsid w:val="007A01F6"/>
    <w:rsid w:val="007A06A7"/>
    <w:rsid w:val="007A1C83"/>
    <w:rsid w:val="007A1D46"/>
    <w:rsid w:val="007A1EBE"/>
    <w:rsid w:val="007A26F5"/>
    <w:rsid w:val="007A3565"/>
    <w:rsid w:val="007A3F14"/>
    <w:rsid w:val="007A5066"/>
    <w:rsid w:val="007A65F0"/>
    <w:rsid w:val="007A6D8A"/>
    <w:rsid w:val="007A6E38"/>
    <w:rsid w:val="007A6FB4"/>
    <w:rsid w:val="007A6FCF"/>
    <w:rsid w:val="007A74B1"/>
    <w:rsid w:val="007A7E68"/>
    <w:rsid w:val="007B0B80"/>
    <w:rsid w:val="007B1195"/>
    <w:rsid w:val="007B172C"/>
    <w:rsid w:val="007B2850"/>
    <w:rsid w:val="007B2B56"/>
    <w:rsid w:val="007B3363"/>
    <w:rsid w:val="007B37F9"/>
    <w:rsid w:val="007B3E45"/>
    <w:rsid w:val="007B4DDF"/>
    <w:rsid w:val="007B5197"/>
    <w:rsid w:val="007B5380"/>
    <w:rsid w:val="007B542F"/>
    <w:rsid w:val="007B5529"/>
    <w:rsid w:val="007B6070"/>
    <w:rsid w:val="007B60BB"/>
    <w:rsid w:val="007B720A"/>
    <w:rsid w:val="007B75E7"/>
    <w:rsid w:val="007B793E"/>
    <w:rsid w:val="007B7D20"/>
    <w:rsid w:val="007C0288"/>
    <w:rsid w:val="007C070B"/>
    <w:rsid w:val="007C0C32"/>
    <w:rsid w:val="007C143F"/>
    <w:rsid w:val="007C14CE"/>
    <w:rsid w:val="007C26A6"/>
    <w:rsid w:val="007C28A8"/>
    <w:rsid w:val="007C6A9C"/>
    <w:rsid w:val="007D1128"/>
    <w:rsid w:val="007D1821"/>
    <w:rsid w:val="007D198C"/>
    <w:rsid w:val="007D37DF"/>
    <w:rsid w:val="007D3CFE"/>
    <w:rsid w:val="007D58F2"/>
    <w:rsid w:val="007D5C7B"/>
    <w:rsid w:val="007E1C7C"/>
    <w:rsid w:val="007E20FA"/>
    <w:rsid w:val="007E2DDF"/>
    <w:rsid w:val="007E3631"/>
    <w:rsid w:val="007E3D7D"/>
    <w:rsid w:val="007E3FCF"/>
    <w:rsid w:val="007E4400"/>
    <w:rsid w:val="007E4E0D"/>
    <w:rsid w:val="007E52E8"/>
    <w:rsid w:val="007E53E8"/>
    <w:rsid w:val="007E54F6"/>
    <w:rsid w:val="007E663C"/>
    <w:rsid w:val="007E6814"/>
    <w:rsid w:val="007E6825"/>
    <w:rsid w:val="007E730E"/>
    <w:rsid w:val="007E7C22"/>
    <w:rsid w:val="007F0141"/>
    <w:rsid w:val="007F014F"/>
    <w:rsid w:val="007F01B7"/>
    <w:rsid w:val="007F0859"/>
    <w:rsid w:val="007F0FD0"/>
    <w:rsid w:val="007F161F"/>
    <w:rsid w:val="007F21F4"/>
    <w:rsid w:val="007F239B"/>
    <w:rsid w:val="007F2437"/>
    <w:rsid w:val="007F422B"/>
    <w:rsid w:val="007F4913"/>
    <w:rsid w:val="007F4D84"/>
    <w:rsid w:val="007F52D2"/>
    <w:rsid w:val="007F73FA"/>
    <w:rsid w:val="0080036B"/>
    <w:rsid w:val="0080148E"/>
    <w:rsid w:val="0080190D"/>
    <w:rsid w:val="00801B95"/>
    <w:rsid w:val="00803872"/>
    <w:rsid w:val="0080389C"/>
    <w:rsid w:val="00803FBE"/>
    <w:rsid w:val="0080583B"/>
    <w:rsid w:val="00806DAC"/>
    <w:rsid w:val="00807E70"/>
    <w:rsid w:val="00810572"/>
    <w:rsid w:val="00810A83"/>
    <w:rsid w:val="00811A9E"/>
    <w:rsid w:val="008120F3"/>
    <w:rsid w:val="00812622"/>
    <w:rsid w:val="0081269C"/>
    <w:rsid w:val="008135F8"/>
    <w:rsid w:val="0081412D"/>
    <w:rsid w:val="0081476A"/>
    <w:rsid w:val="00815B85"/>
    <w:rsid w:val="00817A7E"/>
    <w:rsid w:val="00817EF9"/>
    <w:rsid w:val="0082087D"/>
    <w:rsid w:val="008209FF"/>
    <w:rsid w:val="00820C9F"/>
    <w:rsid w:val="00820D97"/>
    <w:rsid w:val="008213FE"/>
    <w:rsid w:val="00821C1E"/>
    <w:rsid w:val="008232F2"/>
    <w:rsid w:val="00823BDC"/>
    <w:rsid w:val="0082490F"/>
    <w:rsid w:val="00825077"/>
    <w:rsid w:val="008253C7"/>
    <w:rsid w:val="00825892"/>
    <w:rsid w:val="00825BD4"/>
    <w:rsid w:val="0082665A"/>
    <w:rsid w:val="00827125"/>
    <w:rsid w:val="00827A0D"/>
    <w:rsid w:val="00830424"/>
    <w:rsid w:val="0083042B"/>
    <w:rsid w:val="0083198C"/>
    <w:rsid w:val="00831B22"/>
    <w:rsid w:val="008323A9"/>
    <w:rsid w:val="008332EE"/>
    <w:rsid w:val="008344A4"/>
    <w:rsid w:val="0083502C"/>
    <w:rsid w:val="008351C1"/>
    <w:rsid w:val="008355A6"/>
    <w:rsid w:val="00835A83"/>
    <w:rsid w:val="008368B4"/>
    <w:rsid w:val="0084029F"/>
    <w:rsid w:val="00840D2A"/>
    <w:rsid w:val="00840FC7"/>
    <w:rsid w:val="0084295F"/>
    <w:rsid w:val="0084311D"/>
    <w:rsid w:val="0084453C"/>
    <w:rsid w:val="008446EF"/>
    <w:rsid w:val="00844A8A"/>
    <w:rsid w:val="00846024"/>
    <w:rsid w:val="00846D55"/>
    <w:rsid w:val="00847377"/>
    <w:rsid w:val="008477F2"/>
    <w:rsid w:val="00847B64"/>
    <w:rsid w:val="00847F62"/>
    <w:rsid w:val="00850167"/>
    <w:rsid w:val="008507BD"/>
    <w:rsid w:val="00850842"/>
    <w:rsid w:val="00850A0B"/>
    <w:rsid w:val="00850D2A"/>
    <w:rsid w:val="00852C47"/>
    <w:rsid w:val="008531A7"/>
    <w:rsid w:val="008537C1"/>
    <w:rsid w:val="00854CA3"/>
    <w:rsid w:val="008556F0"/>
    <w:rsid w:val="0085745C"/>
    <w:rsid w:val="00860065"/>
    <w:rsid w:val="00860A1D"/>
    <w:rsid w:val="00862724"/>
    <w:rsid w:val="008629A2"/>
    <w:rsid w:val="00862C3B"/>
    <w:rsid w:val="00863C46"/>
    <w:rsid w:val="00863C6A"/>
    <w:rsid w:val="00864AAF"/>
    <w:rsid w:val="008664BD"/>
    <w:rsid w:val="00870AAF"/>
    <w:rsid w:val="0087163B"/>
    <w:rsid w:val="00871B88"/>
    <w:rsid w:val="00872162"/>
    <w:rsid w:val="00872A80"/>
    <w:rsid w:val="00872A88"/>
    <w:rsid w:val="008735C1"/>
    <w:rsid w:val="008741E6"/>
    <w:rsid w:val="00874D02"/>
    <w:rsid w:val="00880638"/>
    <w:rsid w:val="00881086"/>
    <w:rsid w:val="008821FD"/>
    <w:rsid w:val="00882753"/>
    <w:rsid w:val="00882CD9"/>
    <w:rsid w:val="008843DE"/>
    <w:rsid w:val="008851EE"/>
    <w:rsid w:val="00885830"/>
    <w:rsid w:val="0088676D"/>
    <w:rsid w:val="00886F3B"/>
    <w:rsid w:val="00887F58"/>
    <w:rsid w:val="00890D26"/>
    <w:rsid w:val="0089193C"/>
    <w:rsid w:val="00891B6A"/>
    <w:rsid w:val="00891C4A"/>
    <w:rsid w:val="0089213A"/>
    <w:rsid w:val="008926B7"/>
    <w:rsid w:val="008927DF"/>
    <w:rsid w:val="00892D3F"/>
    <w:rsid w:val="00893524"/>
    <w:rsid w:val="008938B9"/>
    <w:rsid w:val="008959E5"/>
    <w:rsid w:val="00895A79"/>
    <w:rsid w:val="008970BA"/>
    <w:rsid w:val="00897402"/>
    <w:rsid w:val="008A0305"/>
    <w:rsid w:val="008A2FA2"/>
    <w:rsid w:val="008A35DC"/>
    <w:rsid w:val="008A5366"/>
    <w:rsid w:val="008A6BFE"/>
    <w:rsid w:val="008A7363"/>
    <w:rsid w:val="008A7DC8"/>
    <w:rsid w:val="008B05EB"/>
    <w:rsid w:val="008B0A2E"/>
    <w:rsid w:val="008B1AD2"/>
    <w:rsid w:val="008B4259"/>
    <w:rsid w:val="008B552F"/>
    <w:rsid w:val="008B691B"/>
    <w:rsid w:val="008B6BF8"/>
    <w:rsid w:val="008B6DDC"/>
    <w:rsid w:val="008B797F"/>
    <w:rsid w:val="008B7C7F"/>
    <w:rsid w:val="008C06A0"/>
    <w:rsid w:val="008C0C02"/>
    <w:rsid w:val="008C1C8E"/>
    <w:rsid w:val="008C2223"/>
    <w:rsid w:val="008C33DC"/>
    <w:rsid w:val="008C36AB"/>
    <w:rsid w:val="008C3866"/>
    <w:rsid w:val="008C461D"/>
    <w:rsid w:val="008C4E62"/>
    <w:rsid w:val="008C50B8"/>
    <w:rsid w:val="008C56D5"/>
    <w:rsid w:val="008C60F5"/>
    <w:rsid w:val="008D0E9D"/>
    <w:rsid w:val="008D1C54"/>
    <w:rsid w:val="008D2190"/>
    <w:rsid w:val="008D231C"/>
    <w:rsid w:val="008D2828"/>
    <w:rsid w:val="008D30C2"/>
    <w:rsid w:val="008D4590"/>
    <w:rsid w:val="008D4868"/>
    <w:rsid w:val="008D4F71"/>
    <w:rsid w:val="008D590F"/>
    <w:rsid w:val="008D5B8E"/>
    <w:rsid w:val="008D65FF"/>
    <w:rsid w:val="008D6D3D"/>
    <w:rsid w:val="008D6FDC"/>
    <w:rsid w:val="008D706A"/>
    <w:rsid w:val="008D778A"/>
    <w:rsid w:val="008E01D5"/>
    <w:rsid w:val="008E01E2"/>
    <w:rsid w:val="008E201A"/>
    <w:rsid w:val="008E319C"/>
    <w:rsid w:val="008E33E2"/>
    <w:rsid w:val="008E36D9"/>
    <w:rsid w:val="008E47F9"/>
    <w:rsid w:val="008E4F18"/>
    <w:rsid w:val="008E532F"/>
    <w:rsid w:val="008E5D92"/>
    <w:rsid w:val="008E67B1"/>
    <w:rsid w:val="008E68D1"/>
    <w:rsid w:val="008E6ED5"/>
    <w:rsid w:val="008E74E3"/>
    <w:rsid w:val="008F0CDF"/>
    <w:rsid w:val="008F2043"/>
    <w:rsid w:val="008F31F5"/>
    <w:rsid w:val="008F3804"/>
    <w:rsid w:val="008F400A"/>
    <w:rsid w:val="008F4671"/>
    <w:rsid w:val="008F4EE8"/>
    <w:rsid w:val="008F5B1B"/>
    <w:rsid w:val="008F65EE"/>
    <w:rsid w:val="008F770D"/>
    <w:rsid w:val="0090154B"/>
    <w:rsid w:val="00901CB2"/>
    <w:rsid w:val="00901FBC"/>
    <w:rsid w:val="009035E7"/>
    <w:rsid w:val="00905AC5"/>
    <w:rsid w:val="00906EE9"/>
    <w:rsid w:val="00907704"/>
    <w:rsid w:val="00907F63"/>
    <w:rsid w:val="0091010B"/>
    <w:rsid w:val="00910B76"/>
    <w:rsid w:val="00911309"/>
    <w:rsid w:val="00912492"/>
    <w:rsid w:val="00912626"/>
    <w:rsid w:val="009128E7"/>
    <w:rsid w:val="009129D1"/>
    <w:rsid w:val="009132B4"/>
    <w:rsid w:val="009154EA"/>
    <w:rsid w:val="00916C10"/>
    <w:rsid w:val="009170DB"/>
    <w:rsid w:val="009175CF"/>
    <w:rsid w:val="00921B5C"/>
    <w:rsid w:val="00921BCA"/>
    <w:rsid w:val="00923BCD"/>
    <w:rsid w:val="00924D40"/>
    <w:rsid w:val="009252B1"/>
    <w:rsid w:val="009252F0"/>
    <w:rsid w:val="009269D3"/>
    <w:rsid w:val="00927127"/>
    <w:rsid w:val="00927B5B"/>
    <w:rsid w:val="00927C7B"/>
    <w:rsid w:val="00931007"/>
    <w:rsid w:val="00931669"/>
    <w:rsid w:val="009336F2"/>
    <w:rsid w:val="00933821"/>
    <w:rsid w:val="00935785"/>
    <w:rsid w:val="009358E0"/>
    <w:rsid w:val="00935EE8"/>
    <w:rsid w:val="009368AC"/>
    <w:rsid w:val="009426C5"/>
    <w:rsid w:val="00943FD3"/>
    <w:rsid w:val="009447E1"/>
    <w:rsid w:val="009460B5"/>
    <w:rsid w:val="00946DC0"/>
    <w:rsid w:val="00946F01"/>
    <w:rsid w:val="0094736F"/>
    <w:rsid w:val="00947B81"/>
    <w:rsid w:val="00950C32"/>
    <w:rsid w:val="00950EDB"/>
    <w:rsid w:val="009515D7"/>
    <w:rsid w:val="00952612"/>
    <w:rsid w:val="00952689"/>
    <w:rsid w:val="009531A1"/>
    <w:rsid w:val="009539AC"/>
    <w:rsid w:val="00954158"/>
    <w:rsid w:val="00954651"/>
    <w:rsid w:val="009546E6"/>
    <w:rsid w:val="00954AA0"/>
    <w:rsid w:val="00956098"/>
    <w:rsid w:val="009562A5"/>
    <w:rsid w:val="009563EA"/>
    <w:rsid w:val="009571EB"/>
    <w:rsid w:val="009612E3"/>
    <w:rsid w:val="009614D6"/>
    <w:rsid w:val="0096152C"/>
    <w:rsid w:val="0096160A"/>
    <w:rsid w:val="00962621"/>
    <w:rsid w:val="009643A6"/>
    <w:rsid w:val="00964657"/>
    <w:rsid w:val="00964748"/>
    <w:rsid w:val="009651AC"/>
    <w:rsid w:val="00966581"/>
    <w:rsid w:val="00966959"/>
    <w:rsid w:val="009717A4"/>
    <w:rsid w:val="0097218F"/>
    <w:rsid w:val="0097255D"/>
    <w:rsid w:val="0097341A"/>
    <w:rsid w:val="009737E1"/>
    <w:rsid w:val="00973D8F"/>
    <w:rsid w:val="00975E18"/>
    <w:rsid w:val="00976557"/>
    <w:rsid w:val="009766DB"/>
    <w:rsid w:val="00976C06"/>
    <w:rsid w:val="009804BB"/>
    <w:rsid w:val="00981EDA"/>
    <w:rsid w:val="00981F77"/>
    <w:rsid w:val="0098255F"/>
    <w:rsid w:val="00982AA8"/>
    <w:rsid w:val="009842B0"/>
    <w:rsid w:val="009846F4"/>
    <w:rsid w:val="009853A9"/>
    <w:rsid w:val="00985597"/>
    <w:rsid w:val="00985797"/>
    <w:rsid w:val="00985CD4"/>
    <w:rsid w:val="00985F7E"/>
    <w:rsid w:val="00987583"/>
    <w:rsid w:val="0098786C"/>
    <w:rsid w:val="009879BC"/>
    <w:rsid w:val="00987CB4"/>
    <w:rsid w:val="00990F5F"/>
    <w:rsid w:val="00991A0B"/>
    <w:rsid w:val="009925F3"/>
    <w:rsid w:val="00993D25"/>
    <w:rsid w:val="009946FC"/>
    <w:rsid w:val="0099563C"/>
    <w:rsid w:val="009961D3"/>
    <w:rsid w:val="009965F9"/>
    <w:rsid w:val="009974AF"/>
    <w:rsid w:val="00997F49"/>
    <w:rsid w:val="009A0506"/>
    <w:rsid w:val="009A0C1A"/>
    <w:rsid w:val="009A10F3"/>
    <w:rsid w:val="009A3A9A"/>
    <w:rsid w:val="009A4A17"/>
    <w:rsid w:val="009A6968"/>
    <w:rsid w:val="009A70BF"/>
    <w:rsid w:val="009B14FC"/>
    <w:rsid w:val="009B19FF"/>
    <w:rsid w:val="009B2CB3"/>
    <w:rsid w:val="009B2D32"/>
    <w:rsid w:val="009B33C5"/>
    <w:rsid w:val="009B3408"/>
    <w:rsid w:val="009B412C"/>
    <w:rsid w:val="009B4BA1"/>
    <w:rsid w:val="009B4F4B"/>
    <w:rsid w:val="009B5BFC"/>
    <w:rsid w:val="009B6CA4"/>
    <w:rsid w:val="009C168F"/>
    <w:rsid w:val="009C1F28"/>
    <w:rsid w:val="009C20E7"/>
    <w:rsid w:val="009C531C"/>
    <w:rsid w:val="009C5369"/>
    <w:rsid w:val="009C5429"/>
    <w:rsid w:val="009C6EBB"/>
    <w:rsid w:val="009C7899"/>
    <w:rsid w:val="009D04AC"/>
    <w:rsid w:val="009D0531"/>
    <w:rsid w:val="009D1A9F"/>
    <w:rsid w:val="009D25A3"/>
    <w:rsid w:val="009D27F3"/>
    <w:rsid w:val="009D280F"/>
    <w:rsid w:val="009D2ED7"/>
    <w:rsid w:val="009D50DB"/>
    <w:rsid w:val="009D54EF"/>
    <w:rsid w:val="009D64C8"/>
    <w:rsid w:val="009D69D9"/>
    <w:rsid w:val="009D7C6E"/>
    <w:rsid w:val="009D7F83"/>
    <w:rsid w:val="009E048A"/>
    <w:rsid w:val="009E06B5"/>
    <w:rsid w:val="009E07AC"/>
    <w:rsid w:val="009E103E"/>
    <w:rsid w:val="009E17FF"/>
    <w:rsid w:val="009E26A4"/>
    <w:rsid w:val="009E343C"/>
    <w:rsid w:val="009E39B5"/>
    <w:rsid w:val="009E4DB0"/>
    <w:rsid w:val="009E524D"/>
    <w:rsid w:val="009E5562"/>
    <w:rsid w:val="009E56AC"/>
    <w:rsid w:val="009E6B00"/>
    <w:rsid w:val="009E6D4E"/>
    <w:rsid w:val="009E76F0"/>
    <w:rsid w:val="009E7872"/>
    <w:rsid w:val="009F0A6E"/>
    <w:rsid w:val="009F0B0D"/>
    <w:rsid w:val="009F0E84"/>
    <w:rsid w:val="009F1369"/>
    <w:rsid w:val="009F14A2"/>
    <w:rsid w:val="009F1513"/>
    <w:rsid w:val="009F315E"/>
    <w:rsid w:val="009F3BB9"/>
    <w:rsid w:val="009F517B"/>
    <w:rsid w:val="009F620D"/>
    <w:rsid w:val="009F6556"/>
    <w:rsid w:val="009F6B6A"/>
    <w:rsid w:val="009F6D72"/>
    <w:rsid w:val="009F7232"/>
    <w:rsid w:val="009F7927"/>
    <w:rsid w:val="00A0012E"/>
    <w:rsid w:val="00A00616"/>
    <w:rsid w:val="00A01504"/>
    <w:rsid w:val="00A01F33"/>
    <w:rsid w:val="00A024CB"/>
    <w:rsid w:val="00A036CA"/>
    <w:rsid w:val="00A049D1"/>
    <w:rsid w:val="00A04C8D"/>
    <w:rsid w:val="00A04F2C"/>
    <w:rsid w:val="00A04FF0"/>
    <w:rsid w:val="00A050C2"/>
    <w:rsid w:val="00A055C0"/>
    <w:rsid w:val="00A06960"/>
    <w:rsid w:val="00A07212"/>
    <w:rsid w:val="00A07AFD"/>
    <w:rsid w:val="00A10502"/>
    <w:rsid w:val="00A107E7"/>
    <w:rsid w:val="00A10CEF"/>
    <w:rsid w:val="00A10F61"/>
    <w:rsid w:val="00A11214"/>
    <w:rsid w:val="00A1169E"/>
    <w:rsid w:val="00A11E63"/>
    <w:rsid w:val="00A121EE"/>
    <w:rsid w:val="00A1231B"/>
    <w:rsid w:val="00A1352C"/>
    <w:rsid w:val="00A13C6A"/>
    <w:rsid w:val="00A13EA7"/>
    <w:rsid w:val="00A14617"/>
    <w:rsid w:val="00A15261"/>
    <w:rsid w:val="00A15C8E"/>
    <w:rsid w:val="00A16F87"/>
    <w:rsid w:val="00A17B87"/>
    <w:rsid w:val="00A17C23"/>
    <w:rsid w:val="00A202D4"/>
    <w:rsid w:val="00A20821"/>
    <w:rsid w:val="00A20960"/>
    <w:rsid w:val="00A21CF5"/>
    <w:rsid w:val="00A21D3F"/>
    <w:rsid w:val="00A21D5F"/>
    <w:rsid w:val="00A229EC"/>
    <w:rsid w:val="00A22A4E"/>
    <w:rsid w:val="00A23544"/>
    <w:rsid w:val="00A235F4"/>
    <w:rsid w:val="00A2483C"/>
    <w:rsid w:val="00A25D1F"/>
    <w:rsid w:val="00A26281"/>
    <w:rsid w:val="00A272DE"/>
    <w:rsid w:val="00A30F44"/>
    <w:rsid w:val="00A31D0B"/>
    <w:rsid w:val="00A329F4"/>
    <w:rsid w:val="00A32B98"/>
    <w:rsid w:val="00A3365C"/>
    <w:rsid w:val="00A35619"/>
    <w:rsid w:val="00A35A50"/>
    <w:rsid w:val="00A4070B"/>
    <w:rsid w:val="00A40E84"/>
    <w:rsid w:val="00A41CC2"/>
    <w:rsid w:val="00A41E44"/>
    <w:rsid w:val="00A4287D"/>
    <w:rsid w:val="00A42F06"/>
    <w:rsid w:val="00A4327B"/>
    <w:rsid w:val="00A43846"/>
    <w:rsid w:val="00A43876"/>
    <w:rsid w:val="00A43BD5"/>
    <w:rsid w:val="00A43D14"/>
    <w:rsid w:val="00A43D39"/>
    <w:rsid w:val="00A4408A"/>
    <w:rsid w:val="00A44208"/>
    <w:rsid w:val="00A443D0"/>
    <w:rsid w:val="00A45319"/>
    <w:rsid w:val="00A46151"/>
    <w:rsid w:val="00A464D5"/>
    <w:rsid w:val="00A478A6"/>
    <w:rsid w:val="00A47C9F"/>
    <w:rsid w:val="00A47F2B"/>
    <w:rsid w:val="00A5080B"/>
    <w:rsid w:val="00A509B3"/>
    <w:rsid w:val="00A50C60"/>
    <w:rsid w:val="00A511EA"/>
    <w:rsid w:val="00A51C9A"/>
    <w:rsid w:val="00A53504"/>
    <w:rsid w:val="00A53578"/>
    <w:rsid w:val="00A55762"/>
    <w:rsid w:val="00A55796"/>
    <w:rsid w:val="00A56689"/>
    <w:rsid w:val="00A57EED"/>
    <w:rsid w:val="00A60515"/>
    <w:rsid w:val="00A6133D"/>
    <w:rsid w:val="00A619A0"/>
    <w:rsid w:val="00A61DBB"/>
    <w:rsid w:val="00A64300"/>
    <w:rsid w:val="00A65256"/>
    <w:rsid w:val="00A652AC"/>
    <w:rsid w:val="00A656A8"/>
    <w:rsid w:val="00A662A8"/>
    <w:rsid w:val="00A664AE"/>
    <w:rsid w:val="00A66B55"/>
    <w:rsid w:val="00A66B6D"/>
    <w:rsid w:val="00A673C9"/>
    <w:rsid w:val="00A71CB3"/>
    <w:rsid w:val="00A71DCD"/>
    <w:rsid w:val="00A71F2E"/>
    <w:rsid w:val="00A722D8"/>
    <w:rsid w:val="00A72E2A"/>
    <w:rsid w:val="00A73473"/>
    <w:rsid w:val="00A73FB7"/>
    <w:rsid w:val="00A747F2"/>
    <w:rsid w:val="00A74EB3"/>
    <w:rsid w:val="00A74EE1"/>
    <w:rsid w:val="00A74F1A"/>
    <w:rsid w:val="00A752DC"/>
    <w:rsid w:val="00A754C2"/>
    <w:rsid w:val="00A75BD2"/>
    <w:rsid w:val="00A76203"/>
    <w:rsid w:val="00A76720"/>
    <w:rsid w:val="00A76B9C"/>
    <w:rsid w:val="00A76CA4"/>
    <w:rsid w:val="00A77272"/>
    <w:rsid w:val="00A776C2"/>
    <w:rsid w:val="00A81523"/>
    <w:rsid w:val="00A817FA"/>
    <w:rsid w:val="00A82BAB"/>
    <w:rsid w:val="00A82ED8"/>
    <w:rsid w:val="00A83573"/>
    <w:rsid w:val="00A83674"/>
    <w:rsid w:val="00A83721"/>
    <w:rsid w:val="00A8385B"/>
    <w:rsid w:val="00A83A11"/>
    <w:rsid w:val="00A842EE"/>
    <w:rsid w:val="00A84346"/>
    <w:rsid w:val="00A86491"/>
    <w:rsid w:val="00A86D61"/>
    <w:rsid w:val="00A876BA"/>
    <w:rsid w:val="00A87724"/>
    <w:rsid w:val="00A90253"/>
    <w:rsid w:val="00A90BB6"/>
    <w:rsid w:val="00A90FF6"/>
    <w:rsid w:val="00A915B5"/>
    <w:rsid w:val="00A92304"/>
    <w:rsid w:val="00A92BEE"/>
    <w:rsid w:val="00A93185"/>
    <w:rsid w:val="00A9367C"/>
    <w:rsid w:val="00A94578"/>
    <w:rsid w:val="00A95965"/>
    <w:rsid w:val="00A95B74"/>
    <w:rsid w:val="00A96938"/>
    <w:rsid w:val="00A96ADA"/>
    <w:rsid w:val="00A974FD"/>
    <w:rsid w:val="00A97EFA"/>
    <w:rsid w:val="00AA099E"/>
    <w:rsid w:val="00AA2102"/>
    <w:rsid w:val="00AA215E"/>
    <w:rsid w:val="00AA35AD"/>
    <w:rsid w:val="00AA3CAA"/>
    <w:rsid w:val="00AA40C1"/>
    <w:rsid w:val="00AA4E30"/>
    <w:rsid w:val="00AA5006"/>
    <w:rsid w:val="00AA5145"/>
    <w:rsid w:val="00AA60B6"/>
    <w:rsid w:val="00AA7A6B"/>
    <w:rsid w:val="00AB0C75"/>
    <w:rsid w:val="00AB120D"/>
    <w:rsid w:val="00AB3C8B"/>
    <w:rsid w:val="00AB435B"/>
    <w:rsid w:val="00AB4AEE"/>
    <w:rsid w:val="00AB4C52"/>
    <w:rsid w:val="00AB62C2"/>
    <w:rsid w:val="00AB6A8A"/>
    <w:rsid w:val="00AC05AD"/>
    <w:rsid w:val="00AC1A90"/>
    <w:rsid w:val="00AC2261"/>
    <w:rsid w:val="00AC2303"/>
    <w:rsid w:val="00AC24A4"/>
    <w:rsid w:val="00AC369E"/>
    <w:rsid w:val="00AC4FCE"/>
    <w:rsid w:val="00AC6324"/>
    <w:rsid w:val="00AC63BB"/>
    <w:rsid w:val="00AD00A0"/>
    <w:rsid w:val="00AD02E8"/>
    <w:rsid w:val="00AD04F3"/>
    <w:rsid w:val="00AD2191"/>
    <w:rsid w:val="00AD2EB4"/>
    <w:rsid w:val="00AD3816"/>
    <w:rsid w:val="00AD50C0"/>
    <w:rsid w:val="00AD5435"/>
    <w:rsid w:val="00AD54E5"/>
    <w:rsid w:val="00AD57DB"/>
    <w:rsid w:val="00AD61D1"/>
    <w:rsid w:val="00AD64DB"/>
    <w:rsid w:val="00AD7F1C"/>
    <w:rsid w:val="00AE13F4"/>
    <w:rsid w:val="00AE17AD"/>
    <w:rsid w:val="00AE3917"/>
    <w:rsid w:val="00AE42A0"/>
    <w:rsid w:val="00AE43FB"/>
    <w:rsid w:val="00AE46D8"/>
    <w:rsid w:val="00AE4963"/>
    <w:rsid w:val="00AE4FB1"/>
    <w:rsid w:val="00AE54F0"/>
    <w:rsid w:val="00AE597F"/>
    <w:rsid w:val="00AE59B2"/>
    <w:rsid w:val="00AE6E11"/>
    <w:rsid w:val="00AE7117"/>
    <w:rsid w:val="00AF0442"/>
    <w:rsid w:val="00AF1139"/>
    <w:rsid w:val="00AF14DB"/>
    <w:rsid w:val="00AF17D0"/>
    <w:rsid w:val="00AF1C78"/>
    <w:rsid w:val="00AF20AA"/>
    <w:rsid w:val="00AF210B"/>
    <w:rsid w:val="00AF2262"/>
    <w:rsid w:val="00AF272E"/>
    <w:rsid w:val="00AF293D"/>
    <w:rsid w:val="00AF2EA8"/>
    <w:rsid w:val="00AF31F6"/>
    <w:rsid w:val="00AF3B6D"/>
    <w:rsid w:val="00AF42E9"/>
    <w:rsid w:val="00AF4505"/>
    <w:rsid w:val="00AF4F9D"/>
    <w:rsid w:val="00AF59E6"/>
    <w:rsid w:val="00AF6A18"/>
    <w:rsid w:val="00AF7FA8"/>
    <w:rsid w:val="00B005E5"/>
    <w:rsid w:val="00B015A8"/>
    <w:rsid w:val="00B02378"/>
    <w:rsid w:val="00B02401"/>
    <w:rsid w:val="00B038C7"/>
    <w:rsid w:val="00B04A4A"/>
    <w:rsid w:val="00B05F01"/>
    <w:rsid w:val="00B071FE"/>
    <w:rsid w:val="00B10016"/>
    <w:rsid w:val="00B10020"/>
    <w:rsid w:val="00B10F82"/>
    <w:rsid w:val="00B11B9F"/>
    <w:rsid w:val="00B11E58"/>
    <w:rsid w:val="00B1208C"/>
    <w:rsid w:val="00B12F7E"/>
    <w:rsid w:val="00B13092"/>
    <w:rsid w:val="00B131A6"/>
    <w:rsid w:val="00B1431F"/>
    <w:rsid w:val="00B1436A"/>
    <w:rsid w:val="00B14533"/>
    <w:rsid w:val="00B1459E"/>
    <w:rsid w:val="00B14677"/>
    <w:rsid w:val="00B14EAA"/>
    <w:rsid w:val="00B15044"/>
    <w:rsid w:val="00B162AA"/>
    <w:rsid w:val="00B1638C"/>
    <w:rsid w:val="00B163F5"/>
    <w:rsid w:val="00B201EF"/>
    <w:rsid w:val="00B202C1"/>
    <w:rsid w:val="00B213B3"/>
    <w:rsid w:val="00B21E2B"/>
    <w:rsid w:val="00B232D1"/>
    <w:rsid w:val="00B23F99"/>
    <w:rsid w:val="00B2415E"/>
    <w:rsid w:val="00B24A75"/>
    <w:rsid w:val="00B2571F"/>
    <w:rsid w:val="00B25B52"/>
    <w:rsid w:val="00B25D51"/>
    <w:rsid w:val="00B26772"/>
    <w:rsid w:val="00B26EEA"/>
    <w:rsid w:val="00B27074"/>
    <w:rsid w:val="00B2735D"/>
    <w:rsid w:val="00B3022E"/>
    <w:rsid w:val="00B302D9"/>
    <w:rsid w:val="00B30CB3"/>
    <w:rsid w:val="00B30F68"/>
    <w:rsid w:val="00B313C9"/>
    <w:rsid w:val="00B314A6"/>
    <w:rsid w:val="00B31596"/>
    <w:rsid w:val="00B32002"/>
    <w:rsid w:val="00B32D3B"/>
    <w:rsid w:val="00B33118"/>
    <w:rsid w:val="00B34438"/>
    <w:rsid w:val="00B355EF"/>
    <w:rsid w:val="00B35D15"/>
    <w:rsid w:val="00B407AD"/>
    <w:rsid w:val="00B41BBC"/>
    <w:rsid w:val="00B42704"/>
    <w:rsid w:val="00B42F83"/>
    <w:rsid w:val="00B44EEA"/>
    <w:rsid w:val="00B458CE"/>
    <w:rsid w:val="00B45E2A"/>
    <w:rsid w:val="00B4643F"/>
    <w:rsid w:val="00B47407"/>
    <w:rsid w:val="00B47A69"/>
    <w:rsid w:val="00B5031D"/>
    <w:rsid w:val="00B523BF"/>
    <w:rsid w:val="00B55CA3"/>
    <w:rsid w:val="00B55EA1"/>
    <w:rsid w:val="00B567DF"/>
    <w:rsid w:val="00B568A1"/>
    <w:rsid w:val="00B60B99"/>
    <w:rsid w:val="00B60D61"/>
    <w:rsid w:val="00B611DE"/>
    <w:rsid w:val="00B62B0F"/>
    <w:rsid w:val="00B62F58"/>
    <w:rsid w:val="00B64268"/>
    <w:rsid w:val="00B646F1"/>
    <w:rsid w:val="00B64701"/>
    <w:rsid w:val="00B6615D"/>
    <w:rsid w:val="00B67431"/>
    <w:rsid w:val="00B70053"/>
    <w:rsid w:val="00B70720"/>
    <w:rsid w:val="00B70BD7"/>
    <w:rsid w:val="00B7114C"/>
    <w:rsid w:val="00B7520C"/>
    <w:rsid w:val="00B7586D"/>
    <w:rsid w:val="00B76ABE"/>
    <w:rsid w:val="00B76BB9"/>
    <w:rsid w:val="00B7788D"/>
    <w:rsid w:val="00B77CE3"/>
    <w:rsid w:val="00B77FA6"/>
    <w:rsid w:val="00B80E39"/>
    <w:rsid w:val="00B80EB6"/>
    <w:rsid w:val="00B8311B"/>
    <w:rsid w:val="00B83A7A"/>
    <w:rsid w:val="00B8452C"/>
    <w:rsid w:val="00B84B69"/>
    <w:rsid w:val="00B84CC1"/>
    <w:rsid w:val="00B855BD"/>
    <w:rsid w:val="00B873E1"/>
    <w:rsid w:val="00B87CB7"/>
    <w:rsid w:val="00B87FBF"/>
    <w:rsid w:val="00B90870"/>
    <w:rsid w:val="00B90A2A"/>
    <w:rsid w:val="00B90C85"/>
    <w:rsid w:val="00B91251"/>
    <w:rsid w:val="00B912C9"/>
    <w:rsid w:val="00B91D50"/>
    <w:rsid w:val="00B9297C"/>
    <w:rsid w:val="00B94ACD"/>
    <w:rsid w:val="00B94DD9"/>
    <w:rsid w:val="00B94FB8"/>
    <w:rsid w:val="00B9653F"/>
    <w:rsid w:val="00B969B6"/>
    <w:rsid w:val="00B96C21"/>
    <w:rsid w:val="00B96C25"/>
    <w:rsid w:val="00B97162"/>
    <w:rsid w:val="00B97633"/>
    <w:rsid w:val="00B97C01"/>
    <w:rsid w:val="00BA0903"/>
    <w:rsid w:val="00BA2C0D"/>
    <w:rsid w:val="00BA34FE"/>
    <w:rsid w:val="00BA362A"/>
    <w:rsid w:val="00BA4752"/>
    <w:rsid w:val="00BA511B"/>
    <w:rsid w:val="00BA5129"/>
    <w:rsid w:val="00BA519C"/>
    <w:rsid w:val="00BA57E3"/>
    <w:rsid w:val="00BA6136"/>
    <w:rsid w:val="00BA755B"/>
    <w:rsid w:val="00BA7D3B"/>
    <w:rsid w:val="00BA7F37"/>
    <w:rsid w:val="00BB012C"/>
    <w:rsid w:val="00BB0789"/>
    <w:rsid w:val="00BB08F2"/>
    <w:rsid w:val="00BB0B53"/>
    <w:rsid w:val="00BB0C39"/>
    <w:rsid w:val="00BB1104"/>
    <w:rsid w:val="00BB2A60"/>
    <w:rsid w:val="00BB2C1D"/>
    <w:rsid w:val="00BB2D2F"/>
    <w:rsid w:val="00BB3091"/>
    <w:rsid w:val="00BB33F5"/>
    <w:rsid w:val="00BB359D"/>
    <w:rsid w:val="00BB459E"/>
    <w:rsid w:val="00BB683B"/>
    <w:rsid w:val="00BB7154"/>
    <w:rsid w:val="00BB7500"/>
    <w:rsid w:val="00BC090F"/>
    <w:rsid w:val="00BC15C5"/>
    <w:rsid w:val="00BC1B38"/>
    <w:rsid w:val="00BC29CA"/>
    <w:rsid w:val="00BC2E91"/>
    <w:rsid w:val="00BC3781"/>
    <w:rsid w:val="00BC440C"/>
    <w:rsid w:val="00BC5385"/>
    <w:rsid w:val="00BC5879"/>
    <w:rsid w:val="00BC61DD"/>
    <w:rsid w:val="00BD044A"/>
    <w:rsid w:val="00BD08C2"/>
    <w:rsid w:val="00BD112B"/>
    <w:rsid w:val="00BD139C"/>
    <w:rsid w:val="00BD1586"/>
    <w:rsid w:val="00BD1C8B"/>
    <w:rsid w:val="00BD2CB2"/>
    <w:rsid w:val="00BD2EF1"/>
    <w:rsid w:val="00BD3388"/>
    <w:rsid w:val="00BD35A9"/>
    <w:rsid w:val="00BD3D19"/>
    <w:rsid w:val="00BD535D"/>
    <w:rsid w:val="00BD7A43"/>
    <w:rsid w:val="00BE0454"/>
    <w:rsid w:val="00BE0651"/>
    <w:rsid w:val="00BE10B9"/>
    <w:rsid w:val="00BE45DD"/>
    <w:rsid w:val="00BE4892"/>
    <w:rsid w:val="00BE4971"/>
    <w:rsid w:val="00BE5C56"/>
    <w:rsid w:val="00BE5D67"/>
    <w:rsid w:val="00BE6D5B"/>
    <w:rsid w:val="00BE73DD"/>
    <w:rsid w:val="00BE7504"/>
    <w:rsid w:val="00BE7593"/>
    <w:rsid w:val="00BF0EC1"/>
    <w:rsid w:val="00BF1507"/>
    <w:rsid w:val="00BF1777"/>
    <w:rsid w:val="00BF2830"/>
    <w:rsid w:val="00BF2D0F"/>
    <w:rsid w:val="00BF2DE0"/>
    <w:rsid w:val="00BF3053"/>
    <w:rsid w:val="00BF3759"/>
    <w:rsid w:val="00BF39C6"/>
    <w:rsid w:val="00BF3E83"/>
    <w:rsid w:val="00BF3FF9"/>
    <w:rsid w:val="00BF4978"/>
    <w:rsid w:val="00BF4C9F"/>
    <w:rsid w:val="00BF5609"/>
    <w:rsid w:val="00BF5CC4"/>
    <w:rsid w:val="00BF5F86"/>
    <w:rsid w:val="00BF6966"/>
    <w:rsid w:val="00BF7302"/>
    <w:rsid w:val="00BF7F3F"/>
    <w:rsid w:val="00C00DF7"/>
    <w:rsid w:val="00C01C41"/>
    <w:rsid w:val="00C039E3"/>
    <w:rsid w:val="00C03CBE"/>
    <w:rsid w:val="00C054D5"/>
    <w:rsid w:val="00C069BB"/>
    <w:rsid w:val="00C11C5E"/>
    <w:rsid w:val="00C12AA6"/>
    <w:rsid w:val="00C13334"/>
    <w:rsid w:val="00C13C54"/>
    <w:rsid w:val="00C13E4B"/>
    <w:rsid w:val="00C1485C"/>
    <w:rsid w:val="00C1647C"/>
    <w:rsid w:val="00C16FCB"/>
    <w:rsid w:val="00C17A12"/>
    <w:rsid w:val="00C17ED7"/>
    <w:rsid w:val="00C20776"/>
    <w:rsid w:val="00C216F1"/>
    <w:rsid w:val="00C22142"/>
    <w:rsid w:val="00C2316E"/>
    <w:rsid w:val="00C2368F"/>
    <w:rsid w:val="00C23A87"/>
    <w:rsid w:val="00C24AC4"/>
    <w:rsid w:val="00C2502E"/>
    <w:rsid w:val="00C25ADA"/>
    <w:rsid w:val="00C26237"/>
    <w:rsid w:val="00C2650F"/>
    <w:rsid w:val="00C2651B"/>
    <w:rsid w:val="00C272C5"/>
    <w:rsid w:val="00C2747A"/>
    <w:rsid w:val="00C274A0"/>
    <w:rsid w:val="00C30FC0"/>
    <w:rsid w:val="00C31CB5"/>
    <w:rsid w:val="00C31E13"/>
    <w:rsid w:val="00C32698"/>
    <w:rsid w:val="00C33BE7"/>
    <w:rsid w:val="00C345FE"/>
    <w:rsid w:val="00C34E6A"/>
    <w:rsid w:val="00C3581E"/>
    <w:rsid w:val="00C377D9"/>
    <w:rsid w:val="00C37EB2"/>
    <w:rsid w:val="00C37ED6"/>
    <w:rsid w:val="00C41D2C"/>
    <w:rsid w:val="00C43AC3"/>
    <w:rsid w:val="00C43FBA"/>
    <w:rsid w:val="00C444EA"/>
    <w:rsid w:val="00C45DF9"/>
    <w:rsid w:val="00C4664D"/>
    <w:rsid w:val="00C46A7D"/>
    <w:rsid w:val="00C46F0B"/>
    <w:rsid w:val="00C474DD"/>
    <w:rsid w:val="00C47A4C"/>
    <w:rsid w:val="00C51027"/>
    <w:rsid w:val="00C51C1D"/>
    <w:rsid w:val="00C51E44"/>
    <w:rsid w:val="00C52D27"/>
    <w:rsid w:val="00C52DCD"/>
    <w:rsid w:val="00C52ECA"/>
    <w:rsid w:val="00C53927"/>
    <w:rsid w:val="00C53CE8"/>
    <w:rsid w:val="00C544AA"/>
    <w:rsid w:val="00C54928"/>
    <w:rsid w:val="00C55878"/>
    <w:rsid w:val="00C56613"/>
    <w:rsid w:val="00C601E2"/>
    <w:rsid w:val="00C6085F"/>
    <w:rsid w:val="00C61304"/>
    <w:rsid w:val="00C61426"/>
    <w:rsid w:val="00C63F08"/>
    <w:rsid w:val="00C6416C"/>
    <w:rsid w:val="00C645F9"/>
    <w:rsid w:val="00C65B10"/>
    <w:rsid w:val="00C65FCF"/>
    <w:rsid w:val="00C662D2"/>
    <w:rsid w:val="00C66645"/>
    <w:rsid w:val="00C67310"/>
    <w:rsid w:val="00C6770E"/>
    <w:rsid w:val="00C70521"/>
    <w:rsid w:val="00C710EF"/>
    <w:rsid w:val="00C7165D"/>
    <w:rsid w:val="00C71FA1"/>
    <w:rsid w:val="00C720B2"/>
    <w:rsid w:val="00C7285C"/>
    <w:rsid w:val="00C73E48"/>
    <w:rsid w:val="00C74622"/>
    <w:rsid w:val="00C74837"/>
    <w:rsid w:val="00C74949"/>
    <w:rsid w:val="00C755BF"/>
    <w:rsid w:val="00C75A0A"/>
    <w:rsid w:val="00C763A7"/>
    <w:rsid w:val="00C763D9"/>
    <w:rsid w:val="00C76716"/>
    <w:rsid w:val="00C8194E"/>
    <w:rsid w:val="00C824AF"/>
    <w:rsid w:val="00C828D0"/>
    <w:rsid w:val="00C82B88"/>
    <w:rsid w:val="00C82DCE"/>
    <w:rsid w:val="00C8355D"/>
    <w:rsid w:val="00C8398C"/>
    <w:rsid w:val="00C84086"/>
    <w:rsid w:val="00C8769E"/>
    <w:rsid w:val="00C877FB"/>
    <w:rsid w:val="00C87B11"/>
    <w:rsid w:val="00C908AE"/>
    <w:rsid w:val="00C91618"/>
    <w:rsid w:val="00C928DC"/>
    <w:rsid w:val="00C938AD"/>
    <w:rsid w:val="00C941DE"/>
    <w:rsid w:val="00C9447E"/>
    <w:rsid w:val="00C94F87"/>
    <w:rsid w:val="00C95657"/>
    <w:rsid w:val="00C95F37"/>
    <w:rsid w:val="00C96518"/>
    <w:rsid w:val="00C9653D"/>
    <w:rsid w:val="00C96567"/>
    <w:rsid w:val="00C967A7"/>
    <w:rsid w:val="00C96937"/>
    <w:rsid w:val="00C976C2"/>
    <w:rsid w:val="00C97C83"/>
    <w:rsid w:val="00CA0318"/>
    <w:rsid w:val="00CA077B"/>
    <w:rsid w:val="00CA0ECA"/>
    <w:rsid w:val="00CA0F29"/>
    <w:rsid w:val="00CA21A6"/>
    <w:rsid w:val="00CA4E69"/>
    <w:rsid w:val="00CA5349"/>
    <w:rsid w:val="00CA6E7C"/>
    <w:rsid w:val="00CB014A"/>
    <w:rsid w:val="00CB14F2"/>
    <w:rsid w:val="00CB19ED"/>
    <w:rsid w:val="00CB24FC"/>
    <w:rsid w:val="00CB28CA"/>
    <w:rsid w:val="00CB2FE9"/>
    <w:rsid w:val="00CB335C"/>
    <w:rsid w:val="00CB3E2B"/>
    <w:rsid w:val="00CB49EC"/>
    <w:rsid w:val="00CB5774"/>
    <w:rsid w:val="00CB5BC5"/>
    <w:rsid w:val="00CC0727"/>
    <w:rsid w:val="00CC28F3"/>
    <w:rsid w:val="00CC2E29"/>
    <w:rsid w:val="00CC374F"/>
    <w:rsid w:val="00CC38EC"/>
    <w:rsid w:val="00CC4CB9"/>
    <w:rsid w:val="00CC5C5C"/>
    <w:rsid w:val="00CC6819"/>
    <w:rsid w:val="00CC7208"/>
    <w:rsid w:val="00CC7D8C"/>
    <w:rsid w:val="00CD0F32"/>
    <w:rsid w:val="00CD27B0"/>
    <w:rsid w:val="00CD29CC"/>
    <w:rsid w:val="00CD39C3"/>
    <w:rsid w:val="00CD3AC9"/>
    <w:rsid w:val="00CD3D51"/>
    <w:rsid w:val="00CD42CE"/>
    <w:rsid w:val="00CD548F"/>
    <w:rsid w:val="00CD55E9"/>
    <w:rsid w:val="00CD6476"/>
    <w:rsid w:val="00CD65C3"/>
    <w:rsid w:val="00CD76C2"/>
    <w:rsid w:val="00CD7923"/>
    <w:rsid w:val="00CE0A47"/>
    <w:rsid w:val="00CE117F"/>
    <w:rsid w:val="00CE1E6F"/>
    <w:rsid w:val="00CE25D4"/>
    <w:rsid w:val="00CE2DE5"/>
    <w:rsid w:val="00CE36A3"/>
    <w:rsid w:val="00CE38ED"/>
    <w:rsid w:val="00CE4B0D"/>
    <w:rsid w:val="00CE6863"/>
    <w:rsid w:val="00CE6A8C"/>
    <w:rsid w:val="00CE6AD7"/>
    <w:rsid w:val="00CE6DC6"/>
    <w:rsid w:val="00CE6E5B"/>
    <w:rsid w:val="00CE74C6"/>
    <w:rsid w:val="00CF0D36"/>
    <w:rsid w:val="00CF0FF6"/>
    <w:rsid w:val="00CF1A05"/>
    <w:rsid w:val="00CF2128"/>
    <w:rsid w:val="00CF2465"/>
    <w:rsid w:val="00CF312F"/>
    <w:rsid w:val="00CF43D5"/>
    <w:rsid w:val="00CF4519"/>
    <w:rsid w:val="00CF454D"/>
    <w:rsid w:val="00CF4838"/>
    <w:rsid w:val="00CF4E8B"/>
    <w:rsid w:val="00CF4E93"/>
    <w:rsid w:val="00CF54E0"/>
    <w:rsid w:val="00CF5C88"/>
    <w:rsid w:val="00CF605D"/>
    <w:rsid w:val="00CF6FB7"/>
    <w:rsid w:val="00D0019C"/>
    <w:rsid w:val="00D00E84"/>
    <w:rsid w:val="00D01267"/>
    <w:rsid w:val="00D01ABA"/>
    <w:rsid w:val="00D02249"/>
    <w:rsid w:val="00D0353A"/>
    <w:rsid w:val="00D03783"/>
    <w:rsid w:val="00D03AAA"/>
    <w:rsid w:val="00D040C9"/>
    <w:rsid w:val="00D04B24"/>
    <w:rsid w:val="00D05A21"/>
    <w:rsid w:val="00D05F63"/>
    <w:rsid w:val="00D0799A"/>
    <w:rsid w:val="00D079EC"/>
    <w:rsid w:val="00D07EC5"/>
    <w:rsid w:val="00D10A1A"/>
    <w:rsid w:val="00D10A6E"/>
    <w:rsid w:val="00D10D11"/>
    <w:rsid w:val="00D110DE"/>
    <w:rsid w:val="00D11D95"/>
    <w:rsid w:val="00D12AF2"/>
    <w:rsid w:val="00D13699"/>
    <w:rsid w:val="00D1388A"/>
    <w:rsid w:val="00D139E7"/>
    <w:rsid w:val="00D13F25"/>
    <w:rsid w:val="00D1463D"/>
    <w:rsid w:val="00D14C48"/>
    <w:rsid w:val="00D152D6"/>
    <w:rsid w:val="00D154DE"/>
    <w:rsid w:val="00D15E5B"/>
    <w:rsid w:val="00D1640E"/>
    <w:rsid w:val="00D16D1D"/>
    <w:rsid w:val="00D170AD"/>
    <w:rsid w:val="00D179BB"/>
    <w:rsid w:val="00D20BCC"/>
    <w:rsid w:val="00D20D40"/>
    <w:rsid w:val="00D2155C"/>
    <w:rsid w:val="00D224F0"/>
    <w:rsid w:val="00D23488"/>
    <w:rsid w:val="00D234DF"/>
    <w:rsid w:val="00D24452"/>
    <w:rsid w:val="00D24614"/>
    <w:rsid w:val="00D25FC0"/>
    <w:rsid w:val="00D275D1"/>
    <w:rsid w:val="00D27E59"/>
    <w:rsid w:val="00D32C8B"/>
    <w:rsid w:val="00D3326F"/>
    <w:rsid w:val="00D34616"/>
    <w:rsid w:val="00D347C7"/>
    <w:rsid w:val="00D34A3D"/>
    <w:rsid w:val="00D351BB"/>
    <w:rsid w:val="00D36204"/>
    <w:rsid w:val="00D3681A"/>
    <w:rsid w:val="00D375F7"/>
    <w:rsid w:val="00D37FA9"/>
    <w:rsid w:val="00D41307"/>
    <w:rsid w:val="00D420BF"/>
    <w:rsid w:val="00D424ED"/>
    <w:rsid w:val="00D42976"/>
    <w:rsid w:val="00D429AC"/>
    <w:rsid w:val="00D432ED"/>
    <w:rsid w:val="00D4339B"/>
    <w:rsid w:val="00D43965"/>
    <w:rsid w:val="00D43FF0"/>
    <w:rsid w:val="00D440B6"/>
    <w:rsid w:val="00D447B2"/>
    <w:rsid w:val="00D4481E"/>
    <w:rsid w:val="00D45BDD"/>
    <w:rsid w:val="00D46AAB"/>
    <w:rsid w:val="00D472B3"/>
    <w:rsid w:val="00D47587"/>
    <w:rsid w:val="00D47B7C"/>
    <w:rsid w:val="00D5010E"/>
    <w:rsid w:val="00D50166"/>
    <w:rsid w:val="00D503C6"/>
    <w:rsid w:val="00D50A8E"/>
    <w:rsid w:val="00D50F75"/>
    <w:rsid w:val="00D519B8"/>
    <w:rsid w:val="00D51C88"/>
    <w:rsid w:val="00D526BA"/>
    <w:rsid w:val="00D52CFB"/>
    <w:rsid w:val="00D539BE"/>
    <w:rsid w:val="00D543E3"/>
    <w:rsid w:val="00D545B6"/>
    <w:rsid w:val="00D547E1"/>
    <w:rsid w:val="00D55EE0"/>
    <w:rsid w:val="00D57FA3"/>
    <w:rsid w:val="00D61A21"/>
    <w:rsid w:val="00D62E25"/>
    <w:rsid w:val="00D639D8"/>
    <w:rsid w:val="00D63F95"/>
    <w:rsid w:val="00D64218"/>
    <w:rsid w:val="00D653E7"/>
    <w:rsid w:val="00D65536"/>
    <w:rsid w:val="00D66299"/>
    <w:rsid w:val="00D66D50"/>
    <w:rsid w:val="00D675F7"/>
    <w:rsid w:val="00D70157"/>
    <w:rsid w:val="00D70446"/>
    <w:rsid w:val="00D704CF"/>
    <w:rsid w:val="00D71E40"/>
    <w:rsid w:val="00D72186"/>
    <w:rsid w:val="00D72201"/>
    <w:rsid w:val="00D7245A"/>
    <w:rsid w:val="00D73D48"/>
    <w:rsid w:val="00D7430F"/>
    <w:rsid w:val="00D74854"/>
    <w:rsid w:val="00D748BA"/>
    <w:rsid w:val="00D7567E"/>
    <w:rsid w:val="00D75870"/>
    <w:rsid w:val="00D77368"/>
    <w:rsid w:val="00D81519"/>
    <w:rsid w:val="00D81EE7"/>
    <w:rsid w:val="00D8271E"/>
    <w:rsid w:val="00D82EFE"/>
    <w:rsid w:val="00D842A9"/>
    <w:rsid w:val="00D8484B"/>
    <w:rsid w:val="00D84F24"/>
    <w:rsid w:val="00D8577A"/>
    <w:rsid w:val="00D85880"/>
    <w:rsid w:val="00D85B3D"/>
    <w:rsid w:val="00D861C0"/>
    <w:rsid w:val="00D862B8"/>
    <w:rsid w:val="00D86953"/>
    <w:rsid w:val="00D869BD"/>
    <w:rsid w:val="00D86A74"/>
    <w:rsid w:val="00D8700D"/>
    <w:rsid w:val="00D87DA0"/>
    <w:rsid w:val="00D908D1"/>
    <w:rsid w:val="00D90C70"/>
    <w:rsid w:val="00D9208D"/>
    <w:rsid w:val="00D933C1"/>
    <w:rsid w:val="00D93BD1"/>
    <w:rsid w:val="00D942A0"/>
    <w:rsid w:val="00D94613"/>
    <w:rsid w:val="00D94737"/>
    <w:rsid w:val="00D94922"/>
    <w:rsid w:val="00D94D80"/>
    <w:rsid w:val="00D950BA"/>
    <w:rsid w:val="00D952F8"/>
    <w:rsid w:val="00D958AB"/>
    <w:rsid w:val="00D95BC0"/>
    <w:rsid w:val="00D96C3D"/>
    <w:rsid w:val="00D96D55"/>
    <w:rsid w:val="00D96EFF"/>
    <w:rsid w:val="00D97114"/>
    <w:rsid w:val="00D97AEB"/>
    <w:rsid w:val="00D97EB5"/>
    <w:rsid w:val="00DA02D6"/>
    <w:rsid w:val="00DA0BD4"/>
    <w:rsid w:val="00DA0CFF"/>
    <w:rsid w:val="00DA13C7"/>
    <w:rsid w:val="00DA3398"/>
    <w:rsid w:val="00DA5938"/>
    <w:rsid w:val="00DA59F5"/>
    <w:rsid w:val="00DA5E16"/>
    <w:rsid w:val="00DA622E"/>
    <w:rsid w:val="00DA6528"/>
    <w:rsid w:val="00DA696F"/>
    <w:rsid w:val="00DA7DCD"/>
    <w:rsid w:val="00DA7F47"/>
    <w:rsid w:val="00DB0717"/>
    <w:rsid w:val="00DB0930"/>
    <w:rsid w:val="00DB0ED8"/>
    <w:rsid w:val="00DB1034"/>
    <w:rsid w:val="00DB1FA6"/>
    <w:rsid w:val="00DB200A"/>
    <w:rsid w:val="00DB2B3B"/>
    <w:rsid w:val="00DB37DB"/>
    <w:rsid w:val="00DB389B"/>
    <w:rsid w:val="00DB3BBB"/>
    <w:rsid w:val="00DB3D09"/>
    <w:rsid w:val="00DB4C62"/>
    <w:rsid w:val="00DB4F8C"/>
    <w:rsid w:val="00DB4FED"/>
    <w:rsid w:val="00DB51C9"/>
    <w:rsid w:val="00DB58D9"/>
    <w:rsid w:val="00DB5939"/>
    <w:rsid w:val="00DB5E19"/>
    <w:rsid w:val="00DB6CD6"/>
    <w:rsid w:val="00DB7012"/>
    <w:rsid w:val="00DB7831"/>
    <w:rsid w:val="00DC1C0E"/>
    <w:rsid w:val="00DC2BF1"/>
    <w:rsid w:val="00DC3A72"/>
    <w:rsid w:val="00DC5861"/>
    <w:rsid w:val="00DC5919"/>
    <w:rsid w:val="00DC5C3B"/>
    <w:rsid w:val="00DC6EE9"/>
    <w:rsid w:val="00DC71F0"/>
    <w:rsid w:val="00DD006A"/>
    <w:rsid w:val="00DD135E"/>
    <w:rsid w:val="00DD22FF"/>
    <w:rsid w:val="00DD2333"/>
    <w:rsid w:val="00DD2474"/>
    <w:rsid w:val="00DD46F8"/>
    <w:rsid w:val="00DD470F"/>
    <w:rsid w:val="00DD50F2"/>
    <w:rsid w:val="00DD5D2F"/>
    <w:rsid w:val="00DD751F"/>
    <w:rsid w:val="00DD7FA2"/>
    <w:rsid w:val="00DE04F6"/>
    <w:rsid w:val="00DE1A0F"/>
    <w:rsid w:val="00DE221D"/>
    <w:rsid w:val="00DE543F"/>
    <w:rsid w:val="00DE59F6"/>
    <w:rsid w:val="00DE61D9"/>
    <w:rsid w:val="00DE6E19"/>
    <w:rsid w:val="00DE6FA7"/>
    <w:rsid w:val="00DE708F"/>
    <w:rsid w:val="00DF01D8"/>
    <w:rsid w:val="00DF180C"/>
    <w:rsid w:val="00DF268F"/>
    <w:rsid w:val="00DF3BA0"/>
    <w:rsid w:val="00DF549E"/>
    <w:rsid w:val="00DF58F0"/>
    <w:rsid w:val="00DF62F5"/>
    <w:rsid w:val="00DF662C"/>
    <w:rsid w:val="00DF6D9A"/>
    <w:rsid w:val="00DF78DB"/>
    <w:rsid w:val="00E001F3"/>
    <w:rsid w:val="00E0036E"/>
    <w:rsid w:val="00E00608"/>
    <w:rsid w:val="00E00760"/>
    <w:rsid w:val="00E00C16"/>
    <w:rsid w:val="00E012ED"/>
    <w:rsid w:val="00E0156F"/>
    <w:rsid w:val="00E02890"/>
    <w:rsid w:val="00E03A56"/>
    <w:rsid w:val="00E04EF5"/>
    <w:rsid w:val="00E05545"/>
    <w:rsid w:val="00E05A7E"/>
    <w:rsid w:val="00E07062"/>
    <w:rsid w:val="00E07947"/>
    <w:rsid w:val="00E07CC9"/>
    <w:rsid w:val="00E07F56"/>
    <w:rsid w:val="00E10A35"/>
    <w:rsid w:val="00E1110D"/>
    <w:rsid w:val="00E11799"/>
    <w:rsid w:val="00E12632"/>
    <w:rsid w:val="00E128A0"/>
    <w:rsid w:val="00E12B72"/>
    <w:rsid w:val="00E13290"/>
    <w:rsid w:val="00E14EEA"/>
    <w:rsid w:val="00E1521A"/>
    <w:rsid w:val="00E15372"/>
    <w:rsid w:val="00E164BD"/>
    <w:rsid w:val="00E178D1"/>
    <w:rsid w:val="00E2183E"/>
    <w:rsid w:val="00E22F6A"/>
    <w:rsid w:val="00E238CE"/>
    <w:rsid w:val="00E24990"/>
    <w:rsid w:val="00E2540A"/>
    <w:rsid w:val="00E260C7"/>
    <w:rsid w:val="00E269D4"/>
    <w:rsid w:val="00E3066D"/>
    <w:rsid w:val="00E3124C"/>
    <w:rsid w:val="00E31536"/>
    <w:rsid w:val="00E3219E"/>
    <w:rsid w:val="00E33884"/>
    <w:rsid w:val="00E34C64"/>
    <w:rsid w:val="00E36477"/>
    <w:rsid w:val="00E36B00"/>
    <w:rsid w:val="00E40C1A"/>
    <w:rsid w:val="00E41301"/>
    <w:rsid w:val="00E41357"/>
    <w:rsid w:val="00E41960"/>
    <w:rsid w:val="00E4274C"/>
    <w:rsid w:val="00E42781"/>
    <w:rsid w:val="00E42C15"/>
    <w:rsid w:val="00E43444"/>
    <w:rsid w:val="00E43731"/>
    <w:rsid w:val="00E43ACF"/>
    <w:rsid w:val="00E44228"/>
    <w:rsid w:val="00E449CD"/>
    <w:rsid w:val="00E4533E"/>
    <w:rsid w:val="00E456E4"/>
    <w:rsid w:val="00E476C2"/>
    <w:rsid w:val="00E47C87"/>
    <w:rsid w:val="00E51216"/>
    <w:rsid w:val="00E51AEF"/>
    <w:rsid w:val="00E52666"/>
    <w:rsid w:val="00E52849"/>
    <w:rsid w:val="00E53909"/>
    <w:rsid w:val="00E548D9"/>
    <w:rsid w:val="00E550F6"/>
    <w:rsid w:val="00E55489"/>
    <w:rsid w:val="00E55722"/>
    <w:rsid w:val="00E573CF"/>
    <w:rsid w:val="00E579B9"/>
    <w:rsid w:val="00E57E92"/>
    <w:rsid w:val="00E60007"/>
    <w:rsid w:val="00E60768"/>
    <w:rsid w:val="00E621A0"/>
    <w:rsid w:val="00E62AAD"/>
    <w:rsid w:val="00E62B70"/>
    <w:rsid w:val="00E63345"/>
    <w:rsid w:val="00E649AF"/>
    <w:rsid w:val="00E64B22"/>
    <w:rsid w:val="00E6559F"/>
    <w:rsid w:val="00E674D1"/>
    <w:rsid w:val="00E678DA"/>
    <w:rsid w:val="00E70606"/>
    <w:rsid w:val="00E706AD"/>
    <w:rsid w:val="00E70874"/>
    <w:rsid w:val="00E70C76"/>
    <w:rsid w:val="00E71328"/>
    <w:rsid w:val="00E71C15"/>
    <w:rsid w:val="00E726C1"/>
    <w:rsid w:val="00E72885"/>
    <w:rsid w:val="00E72A1B"/>
    <w:rsid w:val="00E732AE"/>
    <w:rsid w:val="00E73CEF"/>
    <w:rsid w:val="00E741D1"/>
    <w:rsid w:val="00E74513"/>
    <w:rsid w:val="00E755D8"/>
    <w:rsid w:val="00E757D3"/>
    <w:rsid w:val="00E76026"/>
    <w:rsid w:val="00E7617E"/>
    <w:rsid w:val="00E76AEC"/>
    <w:rsid w:val="00E7788C"/>
    <w:rsid w:val="00E77B95"/>
    <w:rsid w:val="00E80F99"/>
    <w:rsid w:val="00E81AAE"/>
    <w:rsid w:val="00E83086"/>
    <w:rsid w:val="00E83115"/>
    <w:rsid w:val="00E8336E"/>
    <w:rsid w:val="00E83491"/>
    <w:rsid w:val="00E834E5"/>
    <w:rsid w:val="00E83ABD"/>
    <w:rsid w:val="00E83D97"/>
    <w:rsid w:val="00E84151"/>
    <w:rsid w:val="00E84818"/>
    <w:rsid w:val="00E8502B"/>
    <w:rsid w:val="00E85B3F"/>
    <w:rsid w:val="00E86400"/>
    <w:rsid w:val="00E86B6C"/>
    <w:rsid w:val="00E86CC1"/>
    <w:rsid w:val="00E87263"/>
    <w:rsid w:val="00E878B4"/>
    <w:rsid w:val="00E9094A"/>
    <w:rsid w:val="00E9235C"/>
    <w:rsid w:val="00E92392"/>
    <w:rsid w:val="00E94B0D"/>
    <w:rsid w:val="00E94CC9"/>
    <w:rsid w:val="00E94CD1"/>
    <w:rsid w:val="00E95321"/>
    <w:rsid w:val="00E954EE"/>
    <w:rsid w:val="00E9705F"/>
    <w:rsid w:val="00EA0741"/>
    <w:rsid w:val="00EA1886"/>
    <w:rsid w:val="00EA1F17"/>
    <w:rsid w:val="00EA2092"/>
    <w:rsid w:val="00EA2B94"/>
    <w:rsid w:val="00EA334B"/>
    <w:rsid w:val="00EA451F"/>
    <w:rsid w:val="00EA6D0E"/>
    <w:rsid w:val="00EA71D4"/>
    <w:rsid w:val="00EB0895"/>
    <w:rsid w:val="00EB15AF"/>
    <w:rsid w:val="00EB17D0"/>
    <w:rsid w:val="00EB19FD"/>
    <w:rsid w:val="00EB1FD0"/>
    <w:rsid w:val="00EB2F26"/>
    <w:rsid w:val="00EB43BF"/>
    <w:rsid w:val="00EB498C"/>
    <w:rsid w:val="00EB6006"/>
    <w:rsid w:val="00EB63B2"/>
    <w:rsid w:val="00EB6711"/>
    <w:rsid w:val="00EB6A9D"/>
    <w:rsid w:val="00EB6E3D"/>
    <w:rsid w:val="00EB7184"/>
    <w:rsid w:val="00EB79C0"/>
    <w:rsid w:val="00EB79E8"/>
    <w:rsid w:val="00EC0507"/>
    <w:rsid w:val="00EC07F6"/>
    <w:rsid w:val="00EC0F2E"/>
    <w:rsid w:val="00EC21C5"/>
    <w:rsid w:val="00EC223B"/>
    <w:rsid w:val="00EC29DC"/>
    <w:rsid w:val="00EC2C8B"/>
    <w:rsid w:val="00EC2D0E"/>
    <w:rsid w:val="00EC369A"/>
    <w:rsid w:val="00EC5303"/>
    <w:rsid w:val="00EC5D0B"/>
    <w:rsid w:val="00EC627F"/>
    <w:rsid w:val="00EC797F"/>
    <w:rsid w:val="00ED008A"/>
    <w:rsid w:val="00ED1254"/>
    <w:rsid w:val="00ED370A"/>
    <w:rsid w:val="00ED3A35"/>
    <w:rsid w:val="00ED3D01"/>
    <w:rsid w:val="00ED4125"/>
    <w:rsid w:val="00ED497B"/>
    <w:rsid w:val="00ED4D97"/>
    <w:rsid w:val="00ED57ED"/>
    <w:rsid w:val="00ED5AFE"/>
    <w:rsid w:val="00ED5C60"/>
    <w:rsid w:val="00ED6021"/>
    <w:rsid w:val="00ED6051"/>
    <w:rsid w:val="00ED60A5"/>
    <w:rsid w:val="00ED6399"/>
    <w:rsid w:val="00ED65D8"/>
    <w:rsid w:val="00ED72F5"/>
    <w:rsid w:val="00ED7398"/>
    <w:rsid w:val="00ED7498"/>
    <w:rsid w:val="00ED7E64"/>
    <w:rsid w:val="00EE0015"/>
    <w:rsid w:val="00EE02EF"/>
    <w:rsid w:val="00EE09F7"/>
    <w:rsid w:val="00EE14F9"/>
    <w:rsid w:val="00EE2482"/>
    <w:rsid w:val="00EE2CFF"/>
    <w:rsid w:val="00EE3161"/>
    <w:rsid w:val="00EE3898"/>
    <w:rsid w:val="00EE47ED"/>
    <w:rsid w:val="00EE50A8"/>
    <w:rsid w:val="00EE5606"/>
    <w:rsid w:val="00EE57F7"/>
    <w:rsid w:val="00EE5D3F"/>
    <w:rsid w:val="00EE5E00"/>
    <w:rsid w:val="00EE7956"/>
    <w:rsid w:val="00EF0908"/>
    <w:rsid w:val="00EF0C6B"/>
    <w:rsid w:val="00EF0D30"/>
    <w:rsid w:val="00EF0F95"/>
    <w:rsid w:val="00EF1711"/>
    <w:rsid w:val="00EF1A04"/>
    <w:rsid w:val="00EF244A"/>
    <w:rsid w:val="00EF2BDE"/>
    <w:rsid w:val="00EF2F21"/>
    <w:rsid w:val="00EF46CA"/>
    <w:rsid w:val="00EF4CF8"/>
    <w:rsid w:val="00EF4D5C"/>
    <w:rsid w:val="00EF5274"/>
    <w:rsid w:val="00EF529F"/>
    <w:rsid w:val="00EF609D"/>
    <w:rsid w:val="00EF7A8B"/>
    <w:rsid w:val="00F01703"/>
    <w:rsid w:val="00F0243D"/>
    <w:rsid w:val="00F030F3"/>
    <w:rsid w:val="00F03EA1"/>
    <w:rsid w:val="00F0413A"/>
    <w:rsid w:val="00F05234"/>
    <w:rsid w:val="00F05285"/>
    <w:rsid w:val="00F05C07"/>
    <w:rsid w:val="00F05C87"/>
    <w:rsid w:val="00F06C81"/>
    <w:rsid w:val="00F06FA0"/>
    <w:rsid w:val="00F07A0A"/>
    <w:rsid w:val="00F07CD5"/>
    <w:rsid w:val="00F07E0E"/>
    <w:rsid w:val="00F104CD"/>
    <w:rsid w:val="00F1064A"/>
    <w:rsid w:val="00F118A7"/>
    <w:rsid w:val="00F11E43"/>
    <w:rsid w:val="00F13B31"/>
    <w:rsid w:val="00F13B62"/>
    <w:rsid w:val="00F14749"/>
    <w:rsid w:val="00F14F5D"/>
    <w:rsid w:val="00F16564"/>
    <w:rsid w:val="00F16636"/>
    <w:rsid w:val="00F16C31"/>
    <w:rsid w:val="00F176F0"/>
    <w:rsid w:val="00F17F0E"/>
    <w:rsid w:val="00F216D1"/>
    <w:rsid w:val="00F21714"/>
    <w:rsid w:val="00F217F5"/>
    <w:rsid w:val="00F21A07"/>
    <w:rsid w:val="00F22436"/>
    <w:rsid w:val="00F22AF1"/>
    <w:rsid w:val="00F22BDB"/>
    <w:rsid w:val="00F22D5D"/>
    <w:rsid w:val="00F2328A"/>
    <w:rsid w:val="00F233C7"/>
    <w:rsid w:val="00F252FC"/>
    <w:rsid w:val="00F25692"/>
    <w:rsid w:val="00F26E23"/>
    <w:rsid w:val="00F272D3"/>
    <w:rsid w:val="00F27582"/>
    <w:rsid w:val="00F30833"/>
    <w:rsid w:val="00F3163B"/>
    <w:rsid w:val="00F31760"/>
    <w:rsid w:val="00F33127"/>
    <w:rsid w:val="00F331F6"/>
    <w:rsid w:val="00F33F79"/>
    <w:rsid w:val="00F340F8"/>
    <w:rsid w:val="00F3501B"/>
    <w:rsid w:val="00F35789"/>
    <w:rsid w:val="00F3578C"/>
    <w:rsid w:val="00F35A03"/>
    <w:rsid w:val="00F36299"/>
    <w:rsid w:val="00F364E5"/>
    <w:rsid w:val="00F36EF7"/>
    <w:rsid w:val="00F37537"/>
    <w:rsid w:val="00F375A1"/>
    <w:rsid w:val="00F3768D"/>
    <w:rsid w:val="00F404C1"/>
    <w:rsid w:val="00F41164"/>
    <w:rsid w:val="00F4163C"/>
    <w:rsid w:val="00F41F39"/>
    <w:rsid w:val="00F42717"/>
    <w:rsid w:val="00F42D45"/>
    <w:rsid w:val="00F4322B"/>
    <w:rsid w:val="00F434CA"/>
    <w:rsid w:val="00F44184"/>
    <w:rsid w:val="00F4467B"/>
    <w:rsid w:val="00F44E86"/>
    <w:rsid w:val="00F45124"/>
    <w:rsid w:val="00F459B5"/>
    <w:rsid w:val="00F4748A"/>
    <w:rsid w:val="00F5025D"/>
    <w:rsid w:val="00F50BBE"/>
    <w:rsid w:val="00F50BC5"/>
    <w:rsid w:val="00F51B95"/>
    <w:rsid w:val="00F51DDB"/>
    <w:rsid w:val="00F52D72"/>
    <w:rsid w:val="00F534F0"/>
    <w:rsid w:val="00F543C3"/>
    <w:rsid w:val="00F543E7"/>
    <w:rsid w:val="00F54CDC"/>
    <w:rsid w:val="00F54D15"/>
    <w:rsid w:val="00F551D8"/>
    <w:rsid w:val="00F554CB"/>
    <w:rsid w:val="00F5721F"/>
    <w:rsid w:val="00F60DEA"/>
    <w:rsid w:val="00F61554"/>
    <w:rsid w:val="00F61672"/>
    <w:rsid w:val="00F61B8E"/>
    <w:rsid w:val="00F621FC"/>
    <w:rsid w:val="00F62936"/>
    <w:rsid w:val="00F62ABD"/>
    <w:rsid w:val="00F62AE8"/>
    <w:rsid w:val="00F64287"/>
    <w:rsid w:val="00F647EA"/>
    <w:rsid w:val="00F64800"/>
    <w:rsid w:val="00F64A7A"/>
    <w:rsid w:val="00F65327"/>
    <w:rsid w:val="00F65402"/>
    <w:rsid w:val="00F65766"/>
    <w:rsid w:val="00F658AC"/>
    <w:rsid w:val="00F6689E"/>
    <w:rsid w:val="00F670FF"/>
    <w:rsid w:val="00F716DD"/>
    <w:rsid w:val="00F71CC8"/>
    <w:rsid w:val="00F71E2A"/>
    <w:rsid w:val="00F725BF"/>
    <w:rsid w:val="00F72B50"/>
    <w:rsid w:val="00F73BEF"/>
    <w:rsid w:val="00F7463D"/>
    <w:rsid w:val="00F7468E"/>
    <w:rsid w:val="00F74C50"/>
    <w:rsid w:val="00F757C6"/>
    <w:rsid w:val="00F75C9A"/>
    <w:rsid w:val="00F76CAC"/>
    <w:rsid w:val="00F76EA0"/>
    <w:rsid w:val="00F81301"/>
    <w:rsid w:val="00F814EB"/>
    <w:rsid w:val="00F84B9F"/>
    <w:rsid w:val="00F84D9B"/>
    <w:rsid w:val="00F87FC8"/>
    <w:rsid w:val="00F92453"/>
    <w:rsid w:val="00F9429C"/>
    <w:rsid w:val="00F968EE"/>
    <w:rsid w:val="00F96A82"/>
    <w:rsid w:val="00F96F11"/>
    <w:rsid w:val="00F96FCE"/>
    <w:rsid w:val="00F97039"/>
    <w:rsid w:val="00F9765E"/>
    <w:rsid w:val="00F9766A"/>
    <w:rsid w:val="00F97ED1"/>
    <w:rsid w:val="00FA05CE"/>
    <w:rsid w:val="00FA0C08"/>
    <w:rsid w:val="00FA121C"/>
    <w:rsid w:val="00FA1351"/>
    <w:rsid w:val="00FA1A80"/>
    <w:rsid w:val="00FA2D3E"/>
    <w:rsid w:val="00FA487E"/>
    <w:rsid w:val="00FA71C8"/>
    <w:rsid w:val="00FB0023"/>
    <w:rsid w:val="00FB09D2"/>
    <w:rsid w:val="00FB0DD1"/>
    <w:rsid w:val="00FB0EAE"/>
    <w:rsid w:val="00FB1355"/>
    <w:rsid w:val="00FB15B5"/>
    <w:rsid w:val="00FB318F"/>
    <w:rsid w:val="00FB3225"/>
    <w:rsid w:val="00FB5000"/>
    <w:rsid w:val="00FB5040"/>
    <w:rsid w:val="00FB5079"/>
    <w:rsid w:val="00FB6EE0"/>
    <w:rsid w:val="00FC0820"/>
    <w:rsid w:val="00FC0E01"/>
    <w:rsid w:val="00FC1948"/>
    <w:rsid w:val="00FC3BE1"/>
    <w:rsid w:val="00FC4116"/>
    <w:rsid w:val="00FC5658"/>
    <w:rsid w:val="00FC5997"/>
    <w:rsid w:val="00FC5B0A"/>
    <w:rsid w:val="00FC634B"/>
    <w:rsid w:val="00FC6C56"/>
    <w:rsid w:val="00FC6EDA"/>
    <w:rsid w:val="00FC71F2"/>
    <w:rsid w:val="00FD002C"/>
    <w:rsid w:val="00FD0637"/>
    <w:rsid w:val="00FD0DDD"/>
    <w:rsid w:val="00FD0F44"/>
    <w:rsid w:val="00FD1059"/>
    <w:rsid w:val="00FD2272"/>
    <w:rsid w:val="00FD32C2"/>
    <w:rsid w:val="00FD3CB7"/>
    <w:rsid w:val="00FD4BA8"/>
    <w:rsid w:val="00FD53C7"/>
    <w:rsid w:val="00FD63DE"/>
    <w:rsid w:val="00FD68DD"/>
    <w:rsid w:val="00FD7A2B"/>
    <w:rsid w:val="00FE258A"/>
    <w:rsid w:val="00FE285D"/>
    <w:rsid w:val="00FE2BDA"/>
    <w:rsid w:val="00FE3D1A"/>
    <w:rsid w:val="00FE4488"/>
    <w:rsid w:val="00FE4779"/>
    <w:rsid w:val="00FE4C5F"/>
    <w:rsid w:val="00FE55A9"/>
    <w:rsid w:val="00FE5A3E"/>
    <w:rsid w:val="00FE5E46"/>
    <w:rsid w:val="00FE72C7"/>
    <w:rsid w:val="00FF117A"/>
    <w:rsid w:val="00FF2154"/>
    <w:rsid w:val="00FF22FC"/>
    <w:rsid w:val="00FF38C3"/>
    <w:rsid w:val="00FF3D86"/>
    <w:rsid w:val="00FF3EFF"/>
    <w:rsid w:val="00FF4B1D"/>
    <w:rsid w:val="00FF6BB4"/>
    <w:rsid w:val="014A5273"/>
    <w:rsid w:val="015734FA"/>
    <w:rsid w:val="023651AB"/>
    <w:rsid w:val="02376E6C"/>
    <w:rsid w:val="045E7653"/>
    <w:rsid w:val="047616F2"/>
    <w:rsid w:val="04824083"/>
    <w:rsid w:val="052615A1"/>
    <w:rsid w:val="05EE6703"/>
    <w:rsid w:val="0AAC1C90"/>
    <w:rsid w:val="0B9C5328"/>
    <w:rsid w:val="0BD42DE3"/>
    <w:rsid w:val="0C392711"/>
    <w:rsid w:val="0D6365CF"/>
    <w:rsid w:val="107C3E98"/>
    <w:rsid w:val="10C05285"/>
    <w:rsid w:val="13D207E7"/>
    <w:rsid w:val="158769F5"/>
    <w:rsid w:val="18F13DE7"/>
    <w:rsid w:val="1C6E51FE"/>
    <w:rsid w:val="1D5B5F92"/>
    <w:rsid w:val="1E244ABD"/>
    <w:rsid w:val="1F2B0BBB"/>
    <w:rsid w:val="206E67E9"/>
    <w:rsid w:val="20B01779"/>
    <w:rsid w:val="21FD5461"/>
    <w:rsid w:val="22467537"/>
    <w:rsid w:val="224A7BA7"/>
    <w:rsid w:val="23087417"/>
    <w:rsid w:val="23674898"/>
    <w:rsid w:val="23CE716A"/>
    <w:rsid w:val="24167E15"/>
    <w:rsid w:val="25AD1212"/>
    <w:rsid w:val="26FF321B"/>
    <w:rsid w:val="29A04889"/>
    <w:rsid w:val="2C230644"/>
    <w:rsid w:val="2F6F008E"/>
    <w:rsid w:val="2FA31863"/>
    <w:rsid w:val="2FB119D8"/>
    <w:rsid w:val="3351770F"/>
    <w:rsid w:val="354C1244"/>
    <w:rsid w:val="36017474"/>
    <w:rsid w:val="36607EAF"/>
    <w:rsid w:val="39CD73C2"/>
    <w:rsid w:val="3AC4751B"/>
    <w:rsid w:val="3C2C7EBF"/>
    <w:rsid w:val="3E16723C"/>
    <w:rsid w:val="3E79736B"/>
    <w:rsid w:val="40236F33"/>
    <w:rsid w:val="404D15CD"/>
    <w:rsid w:val="41C2230C"/>
    <w:rsid w:val="41E41E43"/>
    <w:rsid w:val="41ED34D3"/>
    <w:rsid w:val="42640234"/>
    <w:rsid w:val="42B23EDF"/>
    <w:rsid w:val="44060C10"/>
    <w:rsid w:val="44865F16"/>
    <w:rsid w:val="46255545"/>
    <w:rsid w:val="46C82A35"/>
    <w:rsid w:val="4744390A"/>
    <w:rsid w:val="4748424D"/>
    <w:rsid w:val="48AE65D7"/>
    <w:rsid w:val="496E330F"/>
    <w:rsid w:val="49900F84"/>
    <w:rsid w:val="49FE6844"/>
    <w:rsid w:val="4AFC0569"/>
    <w:rsid w:val="4BB7518F"/>
    <w:rsid w:val="4C29434D"/>
    <w:rsid w:val="4CF56334"/>
    <w:rsid w:val="500B20C1"/>
    <w:rsid w:val="519A7D83"/>
    <w:rsid w:val="51A80FC1"/>
    <w:rsid w:val="522F16EC"/>
    <w:rsid w:val="5236578C"/>
    <w:rsid w:val="52F50002"/>
    <w:rsid w:val="548E0C82"/>
    <w:rsid w:val="54906C95"/>
    <w:rsid w:val="54D4178A"/>
    <w:rsid w:val="55A06B98"/>
    <w:rsid w:val="55C024BA"/>
    <w:rsid w:val="56342C37"/>
    <w:rsid w:val="563A61C6"/>
    <w:rsid w:val="578D1E0F"/>
    <w:rsid w:val="58167D44"/>
    <w:rsid w:val="584D25C7"/>
    <w:rsid w:val="5A7862A8"/>
    <w:rsid w:val="61275B34"/>
    <w:rsid w:val="62C1794E"/>
    <w:rsid w:val="633442E6"/>
    <w:rsid w:val="63E21F39"/>
    <w:rsid w:val="63FB271F"/>
    <w:rsid w:val="65207C44"/>
    <w:rsid w:val="654D15A3"/>
    <w:rsid w:val="660B3BD1"/>
    <w:rsid w:val="675C1DE0"/>
    <w:rsid w:val="69431E11"/>
    <w:rsid w:val="69F9091A"/>
    <w:rsid w:val="6B590925"/>
    <w:rsid w:val="6B7D74F9"/>
    <w:rsid w:val="6D8B28D1"/>
    <w:rsid w:val="6DAB53A4"/>
    <w:rsid w:val="6F2A29E8"/>
    <w:rsid w:val="6F7255E5"/>
    <w:rsid w:val="70492F91"/>
    <w:rsid w:val="716C56ED"/>
    <w:rsid w:val="71986E19"/>
    <w:rsid w:val="719D2052"/>
    <w:rsid w:val="71F579BC"/>
    <w:rsid w:val="72624A19"/>
    <w:rsid w:val="76721AE2"/>
    <w:rsid w:val="76E43053"/>
    <w:rsid w:val="788D2C57"/>
    <w:rsid w:val="79062D65"/>
    <w:rsid w:val="7B610C82"/>
    <w:rsid w:val="7BF81261"/>
    <w:rsid w:val="7C154789"/>
    <w:rsid w:val="7C1B4F6A"/>
    <w:rsid w:val="7C372F4F"/>
    <w:rsid w:val="7F260934"/>
    <w:rsid w:val="7FAC1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38B4A1E"/>
  <w15:docId w15:val="{8FEF5BB3-B675-457C-9B30-37BFF8CD6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lsdException w:name="Normal Indent" w:uiPriority="0" w:qFormat="1"/>
    <w:lsdException w:name="footnote text" w:semiHidden="1" w:unhideWhenUsed="1"/>
    <w:lsdException w:name="annotation text" w:uiPriority="0" w:unhideWhenUsed="1"/>
    <w:lsdException w:name="header" w:uiPriority="0" w:unhideWhenUsed="1" w:qFormat="1"/>
    <w:lsdException w:name="footer" w:unhideWhenUsed="1"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uiPriority="0" w:qFormat="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unhideWhenUsed="1" w:qFormat="1"/>
    <w:lsdException w:name="FollowedHyperlink" w:semiHidden="1" w:unhideWhenUsed="1" w:qFormat="1"/>
    <w:lsdException w:name="Strong" w:uiPriority="0"/>
    <w:lsdException w:name="Emphasis" w:uiPriority="20"/>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ind w:firstLineChars="200" w:firstLine="480"/>
    </w:pPr>
    <w:rPr>
      <w:rFonts w:ascii="Times New Roman" w:hAnsi="Times New Roman" w:cstheme="minorBidi"/>
      <w:kern w:val="2"/>
      <w:sz w:val="24"/>
      <w:szCs w:val="22"/>
    </w:rPr>
  </w:style>
  <w:style w:type="paragraph" w:styleId="1">
    <w:name w:val="heading 1"/>
    <w:basedOn w:val="a"/>
    <w:next w:val="a"/>
    <w:link w:val="10"/>
    <w:qFormat/>
    <w:pPr>
      <w:keepNext/>
      <w:keepLines/>
      <w:spacing w:before="320" w:after="320" w:line="520" w:lineRule="exact"/>
      <w:ind w:firstLine="720"/>
      <w:jc w:val="center"/>
      <w:outlineLvl w:val="0"/>
    </w:pPr>
    <w:rPr>
      <w:rFonts w:eastAsia="黑体"/>
      <w:bCs/>
      <w:kern w:val="44"/>
      <w:sz w:val="36"/>
      <w:szCs w:val="44"/>
    </w:rPr>
  </w:style>
  <w:style w:type="paragraph" w:styleId="2">
    <w:name w:val="heading 2"/>
    <w:basedOn w:val="a"/>
    <w:next w:val="a"/>
    <w:link w:val="20"/>
    <w:unhideWhenUsed/>
    <w:qFormat/>
    <w:pPr>
      <w:keepNext/>
      <w:keepLines/>
      <w:spacing w:before="120" w:after="120" w:line="520" w:lineRule="exact"/>
      <w:outlineLvl w:val="1"/>
    </w:pPr>
    <w:rPr>
      <w:rFonts w:eastAsia="黑体" w:cstheme="majorBidi"/>
      <w:bCs/>
      <w:sz w:val="28"/>
      <w:szCs w:val="32"/>
    </w:rPr>
  </w:style>
  <w:style w:type="paragraph" w:styleId="3">
    <w:name w:val="heading 3"/>
    <w:basedOn w:val="a"/>
    <w:next w:val="a"/>
    <w:link w:val="30"/>
    <w:unhideWhenUsed/>
    <w:qFormat/>
    <w:pPr>
      <w:adjustRightInd w:val="0"/>
      <w:snapToGrid w:val="0"/>
      <w:outlineLvl w:val="2"/>
    </w:pPr>
    <w:rPr>
      <w:rFonts w:eastAsia="楷体"/>
      <w:kern w:val="28"/>
      <w:sz w:val="28"/>
    </w:rPr>
  </w:style>
  <w:style w:type="paragraph" w:styleId="4">
    <w:name w:val="heading 4"/>
    <w:basedOn w:val="a"/>
    <w:next w:val="a"/>
    <w:link w:val="40"/>
    <w:uiPriority w:val="9"/>
    <w:unhideWhenUsed/>
    <w:qFormat/>
    <w:pPr>
      <w:keepNext/>
      <w:keepLines/>
      <w:outlineLvl w:val="3"/>
    </w:pPr>
    <w:rPr>
      <w:rFonts w:cstheme="majorBidi"/>
      <w:bCs/>
      <w:szCs w:val="28"/>
    </w:rPr>
  </w:style>
  <w:style w:type="paragraph" w:styleId="5">
    <w:name w:val="heading 5"/>
    <w:basedOn w:val="a"/>
    <w:next w:val="a"/>
    <w:link w:val="50"/>
    <w:unhideWhenUsed/>
    <w:pPr>
      <w:keepNext/>
      <w:keepLines/>
      <w:outlineLvl w:val="4"/>
    </w:pPr>
    <w:rPr>
      <w:rFonts w:eastAsia="黑体"/>
      <w:bCs/>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Cs w:val="24"/>
    </w:rPr>
  </w:style>
  <w:style w:type="paragraph" w:styleId="9">
    <w:name w:val="heading 9"/>
    <w:basedOn w:val="a"/>
    <w:next w:val="a"/>
    <w:link w:val="90"/>
    <w:pPr>
      <w:keepNext/>
      <w:keepLines/>
      <w:spacing w:before="240" w:after="64" w:line="320" w:lineRule="auto"/>
      <w:outlineLvl w:val="8"/>
    </w:pPr>
    <w:rPr>
      <w:rFonts w:ascii="Arial" w:eastAsia="黑体" w:hAnsi="Arial" w:cs="Times New Roman"/>
      <w:spacing w:val="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Body Text"/>
    <w:basedOn w:val="a"/>
    <w:link w:val="a6"/>
    <w:unhideWhenUsed/>
    <w:qFormat/>
    <w:pPr>
      <w:spacing w:after="120"/>
    </w:pPr>
  </w:style>
  <w:style w:type="paragraph" w:styleId="a7">
    <w:name w:val="Body Text Indent"/>
    <w:basedOn w:val="a"/>
    <w:link w:val="a8"/>
    <w:qFormat/>
    <w:pPr>
      <w:spacing w:after="120"/>
      <w:ind w:leftChars="200" w:left="420"/>
    </w:pPr>
  </w:style>
  <w:style w:type="paragraph" w:styleId="21">
    <w:name w:val="List 2"/>
    <w:basedOn w:val="a"/>
    <w:pPr>
      <w:adjustRightInd w:val="0"/>
      <w:snapToGrid w:val="0"/>
      <w:spacing w:line="240" w:lineRule="auto"/>
      <w:ind w:leftChars="250" w:left="600" w:firstLineChars="500" w:firstLine="1200"/>
    </w:pPr>
    <w:rPr>
      <w:rFonts w:eastAsia="黑体"/>
    </w:rPr>
  </w:style>
  <w:style w:type="paragraph" w:styleId="a9">
    <w:name w:val="Block Text"/>
    <w:basedOn w:val="a"/>
    <w:qFormat/>
    <w:pPr>
      <w:spacing w:after="120"/>
      <w:ind w:leftChars="700" w:left="1440" w:rightChars="700" w:right="1440"/>
    </w:pPr>
  </w:style>
  <w:style w:type="paragraph" w:styleId="TOC3">
    <w:name w:val="toc 3"/>
    <w:basedOn w:val="a"/>
    <w:next w:val="a"/>
    <w:uiPriority w:val="39"/>
    <w:unhideWhenUsed/>
    <w:qFormat/>
    <w:pPr>
      <w:ind w:leftChars="400" w:left="840"/>
    </w:pPr>
  </w:style>
  <w:style w:type="paragraph" w:styleId="aa">
    <w:name w:val="Plain Text"/>
    <w:aliases w:val="孙普文字, Char, Char Char,普通文字,纯文本 Char Char Char Char Char,纯文本 Char Char Char Char,普通文字 Char Char,Char Char"/>
    <w:basedOn w:val="a"/>
    <w:link w:val="ab"/>
    <w:qFormat/>
    <w:pPr>
      <w:snapToGrid w:val="0"/>
      <w:spacing w:line="360" w:lineRule="exact"/>
      <w:ind w:firstLineChars="0" w:firstLine="0"/>
      <w:jc w:val="center"/>
    </w:pPr>
    <w:rPr>
      <w:rFonts w:cs="Courier New"/>
      <w:sz w:val="21"/>
    </w:rPr>
  </w:style>
  <w:style w:type="paragraph" w:styleId="ac">
    <w:name w:val="Date"/>
    <w:basedOn w:val="a"/>
    <w:next w:val="a"/>
    <w:link w:val="ad"/>
    <w:qFormat/>
    <w:pPr>
      <w:ind w:leftChars="2500" w:left="100"/>
    </w:pPr>
  </w:style>
  <w:style w:type="paragraph" w:styleId="ae">
    <w:name w:val="footer"/>
    <w:basedOn w:val="a"/>
    <w:link w:val="af"/>
    <w:uiPriority w:val="99"/>
    <w:unhideWhenUsed/>
    <w:qFormat/>
    <w:pPr>
      <w:tabs>
        <w:tab w:val="center" w:pos="4153"/>
        <w:tab w:val="right" w:pos="8306"/>
      </w:tabs>
      <w:snapToGrid w:val="0"/>
      <w:spacing w:line="240" w:lineRule="auto"/>
    </w:pPr>
    <w:rPr>
      <w:sz w:val="18"/>
      <w:szCs w:val="18"/>
    </w:rPr>
  </w:style>
  <w:style w:type="paragraph" w:styleId="af0">
    <w:name w:val="header"/>
    <w:basedOn w:val="a"/>
    <w:link w:val="af1"/>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character" w:styleId="af2">
    <w:name w:val="Hyperlink"/>
    <w:basedOn w:val="a0"/>
    <w:uiPriority w:val="99"/>
    <w:unhideWhenUsed/>
    <w:qFormat/>
    <w:rPr>
      <w:color w:val="0563C1" w:themeColor="hyperlink"/>
      <w:u w:val="single"/>
    </w:rPr>
  </w:style>
  <w:style w:type="character" w:customStyle="1" w:styleId="10">
    <w:name w:val="标题 1 字符"/>
    <w:basedOn w:val="a0"/>
    <w:link w:val="1"/>
    <w:qFormat/>
    <w:rPr>
      <w:rFonts w:eastAsia="黑体" w:cstheme="minorBidi"/>
      <w:bCs/>
      <w:kern w:val="44"/>
      <w:sz w:val="36"/>
      <w:szCs w:val="44"/>
    </w:rPr>
  </w:style>
  <w:style w:type="character" w:customStyle="1" w:styleId="20">
    <w:name w:val="标题 2 字符"/>
    <w:basedOn w:val="a0"/>
    <w:link w:val="2"/>
    <w:qFormat/>
    <w:rPr>
      <w:rFonts w:ascii="Times New Roman" w:eastAsia="黑体" w:hAnsi="Times New Roman" w:cstheme="majorBidi"/>
      <w:bCs/>
      <w:sz w:val="28"/>
      <w:szCs w:val="32"/>
    </w:rPr>
  </w:style>
  <w:style w:type="character" w:customStyle="1" w:styleId="30">
    <w:name w:val="标题 3 字符"/>
    <w:basedOn w:val="a0"/>
    <w:link w:val="3"/>
    <w:qFormat/>
    <w:rPr>
      <w:rFonts w:eastAsia="楷体" w:cstheme="minorBidi"/>
      <w:kern w:val="28"/>
      <w:sz w:val="28"/>
      <w:szCs w:val="22"/>
    </w:rPr>
  </w:style>
  <w:style w:type="character" w:customStyle="1" w:styleId="40">
    <w:name w:val="标题 4 字符"/>
    <w:basedOn w:val="a0"/>
    <w:link w:val="4"/>
    <w:uiPriority w:val="9"/>
    <w:qFormat/>
    <w:rPr>
      <w:rFonts w:ascii="Times New Roman" w:eastAsia="宋体" w:hAnsi="Times New Roman" w:cstheme="majorBidi"/>
      <w:bCs/>
      <w:sz w:val="24"/>
      <w:szCs w:val="28"/>
    </w:rPr>
  </w:style>
  <w:style w:type="character" w:customStyle="1" w:styleId="50">
    <w:name w:val="标题 5 字符"/>
    <w:basedOn w:val="a0"/>
    <w:link w:val="5"/>
    <w:qFormat/>
    <w:rPr>
      <w:rFonts w:eastAsia="宋体"/>
      <w:b/>
      <w:bCs/>
      <w:kern w:val="2"/>
      <w:sz w:val="28"/>
      <w:szCs w:val="28"/>
      <w:lang w:val="en-US" w:eastAsia="zh-CN" w:bidi="ar-SA"/>
    </w:rPr>
  </w:style>
  <w:style w:type="character" w:customStyle="1" w:styleId="60">
    <w:name w:val="标题 6 字符"/>
    <w:basedOn w:val="a0"/>
    <w:link w:val="6"/>
    <w:uiPriority w:val="9"/>
    <w:semiHidden/>
    <w:qFormat/>
    <w:rPr>
      <w:rFonts w:asciiTheme="majorHAnsi" w:eastAsiaTheme="majorEastAsia" w:hAnsiTheme="majorHAnsi" w:cstheme="majorBidi"/>
      <w:b/>
      <w:bCs/>
      <w:kern w:val="2"/>
      <w:sz w:val="24"/>
      <w:szCs w:val="24"/>
    </w:rPr>
  </w:style>
  <w:style w:type="character" w:customStyle="1" w:styleId="90">
    <w:name w:val="标题 9 字符"/>
    <w:basedOn w:val="a0"/>
    <w:link w:val="9"/>
    <w:qFormat/>
    <w:rPr>
      <w:rFonts w:ascii="Arial" w:eastAsia="黑体" w:hAnsi="Arial" w:cs="Times New Roman"/>
      <w:spacing w:val="6"/>
      <w:szCs w:val="21"/>
    </w:rPr>
  </w:style>
  <w:style w:type="character" w:customStyle="1" w:styleId="a6">
    <w:name w:val="正文文本 字符"/>
    <w:basedOn w:val="a0"/>
    <w:link w:val="a5"/>
    <w:qFormat/>
    <w:rPr>
      <w:rFonts w:cstheme="minorBidi"/>
      <w:kern w:val="2"/>
      <w:sz w:val="24"/>
      <w:szCs w:val="22"/>
    </w:rPr>
  </w:style>
  <w:style w:type="paragraph" w:customStyle="1" w:styleId="11">
    <w:name w:val="修订1"/>
    <w:hidden/>
    <w:uiPriority w:val="99"/>
    <w:semiHidden/>
    <w:qFormat/>
    <w:rPr>
      <w:rFonts w:ascii="Times New Roman" w:hAnsi="Times New Roman" w:cstheme="minorBidi"/>
      <w:kern w:val="2"/>
      <w:sz w:val="24"/>
      <w:szCs w:val="22"/>
    </w:rPr>
  </w:style>
  <w:style w:type="paragraph" w:customStyle="1" w:styleId="22">
    <w:name w:val="修订2"/>
    <w:hidden/>
    <w:uiPriority w:val="99"/>
    <w:semiHidden/>
    <w:qFormat/>
    <w:rPr>
      <w:rFonts w:ascii="Times New Roman" w:hAnsi="Times New Roman" w:cstheme="minorBidi"/>
      <w:kern w:val="2"/>
      <w:sz w:val="24"/>
      <w:szCs w:val="22"/>
    </w:rPr>
  </w:style>
  <w:style w:type="character" w:customStyle="1" w:styleId="ab">
    <w:name w:val="纯文本 字符"/>
    <w:aliases w:val="孙普文字 字符, Char 字符, Char Char 字符,普通文字 字符,纯文本 Char Char Char Char Char 字符,纯文本 Char Char Char Char 字符,普通文字 Char Char 字符,Char Char 字符"/>
    <w:basedOn w:val="a0"/>
    <w:link w:val="aa"/>
    <w:qFormat/>
    <w:rPr>
      <w:rFonts w:cs="Courier New"/>
      <w:kern w:val="2"/>
      <w:sz w:val="21"/>
      <w:szCs w:val="22"/>
    </w:rPr>
  </w:style>
  <w:style w:type="paragraph" w:customStyle="1" w:styleId="12">
    <w:name w:val="正文1"/>
    <w:link w:val="Char"/>
    <w:qFormat/>
    <w:pPr>
      <w:jc w:val="both"/>
    </w:pPr>
    <w:rPr>
      <w:rFonts w:ascii="Times New Roman" w:hAnsi="Times New Roman"/>
      <w:kern w:val="2"/>
      <w:sz w:val="21"/>
      <w:szCs w:val="21"/>
    </w:rPr>
  </w:style>
  <w:style w:type="character" w:customStyle="1" w:styleId="Char">
    <w:name w:val="正文 Char"/>
    <w:link w:val="12"/>
    <w:qFormat/>
    <w:locked/>
    <w:rPr>
      <w:kern w:val="2"/>
      <w:sz w:val="21"/>
      <w:szCs w:val="21"/>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spacing w:line="240" w:lineRule="auto"/>
      <w:ind w:firstLineChars="0" w:firstLine="0"/>
    </w:pPr>
    <w:rPr>
      <w:rFonts w:asciiTheme="minorHAnsi" w:eastAsiaTheme="minorEastAsia" w:hAnsiTheme="minorHAnsi"/>
      <w:kern w:val="0"/>
      <w:sz w:val="22"/>
      <w:lang w:eastAsia="en-US"/>
    </w:rPr>
  </w:style>
  <w:style w:type="paragraph" w:styleId="af3">
    <w:name w:val="List Paragraph"/>
    <w:basedOn w:val="a"/>
    <w:uiPriority w:val="34"/>
    <w:qFormat/>
    <w:pPr>
      <w:ind w:firstLine="420"/>
    </w:pPr>
  </w:style>
  <w:style w:type="character" w:customStyle="1" w:styleId="af1">
    <w:name w:val="页眉 字符"/>
    <w:basedOn w:val="a0"/>
    <w:link w:val="af0"/>
    <w:qFormat/>
    <w:rPr>
      <w:rFonts w:cstheme="minorBidi"/>
      <w:kern w:val="2"/>
      <w:sz w:val="18"/>
      <w:szCs w:val="18"/>
    </w:rPr>
  </w:style>
  <w:style w:type="character" w:customStyle="1" w:styleId="af">
    <w:name w:val="页脚 字符"/>
    <w:basedOn w:val="a0"/>
    <w:link w:val="ae"/>
    <w:uiPriority w:val="99"/>
    <w:qFormat/>
    <w:rPr>
      <w:rFonts w:cstheme="minorBidi"/>
      <w:kern w:val="2"/>
      <w:sz w:val="18"/>
      <w:szCs w:val="18"/>
    </w:rPr>
  </w:style>
  <w:style w:type="paragraph" w:customStyle="1" w:styleId="23">
    <w:name w:val="正文2"/>
    <w:qFormat/>
    <w:pPr>
      <w:jc w:val="both"/>
    </w:pPr>
    <w:rPr>
      <w:rFonts w:ascii="Times New Roman" w:hAnsi="Times New Roman"/>
      <w:kern w:val="2"/>
      <w:sz w:val="21"/>
      <w:szCs w:val="21"/>
    </w:rPr>
  </w:style>
  <w:style w:type="character" w:customStyle="1" w:styleId="a8">
    <w:name w:val="正文文本缩进 字符"/>
    <w:basedOn w:val="a0"/>
    <w:link w:val="a7"/>
    <w:qFormat/>
    <w:rPr>
      <w:rFonts w:cstheme="minorBidi"/>
      <w:kern w:val="2"/>
      <w:sz w:val="24"/>
      <w:szCs w:val="22"/>
    </w:rPr>
  </w:style>
  <w:style w:type="paragraph" w:customStyle="1" w:styleId="31">
    <w:name w:val="正文3"/>
    <w:qFormat/>
    <w:pPr>
      <w:jc w:val="both"/>
    </w:pPr>
    <w:rPr>
      <w:rFonts w:ascii="Times New Roman" w:hAnsi="Times New Roman"/>
      <w:kern w:val="2"/>
      <w:sz w:val="21"/>
      <w:szCs w:val="21"/>
    </w:rPr>
  </w:style>
  <w:style w:type="table" w:customStyle="1" w:styleId="TableNormal1">
    <w:name w:val="Table Normal1"/>
    <w:basedOn w:val="a1"/>
    <w:qFormat/>
    <w:rPr>
      <w:rFonts w:eastAsia="Times New Roman"/>
    </w:rPr>
    <w:tblPr>
      <w:tblCellMar>
        <w:left w:w="0" w:type="dxa"/>
        <w:right w:w="0" w:type="dxa"/>
      </w:tblCellMar>
    </w:tblPr>
  </w:style>
  <w:style w:type="table" w:customStyle="1" w:styleId="TableNormal2">
    <w:name w:val="Table Normal2"/>
    <w:basedOn w:val="a1"/>
    <w:qFormat/>
    <w:rPr>
      <w:rFonts w:eastAsia="Times New Roman"/>
    </w:rPr>
    <w:tblPr>
      <w:tblCellMar>
        <w:left w:w="0" w:type="dxa"/>
        <w:right w:w="0" w:type="dxa"/>
      </w:tblCellMar>
    </w:tblPr>
  </w:style>
  <w:style w:type="paragraph" w:customStyle="1" w:styleId="41">
    <w:name w:val="正文4"/>
    <w:qFormat/>
    <w:pPr>
      <w:jc w:val="both"/>
    </w:pPr>
    <w:rPr>
      <w:rFonts w:ascii="Times New Roman" w:hAnsi="Times New Roman"/>
      <w:kern w:val="2"/>
      <w:sz w:val="21"/>
      <w:szCs w:val="21"/>
    </w:rPr>
  </w:style>
  <w:style w:type="paragraph" w:customStyle="1" w:styleId="226">
    <w:name w:val="样式 首行缩进:  2 字符 行距: 固定值 26 磅"/>
    <w:basedOn w:val="a"/>
    <w:qFormat/>
    <w:pPr>
      <w:widowControl w:val="0"/>
      <w:spacing w:line="520" w:lineRule="exact"/>
      <w:jc w:val="both"/>
    </w:pPr>
    <w:rPr>
      <w:rFonts w:cs="宋体"/>
      <w:szCs w:val="24"/>
    </w:rPr>
  </w:style>
  <w:style w:type="paragraph" w:customStyle="1" w:styleId="GB23122">
    <w:name w:val="样式 规划正文 + 仿宋_GB2312 三号 首行缩进:  2 字符 行距: 单倍行距"/>
    <w:basedOn w:val="a"/>
    <w:qFormat/>
    <w:pPr>
      <w:widowControl w:val="0"/>
      <w:spacing w:line="240" w:lineRule="auto"/>
      <w:ind w:firstLine="560"/>
      <w:jc w:val="both"/>
    </w:pPr>
    <w:rPr>
      <w:rFonts w:ascii="仿宋_GB2312" w:eastAsia="仿宋_GB2312" w:hAnsi="宋体" w:cs="宋体"/>
      <w:sz w:val="28"/>
      <w:szCs w:val="28"/>
    </w:rPr>
  </w:style>
  <w:style w:type="paragraph" w:customStyle="1" w:styleId="af4">
    <w:name w:val="说明书正文"/>
    <w:basedOn w:val="a"/>
    <w:qFormat/>
    <w:pPr>
      <w:widowControl w:val="0"/>
      <w:spacing w:line="480" w:lineRule="exact"/>
      <w:ind w:firstLine="600"/>
      <w:jc w:val="both"/>
    </w:pPr>
    <w:rPr>
      <w:rFonts w:eastAsia="仿宋_GB2312" w:cs="Times New Roman"/>
      <w:color w:val="000000"/>
      <w:sz w:val="30"/>
      <w:szCs w:val="30"/>
    </w:rPr>
  </w:style>
  <w:style w:type="table" w:customStyle="1" w:styleId="TableNormal3">
    <w:name w:val="Table Normal3"/>
    <w:basedOn w:val="a1"/>
    <w:qFormat/>
    <w:rPr>
      <w:rFonts w:eastAsia="Times New Roman"/>
    </w:rPr>
    <w:tblPr>
      <w:tblCellMar>
        <w:left w:w="0" w:type="dxa"/>
        <w:right w:w="0" w:type="dxa"/>
      </w:tblCellMar>
    </w:tblPr>
  </w:style>
  <w:style w:type="table" w:customStyle="1" w:styleId="TableNormal4">
    <w:name w:val="Table Normal4"/>
    <w:basedOn w:val="a1"/>
    <w:qFormat/>
    <w:rPr>
      <w:rFonts w:eastAsia="Times New Roman"/>
    </w:rPr>
    <w:tblPr>
      <w:tblCellMar>
        <w:left w:w="0" w:type="dxa"/>
        <w:right w:w="0" w:type="dxa"/>
      </w:tblCellMar>
    </w:tblPr>
  </w:style>
  <w:style w:type="paragraph" w:customStyle="1" w:styleId="51">
    <w:name w:val="正文5"/>
    <w:qFormat/>
    <w:pPr>
      <w:jc w:val="both"/>
    </w:pPr>
    <w:rPr>
      <w:rFonts w:cs="宋体"/>
      <w:kern w:val="2"/>
      <w:sz w:val="21"/>
      <w:szCs w:val="21"/>
    </w:rPr>
  </w:style>
  <w:style w:type="paragraph" w:customStyle="1" w:styleId="af5">
    <w:name w:val="表内字"/>
    <w:basedOn w:val="a"/>
    <w:qFormat/>
    <w:pPr>
      <w:spacing w:line="320" w:lineRule="exact"/>
      <w:ind w:firstLineChars="0" w:firstLine="0"/>
      <w:jc w:val="center"/>
    </w:pPr>
    <w:rPr>
      <w:rFonts w:ascii="Calibri" w:hAnsi="Calibri" w:cs="宋体"/>
      <w:sz w:val="21"/>
      <w:szCs w:val="21"/>
    </w:rPr>
  </w:style>
  <w:style w:type="paragraph" w:customStyle="1" w:styleId="Date1">
    <w:name w:val="Date1"/>
    <w:basedOn w:val="a"/>
    <w:next w:val="a"/>
    <w:pPr>
      <w:widowControl w:val="0"/>
      <w:adjustRightInd w:val="0"/>
      <w:ind w:firstLineChars="0" w:firstLine="0"/>
      <w:jc w:val="both"/>
      <w:textAlignment w:val="baseline"/>
    </w:pPr>
    <w:rPr>
      <w:rFonts w:ascii="Courier New" w:eastAsia="仿宋_GB2312" w:hAnsi="Courier New" w:cs="Courier New"/>
      <w:szCs w:val="24"/>
    </w:rPr>
  </w:style>
  <w:style w:type="character" w:customStyle="1" w:styleId="ad">
    <w:name w:val="日期 字符"/>
    <w:basedOn w:val="a0"/>
    <w:link w:val="ac"/>
    <w:qFormat/>
    <w:rPr>
      <w:rFonts w:cstheme="minorBidi"/>
      <w:kern w:val="2"/>
      <w:sz w:val="24"/>
      <w:szCs w:val="22"/>
    </w:rPr>
  </w:style>
  <w:style w:type="table" w:customStyle="1" w:styleId="TableNormal5">
    <w:name w:val="Table Normal5"/>
    <w:basedOn w:val="a1"/>
    <w:qFormat/>
    <w:rPr>
      <w:rFonts w:eastAsia="Times New Roman"/>
    </w:rPr>
    <w:tblPr>
      <w:tblCellMar>
        <w:left w:w="0" w:type="dxa"/>
        <w:right w:w="0" w:type="dxa"/>
      </w:tblCellMar>
    </w:tblPr>
  </w:style>
  <w:style w:type="paragraph" w:customStyle="1" w:styleId="61">
    <w:name w:val="正文6"/>
    <w:qFormat/>
    <w:pPr>
      <w:jc w:val="both"/>
    </w:pPr>
    <w:rPr>
      <w:rFonts w:ascii="Times New Roman" w:hAnsi="Times New Roman"/>
      <w:kern w:val="2"/>
      <w:sz w:val="21"/>
      <w:szCs w:val="21"/>
    </w:rPr>
  </w:style>
  <w:style w:type="character" w:customStyle="1" w:styleId="a4">
    <w:name w:val="批注文字 字符"/>
    <w:basedOn w:val="a0"/>
    <w:link w:val="a3"/>
    <w:qFormat/>
    <w:rPr>
      <w:rFonts w:cstheme="minorBidi"/>
      <w:kern w:val="2"/>
      <w:sz w:val="24"/>
      <w:szCs w:val="22"/>
    </w:rPr>
  </w:style>
  <w:style w:type="character" w:customStyle="1" w:styleId="11Char">
    <w:name w:val="11 Char"/>
    <w:link w:val="110"/>
    <w:qFormat/>
    <w:rPr>
      <w:rFonts w:ascii="宋体"/>
      <w:sz w:val="28"/>
      <w:szCs w:val="28"/>
    </w:rPr>
  </w:style>
  <w:style w:type="paragraph" w:customStyle="1" w:styleId="110">
    <w:name w:val="11"/>
    <w:basedOn w:val="a5"/>
    <w:link w:val="11Char"/>
    <w:pPr>
      <w:widowControl w:val="0"/>
      <w:autoSpaceDE w:val="0"/>
      <w:autoSpaceDN w:val="0"/>
      <w:adjustRightInd w:val="0"/>
      <w:spacing w:after="0"/>
      <w:ind w:firstLine="560"/>
      <w:textAlignment w:val="baseline"/>
    </w:pPr>
    <w:rPr>
      <w:rFonts w:ascii="宋体" w:cs="Times New Roman"/>
      <w:kern w:val="0"/>
      <w:sz w:val="28"/>
      <w:szCs w:val="28"/>
    </w:rPr>
  </w:style>
  <w:style w:type="character" w:customStyle="1" w:styleId="1CharChar">
    <w:name w:val="1正文段落 Char Char"/>
    <w:link w:val="1Char"/>
    <w:qFormat/>
    <w:rPr>
      <w:kern w:val="2"/>
      <w:sz w:val="24"/>
    </w:rPr>
  </w:style>
  <w:style w:type="paragraph" w:customStyle="1" w:styleId="1Char">
    <w:name w:val="1正文段落 Char"/>
    <w:basedOn w:val="a"/>
    <w:link w:val="1CharChar"/>
    <w:qFormat/>
    <w:pPr>
      <w:widowControl w:val="0"/>
      <w:ind w:firstLine="200"/>
    </w:pPr>
    <w:rPr>
      <w:rFonts w:cs="Times New Roman"/>
      <w:szCs w:val="20"/>
    </w:rPr>
  </w:style>
  <w:style w:type="character" w:customStyle="1" w:styleId="Char0">
    <w:name w:val="~~正文 Char"/>
    <w:link w:val="af6"/>
    <w:qFormat/>
    <w:rPr>
      <w:kern w:val="2"/>
      <w:sz w:val="24"/>
      <w:szCs w:val="24"/>
    </w:rPr>
  </w:style>
  <w:style w:type="paragraph" w:customStyle="1" w:styleId="af6">
    <w:name w:val="~~正文"/>
    <w:basedOn w:val="a"/>
    <w:link w:val="Char0"/>
    <w:qFormat/>
    <w:pPr>
      <w:widowControl w:val="0"/>
      <w:spacing w:line="520" w:lineRule="exact"/>
      <w:ind w:firstLine="200"/>
      <w:jc w:val="both"/>
    </w:pPr>
    <w:rPr>
      <w:rFonts w:cs="Times New Roman"/>
      <w:szCs w:val="24"/>
    </w:rPr>
  </w:style>
  <w:style w:type="character" w:customStyle="1" w:styleId="Char1">
    <w:name w:val="表头 Char"/>
    <w:link w:val="af7"/>
    <w:qFormat/>
    <w:rPr>
      <w:rFonts w:eastAsia="黑体"/>
    </w:rPr>
  </w:style>
  <w:style w:type="paragraph" w:customStyle="1" w:styleId="af7">
    <w:name w:val="表头"/>
    <w:basedOn w:val="a"/>
    <w:link w:val="Char1"/>
    <w:qFormat/>
    <w:pPr>
      <w:widowControl w:val="0"/>
      <w:spacing w:line="520" w:lineRule="exact"/>
      <w:jc w:val="both"/>
    </w:pPr>
    <w:rPr>
      <w:rFonts w:eastAsia="黑体" w:cs="Times New Roman"/>
      <w:kern w:val="0"/>
      <w:sz w:val="20"/>
      <w:szCs w:val="20"/>
    </w:rPr>
  </w:style>
  <w:style w:type="paragraph" w:customStyle="1" w:styleId="Af8">
    <w:name w:val="A正文"/>
    <w:basedOn w:val="a"/>
    <w:qFormat/>
    <w:pPr>
      <w:widowControl w:val="0"/>
      <w:adjustRightInd w:val="0"/>
      <w:snapToGrid w:val="0"/>
      <w:jc w:val="both"/>
    </w:pPr>
    <w:rPr>
      <w:rFonts w:hAnsi="宋体" w:cs="Times New Roman"/>
      <w:szCs w:val="24"/>
    </w:rPr>
  </w:style>
  <w:style w:type="paragraph" w:customStyle="1" w:styleId="44Char11111Char41111Char4CharChar1">
    <w:name w:val="样式 标题 4标题 4 Char11.1.1.1 Char标题 4.1.1.1.1 Char标题 4 Char Char...1"/>
    <w:basedOn w:val="4"/>
    <w:qFormat/>
    <w:pPr>
      <w:widowControl w:val="0"/>
      <w:tabs>
        <w:tab w:val="left" w:pos="360"/>
        <w:tab w:val="left" w:pos="851"/>
      </w:tabs>
      <w:spacing w:line="300" w:lineRule="auto"/>
      <w:ind w:left="851" w:firstLineChars="0" w:hanging="851"/>
      <w:jc w:val="both"/>
    </w:pPr>
    <w:rPr>
      <w:rFonts w:cs="宋体"/>
      <w:b/>
      <w:sz w:val="28"/>
      <w:szCs w:val="20"/>
    </w:rPr>
  </w:style>
  <w:style w:type="paragraph" w:customStyle="1" w:styleId="A10">
    <w:name w:val="A样式 标题 1大标题 + (符号) 宋体"/>
    <w:basedOn w:val="1"/>
    <w:pPr>
      <w:widowControl w:val="0"/>
      <w:tabs>
        <w:tab w:val="left" w:pos="425"/>
      </w:tabs>
      <w:spacing w:before="120" w:after="120"/>
      <w:ind w:left="425" w:firstLineChars="0" w:hanging="425"/>
      <w:jc w:val="both"/>
    </w:pPr>
    <w:rPr>
      <w:rFonts w:eastAsia="宋体" w:cs="Times New Roman"/>
      <w:b/>
      <w:sz w:val="32"/>
    </w:rPr>
  </w:style>
  <w:style w:type="paragraph" w:customStyle="1" w:styleId="0852">
    <w:name w:val="样式 样式 首行缩进:  0.85 厘米 + 首行缩进:  2 字符"/>
    <w:basedOn w:val="a"/>
    <w:qFormat/>
    <w:pPr>
      <w:widowControl w:val="0"/>
      <w:ind w:firstLine="200"/>
      <w:jc w:val="both"/>
    </w:pPr>
    <w:rPr>
      <w:rFonts w:ascii="Courier New" w:eastAsia="仿宋_GB2312" w:hAnsi="Courier New" w:cs="仿宋_GB2312"/>
      <w:szCs w:val="20"/>
    </w:rPr>
  </w:style>
  <w:style w:type="character" w:customStyle="1" w:styleId="altzTimesNewRomanChar">
    <w:name w:val="样式 ！正文alt+z + Times New Roman Char"/>
    <w:basedOn w:val="a0"/>
    <w:link w:val="altzTimesNewRoman"/>
    <w:qFormat/>
    <w:rPr>
      <w:snapToGrid w:val="0"/>
      <w:sz w:val="24"/>
      <w:szCs w:val="24"/>
    </w:rPr>
  </w:style>
  <w:style w:type="paragraph" w:customStyle="1" w:styleId="altzTimesNewRoman">
    <w:name w:val="样式 ！正文alt+z + Times New Roman"/>
    <w:basedOn w:val="a"/>
    <w:link w:val="altzTimesNewRomanChar"/>
    <w:qFormat/>
    <w:pPr>
      <w:widowControl w:val="0"/>
      <w:spacing w:line="520" w:lineRule="exact"/>
      <w:ind w:firstLine="200"/>
      <w:contextualSpacing/>
      <w:jc w:val="both"/>
    </w:pPr>
    <w:rPr>
      <w:rFonts w:cs="Times New Roman"/>
      <w:snapToGrid w:val="0"/>
      <w:kern w:val="0"/>
      <w:szCs w:val="24"/>
    </w:rPr>
  </w:style>
  <w:style w:type="paragraph" w:customStyle="1" w:styleId="42">
    <w:name w:val="我的样式4正文"/>
    <w:basedOn w:val="a"/>
    <w:qFormat/>
    <w:pPr>
      <w:widowControl w:val="0"/>
      <w:spacing w:line="520" w:lineRule="exact"/>
      <w:ind w:firstLineChars="205" w:firstLine="492"/>
      <w:jc w:val="both"/>
    </w:pPr>
    <w:rPr>
      <w:rFonts w:cs="Times New Roman"/>
      <w:szCs w:val="24"/>
    </w:rPr>
  </w:style>
  <w:style w:type="paragraph" w:customStyle="1" w:styleId="TimesNewRoman2">
    <w:name w:val="样式 报告书正文格式 + Times New Roman 首行缩进:  2 字符"/>
    <w:basedOn w:val="a"/>
    <w:qFormat/>
    <w:pPr>
      <w:widowControl w:val="0"/>
      <w:wordWrap w:val="0"/>
      <w:spacing w:line="520" w:lineRule="exact"/>
      <w:ind w:firstLine="200"/>
      <w:jc w:val="both"/>
    </w:pPr>
    <w:rPr>
      <w:rFonts w:hAnsi="宋体" w:cs="宋体"/>
      <w:b/>
      <w:szCs w:val="20"/>
      <w:lang w:val="zh-CN"/>
    </w:rPr>
  </w:style>
  <w:style w:type="paragraph" w:customStyle="1" w:styleId="af9">
    <w:name w:val="段落"/>
    <w:basedOn w:val="a"/>
    <w:pPr>
      <w:widowControl w:val="0"/>
      <w:spacing w:line="500" w:lineRule="exact"/>
      <w:ind w:firstLineChars="0" w:firstLine="578"/>
      <w:jc w:val="both"/>
    </w:pPr>
    <w:rPr>
      <w:rFonts w:cs="Times New Roman"/>
      <w:sz w:val="28"/>
      <w:szCs w:val="28"/>
    </w:rPr>
  </w:style>
  <w:style w:type="character" w:styleId="afa">
    <w:name w:val="annotation reference"/>
    <w:basedOn w:val="a0"/>
    <w:rPr>
      <w:sz w:val="21"/>
      <w:szCs w:val="21"/>
    </w:rPr>
  </w:style>
  <w:style w:type="paragraph" w:styleId="afb">
    <w:name w:val="Balloon Text"/>
    <w:basedOn w:val="a"/>
    <w:link w:val="afc"/>
    <w:uiPriority w:val="99"/>
    <w:semiHidden/>
    <w:unhideWhenUsed/>
    <w:qFormat/>
    <w:rsid w:val="00D8577A"/>
    <w:pPr>
      <w:spacing w:line="240" w:lineRule="auto"/>
    </w:pPr>
    <w:rPr>
      <w:sz w:val="18"/>
      <w:szCs w:val="18"/>
    </w:rPr>
  </w:style>
  <w:style w:type="character" w:customStyle="1" w:styleId="afc">
    <w:name w:val="批注框文本 字符"/>
    <w:basedOn w:val="a0"/>
    <w:link w:val="afb"/>
    <w:uiPriority w:val="99"/>
    <w:semiHidden/>
    <w:rsid w:val="00D8577A"/>
    <w:rPr>
      <w:rFonts w:ascii="Times New Roman" w:hAnsi="Times New Roman" w:cstheme="minorBidi"/>
      <w:kern w:val="2"/>
      <w:sz w:val="18"/>
      <w:szCs w:val="18"/>
    </w:rPr>
  </w:style>
  <w:style w:type="paragraph" w:styleId="afd">
    <w:name w:val="annotation subject"/>
    <w:basedOn w:val="a3"/>
    <w:next w:val="a3"/>
    <w:link w:val="afe"/>
    <w:semiHidden/>
    <w:unhideWhenUsed/>
    <w:rsid w:val="006103B9"/>
    <w:rPr>
      <w:b/>
      <w:bCs/>
    </w:rPr>
  </w:style>
  <w:style w:type="character" w:customStyle="1" w:styleId="afe">
    <w:name w:val="批注主题 字符"/>
    <w:basedOn w:val="a4"/>
    <w:link w:val="afd"/>
    <w:semiHidden/>
    <w:rsid w:val="006103B9"/>
    <w:rPr>
      <w:rFonts w:ascii="Times New Roman" w:hAnsi="Times New Roman" w:cstheme="minorBidi"/>
      <w:b/>
      <w:bCs/>
      <w:kern w:val="2"/>
      <w:sz w:val="24"/>
      <w:szCs w:val="22"/>
    </w:rPr>
  </w:style>
  <w:style w:type="table" w:customStyle="1" w:styleId="TableNormal6">
    <w:name w:val="Table Normal6"/>
    <w:uiPriority w:val="2"/>
    <w:semiHidden/>
    <w:unhideWhenUsed/>
    <w:qFormat/>
    <w:rsid w:val="00FB6EE0"/>
    <w:pPr>
      <w:widowControl w:val="0"/>
    </w:pPr>
    <w:rPr>
      <w:sz w:val="22"/>
      <w:szCs w:val="22"/>
      <w:lang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A21C8"/>
    <w:pPr>
      <w:widowControl w:val="0"/>
    </w:pPr>
    <w:rPr>
      <w:sz w:val="22"/>
      <w:szCs w:val="22"/>
      <w:lang w:eastAsia="en-US"/>
    </w:rPr>
    <w:tblPr>
      <w:tblInd w:w="0" w:type="dxa"/>
      <w:tblCellMar>
        <w:top w:w="0" w:type="dxa"/>
        <w:left w:w="0" w:type="dxa"/>
        <w:bottom w:w="0" w:type="dxa"/>
        <w:right w:w="0" w:type="dxa"/>
      </w:tblCellMar>
    </w:tblPr>
  </w:style>
  <w:style w:type="paragraph" w:customStyle="1" w:styleId="3Char3Char1511134151">
    <w:name w:val="样式 标题 3Char小标题标题 3 Char四号宋体左齐行距1.5倍1.1.1标题 34号宋体左齐行距1.5倍条...1"/>
    <w:basedOn w:val="3"/>
    <w:qFormat/>
    <w:rsid w:val="00EA6D0E"/>
    <w:pPr>
      <w:keepNext/>
      <w:keepLines/>
      <w:widowControl w:val="0"/>
      <w:numPr>
        <w:ilvl w:val="2"/>
        <w:numId w:val="16"/>
      </w:numPr>
      <w:tabs>
        <w:tab w:val="left" w:pos="360"/>
      </w:tabs>
      <w:adjustRightInd/>
      <w:snapToGrid/>
      <w:spacing w:before="100" w:after="100" w:line="300" w:lineRule="auto"/>
      <w:ind w:firstLineChars="0" w:firstLine="0"/>
      <w:jc w:val="both"/>
    </w:pPr>
    <w:rPr>
      <w:rFonts w:ascii="Courier New" w:eastAsia="仿宋_GB2312" w:hAnsi="仿宋_GB2312" w:cs="仿宋_GB2312"/>
      <w:b/>
      <w:kern w:val="2"/>
      <w:szCs w:val="20"/>
    </w:rPr>
  </w:style>
  <w:style w:type="paragraph" w:customStyle="1" w:styleId="22Char12CharChar2Char11h2l22nd3">
    <w:name w:val="样式 标题 2标题 2 Char1标题 2 Char Char标题 2 Char节标题 1.1节h2l22nd ...3"/>
    <w:basedOn w:val="2"/>
    <w:rsid w:val="00EA6D0E"/>
    <w:pPr>
      <w:widowControl w:val="0"/>
      <w:numPr>
        <w:ilvl w:val="1"/>
        <w:numId w:val="16"/>
      </w:numPr>
      <w:tabs>
        <w:tab w:val="left" w:pos="0"/>
      </w:tabs>
      <w:spacing w:line="300" w:lineRule="auto"/>
      <w:ind w:firstLineChars="0" w:firstLine="0"/>
    </w:pPr>
    <w:rPr>
      <w:rFonts w:eastAsia="宋体" w:cs="Courier New"/>
      <w:b/>
      <w:sz w:val="30"/>
      <w:szCs w:val="36"/>
    </w:rPr>
  </w:style>
  <w:style w:type="paragraph" w:customStyle="1" w:styleId="44Char11111Char41111Char4CharChar">
    <w:name w:val="样式 标题 4标题 4 Char11.1.1.1 Char标题 4.1.1.1.1 Char标题 4 Char Char..."/>
    <w:basedOn w:val="4"/>
    <w:qFormat/>
    <w:rsid w:val="00EA6D0E"/>
    <w:pPr>
      <w:widowControl w:val="0"/>
      <w:numPr>
        <w:ilvl w:val="3"/>
        <w:numId w:val="16"/>
      </w:numPr>
      <w:tabs>
        <w:tab w:val="left" w:pos="0"/>
        <w:tab w:val="left" w:pos="360"/>
      </w:tabs>
      <w:spacing w:beforeLines="30" w:before="280" w:afterLines="20" w:after="290"/>
      <w:ind w:firstLineChars="0" w:firstLine="0"/>
      <w:jc w:val="both"/>
    </w:pPr>
    <w:rPr>
      <w:rFonts w:ascii="@仿宋_GB2312" w:eastAsia="Wingdings" w:hAnsi="@仿宋_GB2312" w:cs="仿宋_GB2312"/>
      <w:b/>
      <w:sz w:val="28"/>
      <w:szCs w:val="20"/>
    </w:rPr>
  </w:style>
  <w:style w:type="paragraph" w:customStyle="1" w:styleId="44Char11111Char41111Char4CharChar2">
    <w:name w:val="样式 样式 标题 4标题 4 Char11.1.1.1 Char标题 4.1.1.1.1 Char标题 4 Char Char....2"/>
    <w:basedOn w:val="44Char11111Char41111Char4CharChar"/>
    <w:qFormat/>
    <w:rsid w:val="00EA6D0E"/>
    <w:pPr>
      <w:tabs>
        <w:tab w:val="clear" w:pos="0"/>
      </w:tabs>
      <w:spacing w:beforeLines="10" w:afterLines="10" w:line="300" w:lineRule="auto"/>
    </w:pPr>
    <w:rPr>
      <w:rFonts w:ascii="Times New Roman" w:eastAsia="宋体" w:hAnsi="Times New Roman" w:cs="宋体"/>
    </w:rPr>
  </w:style>
  <w:style w:type="character" w:customStyle="1" w:styleId="Char2">
    <w:name w:val="表格 Char"/>
    <w:link w:val="aff"/>
    <w:qFormat/>
    <w:rsid w:val="003F631A"/>
    <w:rPr>
      <w:rFonts w:ascii="宋体" w:hAnsi="宋体" w:cs="Arial"/>
      <w:spacing w:val="-14"/>
      <w:sz w:val="21"/>
      <w:szCs w:val="21"/>
    </w:rPr>
  </w:style>
  <w:style w:type="paragraph" w:customStyle="1" w:styleId="aff">
    <w:name w:val="表格"/>
    <w:basedOn w:val="a"/>
    <w:next w:val="aff0"/>
    <w:link w:val="Char2"/>
    <w:qFormat/>
    <w:rsid w:val="003F631A"/>
    <w:pPr>
      <w:overflowPunct w:val="0"/>
      <w:topLinePunct/>
      <w:adjustRightInd w:val="0"/>
      <w:snapToGrid w:val="0"/>
      <w:spacing w:line="360" w:lineRule="exact"/>
      <w:ind w:firstLineChars="0" w:firstLine="0"/>
      <w:jc w:val="center"/>
    </w:pPr>
    <w:rPr>
      <w:rFonts w:ascii="宋体" w:hAnsi="宋体" w:cs="Arial"/>
      <w:spacing w:val="-14"/>
      <w:kern w:val="0"/>
      <w:sz w:val="21"/>
      <w:szCs w:val="21"/>
    </w:rPr>
  </w:style>
  <w:style w:type="paragraph" w:styleId="aff0">
    <w:name w:val="Body Text First Indent"/>
    <w:basedOn w:val="a5"/>
    <w:link w:val="aff1"/>
    <w:uiPriority w:val="99"/>
    <w:semiHidden/>
    <w:unhideWhenUsed/>
    <w:rsid w:val="00EA6D0E"/>
    <w:pPr>
      <w:ind w:firstLineChars="100" w:firstLine="420"/>
    </w:pPr>
  </w:style>
  <w:style w:type="character" w:customStyle="1" w:styleId="aff1">
    <w:name w:val="正文文本首行缩进 字符"/>
    <w:basedOn w:val="a6"/>
    <w:link w:val="aff0"/>
    <w:uiPriority w:val="99"/>
    <w:semiHidden/>
    <w:rsid w:val="00EA6D0E"/>
    <w:rPr>
      <w:rFonts w:ascii="Times New Roman" w:hAnsi="Times New Roman" w:cstheme="minorBidi"/>
      <w:kern w:val="2"/>
      <w:sz w:val="24"/>
      <w:szCs w:val="22"/>
    </w:rPr>
  </w:style>
  <w:style w:type="character" w:customStyle="1" w:styleId="Char3">
    <w:name w:val="纯文本 Char"/>
    <w:aliases w:val="孙普文字 Char, Char Char1, Char Char Char,普通文字 Char,纯文本 Char Char Char Char Char Char,纯文本 Char Char Char Char Char1,普通文字 Char Char Char,Char Char Char"/>
    <w:qFormat/>
    <w:rsid w:val="00782A4C"/>
    <w:rPr>
      <w:rFonts w:ascii="宋体" w:hAnsi="Courier New"/>
      <w:kern w:val="2"/>
      <w:sz w:val="21"/>
    </w:rPr>
  </w:style>
  <w:style w:type="character" w:customStyle="1" w:styleId="aff2">
    <w:name w:val="正文缩进 字符"/>
    <w:aliases w:val="Char 字符,正文（首行缩进两字） Char Char Char Char Char 字符,正文（首行缩进两字） Char 字符,文本条款 字符,正文（首行缩进两字） Char Char 字符,正文（首行缩进两字） Char C 字符,表格标题 Char Char Char Char 字符,正文（首行缩进两字） Char Char Char Char Char Char 字符,正文（首行缩进两字） Char Char1 Char Char 字符,正文缩进1 字符,正文缩进3 字符"/>
    <w:link w:val="aff3"/>
    <w:rsid w:val="003F631A"/>
    <w:rPr>
      <w:kern w:val="2"/>
      <w:sz w:val="21"/>
      <w:szCs w:val="24"/>
    </w:rPr>
  </w:style>
  <w:style w:type="paragraph" w:styleId="aff3">
    <w:name w:val="Normal Indent"/>
    <w:aliases w:val="Char,正文（首行缩进两字） Char Char Char Char Char,正文（首行缩进两字） Char,文本条款,正文（首行缩进两字） Char Char,正文（首行缩进两字） Char C,表格标题 Char Char Char Char,正文（首行缩进两字） Char Char Char Char Char Char,正文（首行缩进两字） Char Char1 Char Char,正文（首行缩进两字） Char C Char Char Char,正文缩进1,正文缩进3"/>
    <w:basedOn w:val="a"/>
    <w:link w:val="aff2"/>
    <w:rsid w:val="003F631A"/>
    <w:pPr>
      <w:widowControl w:val="0"/>
      <w:spacing w:line="240" w:lineRule="auto"/>
      <w:ind w:firstLine="420"/>
      <w:jc w:val="both"/>
    </w:pPr>
    <w:rPr>
      <w:rFonts w:ascii="Calibri" w:hAnsi="Calibri" w:cs="Times New Roman"/>
      <w:sz w:val="21"/>
      <w:szCs w:val="24"/>
    </w:rPr>
  </w:style>
  <w:style w:type="paragraph" w:customStyle="1" w:styleId="aff4">
    <w:name w:val="表格（环评报告）"/>
    <w:basedOn w:val="a"/>
    <w:next w:val="a"/>
    <w:link w:val="Char4"/>
    <w:qFormat/>
    <w:rsid w:val="0000008B"/>
    <w:pPr>
      <w:spacing w:line="240" w:lineRule="auto"/>
      <w:ind w:firstLineChars="0" w:firstLine="0"/>
      <w:jc w:val="center"/>
    </w:pPr>
    <w:rPr>
      <w:rFonts w:cs="Times New Roman"/>
      <w:sz w:val="21"/>
      <w:szCs w:val="21"/>
    </w:rPr>
  </w:style>
  <w:style w:type="character" w:customStyle="1" w:styleId="Char4">
    <w:name w:val="表格（环评报告） Char"/>
    <w:link w:val="aff4"/>
    <w:qFormat/>
    <w:rsid w:val="0000008B"/>
    <w:rPr>
      <w:rFonts w:ascii="Times New Roman" w:hAnsi="Times New Roman"/>
      <w:kern w:val="2"/>
      <w:sz w:val="21"/>
      <w:szCs w:val="21"/>
    </w:rPr>
  </w:style>
  <w:style w:type="table" w:customStyle="1" w:styleId="TableNormal8">
    <w:name w:val="Table Normal8"/>
    <w:uiPriority w:val="2"/>
    <w:semiHidden/>
    <w:unhideWhenUsed/>
    <w:qFormat/>
    <w:rsid w:val="000E522C"/>
    <w:pPr>
      <w:widowControl w:val="0"/>
    </w:pPr>
    <w:rPr>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oleObject3.bin"/><Relationship Id="rId42" Type="http://schemas.openxmlformats.org/officeDocument/2006/relationships/image" Target="media/image10.jpeg"/><Relationship Id="rId47" Type="http://schemas.openxmlformats.org/officeDocument/2006/relationships/footer" Target="footer5.xml"/><Relationship Id="rId63" Type="http://schemas.openxmlformats.org/officeDocument/2006/relationships/hyperlink" Target="https://baike.sogou.com/lemma/ShowInnerLink.htm?lemmaId=299231&amp;amp;ss_c=ssc.citiao.link" TargetMode="External"/><Relationship Id="rId68" Type="http://schemas.openxmlformats.org/officeDocument/2006/relationships/hyperlink" Target="https://baike.sogou.com/lemma/ShowInnerLink.htm?lemmaId=782041&amp;amp;ss_c=ssc.citiao.link" TargetMode="External"/><Relationship Id="rId84" Type="http://schemas.openxmlformats.org/officeDocument/2006/relationships/image" Target="media/image20.png"/><Relationship Id="rId89" Type="http://schemas.openxmlformats.org/officeDocument/2006/relationships/header" Target="header17.xml"/><Relationship Id="rId16" Type="http://schemas.openxmlformats.org/officeDocument/2006/relationships/oleObject" Target="embeddings/oleObject1.bin"/><Relationship Id="rId11" Type="http://schemas.openxmlformats.org/officeDocument/2006/relationships/footer" Target="footer1.xml"/><Relationship Id="rId32" Type="http://schemas.openxmlformats.org/officeDocument/2006/relationships/oleObject" Target="embeddings/oleObject7.bin"/><Relationship Id="rId37" Type="http://schemas.openxmlformats.org/officeDocument/2006/relationships/image" Target="media/image9.jpeg"/><Relationship Id="rId53" Type="http://schemas.openxmlformats.org/officeDocument/2006/relationships/image" Target="media/image13.wmf"/><Relationship Id="rId58" Type="http://schemas.openxmlformats.org/officeDocument/2006/relationships/oleObject" Target="embeddings/oleObject14.bin"/><Relationship Id="rId74" Type="http://schemas.openxmlformats.org/officeDocument/2006/relationships/footer" Target="footer8.xml"/><Relationship Id="rId79" Type="http://schemas.openxmlformats.org/officeDocument/2006/relationships/header" Target="header13.xml"/><Relationship Id="rId5" Type="http://schemas.openxmlformats.org/officeDocument/2006/relationships/settings" Target="settings.xml"/><Relationship Id="rId90" Type="http://schemas.openxmlformats.org/officeDocument/2006/relationships/footer" Target="footer16.xml"/><Relationship Id="rId95" Type="http://schemas.openxmlformats.org/officeDocument/2006/relationships/footer" Target="footer18.xml"/><Relationship Id="rId22" Type="http://schemas.openxmlformats.org/officeDocument/2006/relationships/image" Target="media/image4.wmf"/><Relationship Id="rId27" Type="http://schemas.openxmlformats.org/officeDocument/2006/relationships/oleObject" Target="embeddings/oleObject5.bin"/><Relationship Id="rId43" Type="http://schemas.openxmlformats.org/officeDocument/2006/relationships/hyperlink" Target="http://kjs.mep.gov.cn/hjbhbz/bzwb/shjbh/sjcgfffbz/200412/t20041209_66624.htm" TargetMode="External"/><Relationship Id="rId48" Type="http://schemas.openxmlformats.org/officeDocument/2006/relationships/header" Target="header8.xml"/><Relationship Id="rId64" Type="http://schemas.openxmlformats.org/officeDocument/2006/relationships/hyperlink" Target="https://baike.sogou.com/lemma/ShowInnerLink.htm?lemmaId=168200209&amp;amp;ss_c=ssc.citiao.link" TargetMode="External"/><Relationship Id="rId69" Type="http://schemas.openxmlformats.org/officeDocument/2006/relationships/footer" Target="footer7.xml"/><Relationship Id="rId80" Type="http://schemas.openxmlformats.org/officeDocument/2006/relationships/footer" Target="footer11.xml"/><Relationship Id="rId85" Type="http://schemas.openxmlformats.org/officeDocument/2006/relationships/header" Target="header1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header" Target="header5.xml"/><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footer" Target="footer4.xml"/><Relationship Id="rId59" Type="http://schemas.openxmlformats.org/officeDocument/2006/relationships/image" Target="media/image16.wmf"/><Relationship Id="rId67" Type="http://schemas.openxmlformats.org/officeDocument/2006/relationships/hyperlink" Target="https://baike.sogou.com/lemma/ShowInnerLink.htm?lemmaId=748288&amp;amp;ss_c=ssc.citiao.link" TargetMode="External"/><Relationship Id="rId20" Type="http://schemas.openxmlformats.org/officeDocument/2006/relationships/image" Target="media/image3.emf"/><Relationship Id="rId41" Type="http://schemas.openxmlformats.org/officeDocument/2006/relationships/hyperlink" Target="http://baike.baidu.com/view/2153.htm" TargetMode="External"/><Relationship Id="rId54" Type="http://schemas.openxmlformats.org/officeDocument/2006/relationships/oleObject" Target="embeddings/oleObject12.bin"/><Relationship Id="rId62" Type="http://schemas.openxmlformats.org/officeDocument/2006/relationships/image" Target="../../AppData/Roaming/Tencent/Users/307673270/QQ/WinTemp/RichOle/BTJKSNIO3L%25257b7YLM$MNPZNTN.png" TargetMode="External"/><Relationship Id="rId70" Type="http://schemas.openxmlformats.org/officeDocument/2006/relationships/image" Target="media/image18.jpeg"/><Relationship Id="rId75" Type="http://schemas.openxmlformats.org/officeDocument/2006/relationships/footer" Target="footer9.xml"/><Relationship Id="rId83" Type="http://schemas.openxmlformats.org/officeDocument/2006/relationships/footer" Target="footer13.xml"/><Relationship Id="rId88" Type="http://schemas.openxmlformats.org/officeDocument/2006/relationships/footer" Target="footer15.xml"/><Relationship Id="rId91" Type="http://schemas.openxmlformats.org/officeDocument/2006/relationships/header" Target="header18.xml"/><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oleObject" Target="embeddings/oleObject4.bin"/><Relationship Id="rId28" Type="http://schemas.openxmlformats.org/officeDocument/2006/relationships/image" Target="media/image6.emf"/><Relationship Id="rId36" Type="http://schemas.openxmlformats.org/officeDocument/2006/relationships/hyperlink" Target="http://www.so.com/link?m=a8J2mEmPY5prrZMyZyWutAjct+FrRgcCfKJHllgzGF0Ibx9YQduZ7TPzl22I59MUaonKyDUqAfQRNzbA/n0qCPh7G3xJO971345V5SRKBLSTmPuQcmzH10kbISAcZv5iyicr286Y0zPFM3En+sAZ0fiCto/tkozXkIGfGeq+uteWAojERaRW6EsVhLOliVBczeXdEbmj0rcMwTSQw1A5QVavJIr0siEXMqSoIP9vImsSO8VxM" TargetMode="External"/><Relationship Id="rId49" Type="http://schemas.openxmlformats.org/officeDocument/2006/relationships/footer" Target="footer6.xml"/><Relationship Id="rId57" Type="http://schemas.openxmlformats.org/officeDocument/2006/relationships/image" Target="media/image15.wmf"/><Relationship Id="rId10" Type="http://schemas.openxmlformats.org/officeDocument/2006/relationships/header" Target="header2.xml"/><Relationship Id="rId31" Type="http://schemas.openxmlformats.org/officeDocument/2006/relationships/image" Target="media/image7.emf"/><Relationship Id="rId44" Type="http://schemas.openxmlformats.org/officeDocument/2006/relationships/header" Target="header6.xml"/><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hyperlink" Target="https://baike.sogou.com/lemma/ShowInnerLink.htm?lemmaId=632673&amp;amp;ss_c=ssc.citiao.link" TargetMode="External"/><Relationship Id="rId73" Type="http://schemas.openxmlformats.org/officeDocument/2006/relationships/header" Target="header10.xml"/><Relationship Id="rId78" Type="http://schemas.openxmlformats.org/officeDocument/2006/relationships/header" Target="header12.xml"/><Relationship Id="rId81" Type="http://schemas.openxmlformats.org/officeDocument/2006/relationships/footer" Target="footer12.xml"/><Relationship Id="rId86" Type="http://schemas.openxmlformats.org/officeDocument/2006/relationships/header" Target="header16.xml"/><Relationship Id="rId94" Type="http://schemas.openxmlformats.org/officeDocument/2006/relationships/header" Target="header20.xm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hyperlink" Target="http://baike.baidu.com/view/2242758.htm" TargetMode="External"/><Relationship Id="rId34" Type="http://schemas.openxmlformats.org/officeDocument/2006/relationships/image" Target="media/image8.emf"/><Relationship Id="rId50" Type="http://schemas.openxmlformats.org/officeDocument/2006/relationships/image" Target="media/image11.wmf"/><Relationship Id="rId55" Type="http://schemas.openxmlformats.org/officeDocument/2006/relationships/image" Target="media/image14.wmf"/><Relationship Id="rId76" Type="http://schemas.openxmlformats.org/officeDocument/2006/relationships/header" Target="header11.xml"/><Relationship Id="rId97"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image" Target="media/image19.jpeg"/><Relationship Id="rId92" Type="http://schemas.openxmlformats.org/officeDocument/2006/relationships/footer" Target="footer17.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hyperlink" Target="http://www.so.com/link?m=a8J2mEmPY5prrZMyZyWutAjct+FrRgcCfKJHllgzGF0Ibx9YQduZ7TPzl22I59MUaonKyDUqAfQRNzbA/n0qCPh7G3xJO971345V5SRKBLSTmPuQcmzH10kbISAcZv5iyicr286Y0zPFM3En+sAZ0fiCto/tkozXkIGfGeq+uteWAojERaRW6EsVhLOliVBczeXdEbmj0rcMwTSQw1A5QVavJIr0siEXMqSoIP9vImsSO8VxM" TargetMode="External"/><Relationship Id="rId40" Type="http://schemas.openxmlformats.org/officeDocument/2006/relationships/hyperlink" Target="http://baike.baidu.com/view/275382.htm" TargetMode="External"/><Relationship Id="rId45" Type="http://schemas.openxmlformats.org/officeDocument/2006/relationships/header" Target="header7.xml"/><Relationship Id="rId66" Type="http://schemas.openxmlformats.org/officeDocument/2006/relationships/hyperlink" Target="https://baike.sogou.com/lemma/ShowInnerLink.htm?lemmaId=632673&amp;amp;ss_c=ssc.citiao.link" TargetMode="External"/><Relationship Id="rId87" Type="http://schemas.openxmlformats.org/officeDocument/2006/relationships/footer" Target="footer14.xml"/><Relationship Id="rId61" Type="http://schemas.openxmlformats.org/officeDocument/2006/relationships/image" Target="media/image17.png"/><Relationship Id="rId82" Type="http://schemas.openxmlformats.org/officeDocument/2006/relationships/header" Target="header14.xml"/><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hyperlink" Target="http://baike.baidu.com/view/131467.htm" TargetMode="External"/><Relationship Id="rId35" Type="http://schemas.openxmlformats.org/officeDocument/2006/relationships/oleObject" Target="embeddings/oleObject9.bin"/><Relationship Id="rId56" Type="http://schemas.openxmlformats.org/officeDocument/2006/relationships/oleObject" Target="embeddings/oleObject13.bin"/><Relationship Id="rId77" Type="http://schemas.openxmlformats.org/officeDocument/2006/relationships/footer" Target="footer10.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2.wmf"/><Relationship Id="rId72" Type="http://schemas.openxmlformats.org/officeDocument/2006/relationships/header" Target="header9.xml"/><Relationship Id="rId93" Type="http://schemas.openxmlformats.org/officeDocument/2006/relationships/header" Target="header19.xml"/><Relationship Id="rId98" Type="http://schemas.openxmlformats.org/officeDocument/2006/relationships/footer" Target="footer2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E6FA79-F1AF-441A-A65E-90115E1E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248</Pages>
  <Words>28049</Words>
  <Characters>159882</Characters>
  <Application>Microsoft Office Word</Application>
  <DocSecurity>0</DocSecurity>
  <Lines>1332</Lines>
  <Paragraphs>375</Paragraphs>
  <ScaleCrop>false</ScaleCrop>
  <Company>微软中国</Company>
  <LinksUpToDate>false</LinksUpToDate>
  <CharactersWithSpaces>187556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张 玉玺</cp:lastModifiedBy>
  <cp:revision>379</cp:revision>
  <cp:lastPrinted>2019-02-26T02:13:00Z</cp:lastPrinted>
  <dcterms:created xsi:type="dcterms:W3CDTF">2018-05-30T08:55:00Z</dcterms:created>
  <dcterms:modified xsi:type="dcterms:W3CDTF">2020-02-27T08:48:00Z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2052-11.1.0.7848</vt:lpwstr>
  </property>
</Properties>
</file>